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4D047" w14:textId="77777777" w:rsidR="000F0B9F" w:rsidRPr="008762D1" w:rsidRDefault="007E7991" w:rsidP="00FC1DB8">
      <w:pPr>
        <w:pStyle w:val="Ttulo1"/>
        <w:rPr>
          <w:color w:val="000000" w:themeColor="text1"/>
        </w:rPr>
      </w:pPr>
      <w:r w:rsidRPr="008762D1">
        <w:rPr>
          <w:color w:val="000000" w:themeColor="text1"/>
        </w:rPr>
        <w:t xml:space="preserve">RESOLUCIÓN MEDIANTE LA CUAL EL PLENO DEL INSTITUTO FEDERAL DE TELECOMUNICACIONES </w:t>
      </w:r>
      <w:r w:rsidR="00621D3E" w:rsidRPr="008762D1">
        <w:rPr>
          <w:color w:val="000000" w:themeColor="text1"/>
        </w:rPr>
        <w:t xml:space="preserve">MODIFICA Y </w:t>
      </w:r>
      <w:r w:rsidR="00EB7D64" w:rsidRPr="008762D1">
        <w:rPr>
          <w:color w:val="000000" w:themeColor="text1"/>
        </w:rPr>
        <w:t xml:space="preserve">APRUEBA </w:t>
      </w:r>
      <w:r w:rsidR="00B81731" w:rsidRPr="008762D1">
        <w:rPr>
          <w:color w:val="000000" w:themeColor="text1"/>
        </w:rPr>
        <w:t xml:space="preserve">AL AGENTE ECONÓMICO PREPONDERANTE </w:t>
      </w:r>
      <w:r w:rsidRPr="008762D1">
        <w:rPr>
          <w:color w:val="000000" w:themeColor="text1"/>
        </w:rPr>
        <w:t>LOS TÉRMINOS Y CONDICIONES DEL CONVENIO MARCO DE I</w:t>
      </w:r>
      <w:r w:rsidR="007E1A20" w:rsidRPr="008762D1">
        <w:rPr>
          <w:color w:val="000000" w:themeColor="text1"/>
        </w:rPr>
        <w:t>NTERCONEXIÓN PRESENTADO POR TEL</w:t>
      </w:r>
      <w:r w:rsidR="00B40D95" w:rsidRPr="008762D1">
        <w:rPr>
          <w:color w:val="000000" w:themeColor="text1"/>
        </w:rPr>
        <w:t>ÉFO</w:t>
      </w:r>
      <w:r w:rsidRPr="008762D1">
        <w:rPr>
          <w:color w:val="000000" w:themeColor="text1"/>
        </w:rPr>
        <w:t>NOS DE MÉXICO, S.A.B. DE C.V. APLICABLE DEL 1 DE ENERO AL 31 DE DICIEMBRE DE 201</w:t>
      </w:r>
      <w:r w:rsidR="000A71D2" w:rsidRPr="008762D1">
        <w:rPr>
          <w:color w:val="000000" w:themeColor="text1"/>
        </w:rPr>
        <w:t>8</w:t>
      </w:r>
      <w:r w:rsidRPr="008762D1">
        <w:rPr>
          <w:color w:val="000000" w:themeColor="text1"/>
        </w:rPr>
        <w:t>.</w:t>
      </w:r>
    </w:p>
    <w:p w14:paraId="6DE95EA9" w14:textId="7EE197C4" w:rsidR="000F0B9F" w:rsidRPr="008762D1" w:rsidRDefault="007E7991" w:rsidP="00FC1DB8">
      <w:pPr>
        <w:pStyle w:val="Ttulo2"/>
        <w:spacing w:before="240" w:after="0"/>
        <w:jc w:val="center"/>
        <w:rPr>
          <w:color w:val="000000" w:themeColor="text1"/>
        </w:rPr>
      </w:pPr>
      <w:r w:rsidRPr="008762D1">
        <w:rPr>
          <w:color w:val="000000" w:themeColor="text1"/>
        </w:rPr>
        <w:t>ANTECEDENTES</w:t>
      </w:r>
    </w:p>
    <w:p w14:paraId="2BE4B415" w14:textId="6E6BB994" w:rsidR="00AE2337" w:rsidRPr="00AE2337" w:rsidRDefault="00C74AAB" w:rsidP="00AE2337">
      <w:pPr>
        <w:pStyle w:val="Prrafodelista"/>
        <w:numPr>
          <w:ilvl w:val="0"/>
          <w:numId w:val="11"/>
        </w:numPr>
        <w:spacing w:before="240" w:after="0"/>
        <w:ind w:hanging="578"/>
        <w:jc w:val="both"/>
        <w:rPr>
          <w:rFonts w:ascii="ITC Avant Garde" w:hAnsi="ITC Avant Garde" w:cs="Arial"/>
          <w:color w:val="000000" w:themeColor="text1"/>
          <w:lang w:val="es-ES_tradnl" w:eastAsia="es-ES"/>
        </w:rPr>
      </w:pPr>
      <w:bookmarkStart w:id="0" w:name="_Toc426649745"/>
      <w:r w:rsidRPr="008762D1">
        <w:rPr>
          <w:rFonts w:ascii="ITC Avant Garde" w:hAnsi="ITC Avant Garde" w:cs="Arial"/>
          <w:b/>
          <w:color w:val="000000" w:themeColor="text1"/>
          <w:lang w:val="es-ES_tradnl" w:eastAsia="es-ES"/>
        </w:rPr>
        <w:t>Decreto de Reforma Constitucional.</w:t>
      </w:r>
      <w:r w:rsidRPr="008762D1">
        <w:rPr>
          <w:rFonts w:ascii="ITC Avant Garde" w:hAnsi="ITC Avant Garde" w:cs="Arial"/>
          <w:color w:val="000000" w:themeColor="text1"/>
          <w:lang w:val="es-ES_tradnl" w:eastAsia="es-ES"/>
        </w:rPr>
        <w:t xml:space="preserve"> 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el “Decreto”), mediante el cual se creó al Instituto Federal de Telecomunicaciones (Instituto), como un órgano autónomo con personalidad jurídica y patrimonio propio, cuyo objeto es el desarrollo eficiente de la radiodifusión y las telecomunicaciones conforme a lo dispuesto en la propia Constitución Política de los Estados Unidos Mexicanos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193FC82" w14:textId="77777777" w:rsidR="000F0B9F" w:rsidRPr="008762D1" w:rsidRDefault="00C74AAB" w:rsidP="000F0B9F">
      <w:pPr>
        <w:pStyle w:val="IFTnormal"/>
        <w:spacing w:before="240" w:after="0"/>
        <w:ind w:left="720"/>
        <w:rPr>
          <w:color w:val="000000" w:themeColor="text1"/>
        </w:rPr>
      </w:pPr>
      <w:r w:rsidRPr="008762D1">
        <w:rPr>
          <w:color w:val="000000" w:themeColor="text1"/>
        </w:rPr>
        <w:t>El artículo Transitorio Octavo,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29662FBD" w14:textId="77777777" w:rsidR="000F0B9F" w:rsidRPr="008762D1" w:rsidRDefault="00C74AAB" w:rsidP="000F0B9F">
      <w:pPr>
        <w:pStyle w:val="IFTnormal"/>
        <w:numPr>
          <w:ilvl w:val="0"/>
          <w:numId w:val="11"/>
        </w:numPr>
        <w:spacing w:before="240" w:after="0"/>
        <w:rPr>
          <w:color w:val="000000" w:themeColor="text1"/>
        </w:rPr>
      </w:pPr>
      <w:r w:rsidRPr="008762D1">
        <w:rPr>
          <w:b/>
          <w:color w:val="000000" w:themeColor="text1"/>
        </w:rPr>
        <w:t>Determinación del Agente Económico Preponderante.</w:t>
      </w:r>
      <w:r w:rsidRPr="008762D1">
        <w:rPr>
          <w:color w:val="000000" w:themeColor="text1"/>
        </w:rPr>
        <w:t xml:space="preserve"> Con fecha 6 de marzo de 2014, el Pleno del Instituto en su V Sesión Extraordinaria, aprobó por acuerdo P/IFT/EXT/060314/76 la </w:t>
      </w:r>
      <w:r w:rsidR="003814D8" w:rsidRPr="008762D1">
        <w:rPr>
          <w:rFonts w:eastAsia="Times New Roman"/>
          <w:color w:val="000000" w:themeColor="text1"/>
        </w:rPr>
        <w:t>“</w:t>
      </w:r>
      <w:r w:rsidRPr="008762D1">
        <w:rPr>
          <w:rFonts w:eastAsia="Times New Roman"/>
          <w:color w:val="000000" w:themeColor="text1"/>
        </w:rPr>
        <w:t>RESOLUCIÓN ME</w:t>
      </w:r>
      <w:r w:rsidRPr="008762D1">
        <w:rPr>
          <w:rFonts w:eastAsia="Times New Roman"/>
          <w:color w:val="000000" w:themeColor="text1"/>
          <w:lang w:val="es-MX"/>
        </w:rPr>
        <w:t xml:space="preserve">DIANTE LA CUAL </w:t>
      </w:r>
      <w:r w:rsidRPr="008762D1">
        <w:rPr>
          <w:rFonts w:eastAsia="Times New Roman"/>
          <w:color w:val="000000" w:themeColor="text1"/>
        </w:rPr>
        <w:t>EL PLENO DEL INSTI</w:t>
      </w:r>
      <w:r w:rsidRPr="008762D1">
        <w:rPr>
          <w:rFonts w:eastAsia="Times New Roman"/>
          <w:color w:val="000000" w:themeColor="text1"/>
          <w:lang w:val="es-MX"/>
        </w:rPr>
        <w:t>TUTO</w:t>
      </w:r>
      <w:r w:rsidRPr="008762D1">
        <w:rPr>
          <w:rFonts w:eastAsia="Times New Roman"/>
          <w:color w:val="000000" w:themeColor="text1"/>
        </w:rPr>
        <w:t xml:space="preserve"> FEDERAL DE TE</w:t>
      </w:r>
      <w:r w:rsidRPr="008762D1">
        <w:rPr>
          <w:rFonts w:eastAsia="Times New Roman"/>
          <w:color w:val="000000" w:themeColor="text1"/>
          <w:lang w:val="es-MX"/>
        </w:rPr>
        <w:t xml:space="preserve">LECOMUNICACIONES DETERMINA AL GRUPO </w:t>
      </w:r>
      <w:r w:rsidRPr="008762D1">
        <w:rPr>
          <w:rFonts w:eastAsia="Times New Roman"/>
          <w:color w:val="000000" w:themeColor="text1"/>
        </w:rPr>
        <w:t xml:space="preserve">DE </w:t>
      </w:r>
      <w:r w:rsidRPr="008762D1">
        <w:rPr>
          <w:rFonts w:eastAsia="Times New Roman"/>
          <w:color w:val="000000" w:themeColor="text1"/>
          <w:lang w:val="es-MX"/>
        </w:rPr>
        <w:t xml:space="preserve">INTERÉS </w:t>
      </w:r>
      <w:r w:rsidRPr="008762D1">
        <w:rPr>
          <w:rFonts w:eastAsia="Times New Roman"/>
          <w:color w:val="000000" w:themeColor="text1"/>
        </w:rPr>
        <w:t>EC</w:t>
      </w:r>
      <w:r w:rsidRPr="008762D1">
        <w:rPr>
          <w:rFonts w:eastAsia="Times New Roman"/>
          <w:color w:val="000000" w:themeColor="text1"/>
          <w:lang w:val="es-MX"/>
        </w:rPr>
        <w:t>ONÓMICO</w:t>
      </w:r>
      <w:r w:rsidRPr="008762D1">
        <w:rPr>
          <w:rFonts w:eastAsia="Times New Roman"/>
          <w:color w:val="000000" w:themeColor="text1"/>
        </w:rPr>
        <w:t xml:space="preserve"> DE</w:t>
      </w:r>
      <w:r w:rsidRPr="008762D1">
        <w:rPr>
          <w:rFonts w:eastAsia="Times New Roman"/>
          <w:color w:val="000000" w:themeColor="text1"/>
          <w:lang w:val="es-MX"/>
        </w:rPr>
        <w:t xml:space="preserve">L QUE </w:t>
      </w:r>
      <w:r w:rsidRPr="008762D1">
        <w:rPr>
          <w:rFonts w:eastAsia="Times New Roman"/>
          <w:color w:val="000000" w:themeColor="text1"/>
        </w:rPr>
        <w:t>FORMAN PARTE</w:t>
      </w:r>
      <w:r w:rsidRPr="008762D1">
        <w:rPr>
          <w:rFonts w:eastAsia="Times New Roman"/>
          <w:color w:val="000000" w:themeColor="text1"/>
          <w:lang w:val="es-MX"/>
        </w:rPr>
        <w:t xml:space="preserve"> </w:t>
      </w:r>
      <w:r w:rsidRPr="008762D1">
        <w:rPr>
          <w:rFonts w:eastAsia="Times New Roman"/>
          <w:color w:val="000000" w:themeColor="text1"/>
        </w:rPr>
        <w:t>AM</w:t>
      </w:r>
      <w:r w:rsidRPr="008762D1">
        <w:rPr>
          <w:rFonts w:eastAsia="Times New Roman"/>
          <w:color w:val="000000" w:themeColor="text1"/>
          <w:lang w:val="es-MX"/>
        </w:rPr>
        <w:t>É</w:t>
      </w:r>
      <w:r w:rsidRPr="008762D1">
        <w:rPr>
          <w:rFonts w:eastAsia="Times New Roman"/>
          <w:color w:val="000000" w:themeColor="text1"/>
        </w:rPr>
        <w:t>RICA M</w:t>
      </w:r>
      <w:proofErr w:type="spellStart"/>
      <w:r w:rsidRPr="008762D1">
        <w:rPr>
          <w:rFonts w:eastAsia="Times New Roman"/>
          <w:color w:val="000000" w:themeColor="text1"/>
          <w:lang w:val="es-MX"/>
        </w:rPr>
        <w:t>Ó</w:t>
      </w:r>
      <w:proofErr w:type="spellEnd"/>
      <w:r w:rsidRPr="008762D1">
        <w:rPr>
          <w:rFonts w:eastAsia="Times New Roman"/>
          <w:color w:val="000000" w:themeColor="text1"/>
        </w:rPr>
        <w:t>VIL, S.A.B. DE C. V., TEL</w:t>
      </w:r>
      <w:r w:rsidRPr="008762D1">
        <w:rPr>
          <w:rFonts w:eastAsia="Times New Roman"/>
          <w:color w:val="000000" w:themeColor="text1"/>
          <w:lang w:val="es-MX"/>
        </w:rPr>
        <w:t>É</w:t>
      </w:r>
      <w:r w:rsidRPr="008762D1">
        <w:rPr>
          <w:rFonts w:eastAsia="Times New Roman"/>
          <w:color w:val="000000" w:themeColor="text1"/>
        </w:rPr>
        <w:t>FONOS DE MEXICO, S.A.B. DE C. V.,</w:t>
      </w:r>
      <w:r w:rsidRPr="008762D1">
        <w:rPr>
          <w:rFonts w:eastAsia="Times New Roman"/>
          <w:color w:val="000000" w:themeColor="text1"/>
          <w:lang w:val="es-MX"/>
        </w:rPr>
        <w:t xml:space="preserve"> </w:t>
      </w:r>
      <w:r w:rsidRPr="008762D1">
        <w:rPr>
          <w:rFonts w:eastAsia="Times New Roman"/>
          <w:color w:val="000000" w:themeColor="text1"/>
        </w:rPr>
        <w:t>TELÉFONOS DEL NOROESTE, S.A. DE C.V., RA</w:t>
      </w:r>
      <w:r w:rsidRPr="008762D1">
        <w:rPr>
          <w:rFonts w:eastAsia="Times New Roman"/>
          <w:color w:val="000000" w:themeColor="text1"/>
          <w:lang w:val="es-MX"/>
        </w:rPr>
        <w:t>D</w:t>
      </w:r>
      <w:r w:rsidRPr="008762D1">
        <w:rPr>
          <w:rFonts w:eastAsia="Times New Roman"/>
          <w:color w:val="000000" w:themeColor="text1"/>
        </w:rPr>
        <w:t xml:space="preserve">IOMÓVIL </w:t>
      </w:r>
      <w:r w:rsidRPr="008762D1">
        <w:rPr>
          <w:rFonts w:eastAsia="Times New Roman"/>
          <w:color w:val="000000" w:themeColor="text1"/>
          <w:lang w:val="es-MX"/>
        </w:rPr>
        <w:t>D</w:t>
      </w:r>
      <w:r w:rsidRPr="008762D1">
        <w:rPr>
          <w:rFonts w:eastAsia="Times New Roman"/>
          <w:color w:val="000000" w:themeColor="text1"/>
        </w:rPr>
        <w:t>IPSA, S.A.B. DE C.V.,</w:t>
      </w:r>
      <w:r w:rsidRPr="008762D1">
        <w:rPr>
          <w:rFonts w:eastAsia="Times New Roman"/>
          <w:color w:val="000000" w:themeColor="text1"/>
          <w:lang w:val="es-MX"/>
        </w:rPr>
        <w:t xml:space="preserve"> </w:t>
      </w:r>
      <w:r w:rsidRPr="008762D1">
        <w:rPr>
          <w:rFonts w:eastAsia="Times New Roman"/>
          <w:color w:val="000000" w:themeColor="text1"/>
        </w:rPr>
        <w:t>GRUPO CARSO, S.A.B. DE C.V., Y GRUPO FINANCIERO INBURSA, S.A.B. DE C.V., COMO AGENTE ECON</w:t>
      </w:r>
      <w:r w:rsidRPr="008762D1">
        <w:rPr>
          <w:rFonts w:eastAsia="Times New Roman"/>
          <w:color w:val="000000" w:themeColor="text1"/>
          <w:lang w:val="es-MX"/>
        </w:rPr>
        <w:t>ÓMICO</w:t>
      </w:r>
      <w:r w:rsidRPr="008762D1">
        <w:rPr>
          <w:rFonts w:eastAsia="Times New Roman"/>
          <w:color w:val="000000" w:themeColor="text1"/>
        </w:rPr>
        <w:t xml:space="preserve"> PREPONDERANTE EN EL SECTOR DE</w:t>
      </w:r>
      <w:r w:rsidRPr="008762D1">
        <w:rPr>
          <w:rFonts w:eastAsia="Times New Roman"/>
          <w:color w:val="000000" w:themeColor="text1"/>
          <w:lang w:val="es-MX"/>
        </w:rPr>
        <w:t xml:space="preserve"> </w:t>
      </w:r>
      <w:r w:rsidRPr="008762D1">
        <w:rPr>
          <w:rFonts w:eastAsia="Times New Roman"/>
          <w:color w:val="000000" w:themeColor="text1"/>
        </w:rPr>
        <w:t>TELECOMUNICACIONES Y LE IMPONE LAS MEDIDAS NECESARIAS PARA</w:t>
      </w:r>
      <w:r w:rsidRPr="008762D1">
        <w:rPr>
          <w:rFonts w:eastAsia="Times New Roman"/>
          <w:color w:val="000000" w:themeColor="text1"/>
          <w:lang w:val="es-MX"/>
        </w:rPr>
        <w:t xml:space="preserve"> </w:t>
      </w:r>
      <w:r w:rsidRPr="008762D1">
        <w:rPr>
          <w:rFonts w:eastAsia="Times New Roman"/>
          <w:color w:val="000000" w:themeColor="text1"/>
        </w:rPr>
        <w:t xml:space="preserve">EVITAR QUE SE AFECTE LA </w:t>
      </w:r>
      <w:r w:rsidRPr="008762D1">
        <w:rPr>
          <w:rFonts w:eastAsia="Times New Roman"/>
          <w:color w:val="000000" w:themeColor="text1"/>
        </w:rPr>
        <w:lastRenderedPageBreak/>
        <w:t>COMPETENCIA Y LA LIBRE CONCURREN</w:t>
      </w:r>
      <w:r w:rsidRPr="008762D1">
        <w:rPr>
          <w:rFonts w:eastAsia="Times New Roman"/>
          <w:color w:val="000000" w:themeColor="text1"/>
          <w:lang w:val="es-MX"/>
        </w:rPr>
        <w:t>CIA</w:t>
      </w:r>
      <w:r w:rsidR="003814D8" w:rsidRPr="008762D1">
        <w:rPr>
          <w:rFonts w:eastAsia="Times New Roman"/>
          <w:color w:val="000000" w:themeColor="text1"/>
        </w:rPr>
        <w:t>.”</w:t>
      </w:r>
      <w:r w:rsidRPr="008762D1">
        <w:rPr>
          <w:rFonts w:eastAsia="Times New Roman"/>
          <w:color w:val="000000" w:themeColor="text1"/>
        </w:rPr>
        <w:t xml:space="preserve"> (en lo sucesivo, la “Resolución AEP”)</w:t>
      </w:r>
      <w:r w:rsidRPr="008762D1">
        <w:rPr>
          <w:color w:val="000000" w:themeColor="text1"/>
        </w:rPr>
        <w:t>.</w:t>
      </w:r>
    </w:p>
    <w:p w14:paraId="155D67C6" w14:textId="77777777" w:rsidR="000F0B9F" w:rsidRPr="008762D1" w:rsidRDefault="00B64311" w:rsidP="000F0B9F">
      <w:pPr>
        <w:pStyle w:val="IFTnormal"/>
        <w:spacing w:before="240" w:after="0"/>
        <w:ind w:left="720"/>
        <w:rPr>
          <w:color w:val="000000" w:themeColor="text1"/>
        </w:rPr>
      </w:pPr>
      <w:r w:rsidRPr="008762D1">
        <w:rPr>
          <w:color w:val="000000" w:themeColor="text1"/>
        </w:rPr>
        <w:t>En la Resolución AEP el Pleno del Instituto emitió el Anexo 2 denominado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(en lo sucesivo, “Anexo 2”).</w:t>
      </w:r>
    </w:p>
    <w:p w14:paraId="5A37CFB7" w14:textId="77777777" w:rsidR="000F0B9F" w:rsidRPr="008762D1" w:rsidRDefault="00C74AAB" w:rsidP="000F0B9F">
      <w:pPr>
        <w:pStyle w:val="IFTnormal"/>
        <w:numPr>
          <w:ilvl w:val="0"/>
          <w:numId w:val="11"/>
        </w:numPr>
        <w:spacing w:before="240" w:after="0"/>
        <w:rPr>
          <w:color w:val="000000" w:themeColor="text1"/>
        </w:rPr>
      </w:pPr>
      <w:r w:rsidRPr="008762D1">
        <w:rPr>
          <w:b/>
          <w:color w:val="000000" w:themeColor="text1"/>
        </w:rPr>
        <w:t xml:space="preserve">Ley Federal de Telecomunicaciones y Radiodifusión. </w:t>
      </w:r>
      <w:r w:rsidRPr="008762D1">
        <w:rPr>
          <w:color w:val="000000" w:themeColor="text1"/>
        </w:rPr>
        <w:t>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(Decreto de Ley) entrando en vigor la Ley Federal de Telecomunicaciones y Radiodifusión (en lo sucesivo, la “</w:t>
      </w:r>
      <w:r w:rsidR="00B220B1" w:rsidRPr="008762D1">
        <w:rPr>
          <w:color w:val="000000" w:themeColor="text1"/>
        </w:rPr>
        <w:t>LFTR</w:t>
      </w:r>
      <w:r w:rsidRPr="008762D1">
        <w:rPr>
          <w:color w:val="000000" w:themeColor="text1"/>
        </w:rPr>
        <w:t>”) el 13 de agosto del 2014.</w:t>
      </w:r>
    </w:p>
    <w:p w14:paraId="7146C7FB" w14:textId="77777777" w:rsidR="000F0B9F" w:rsidRPr="008762D1" w:rsidRDefault="00D47AB4" w:rsidP="000F0B9F">
      <w:pPr>
        <w:pStyle w:val="Prrafodelista"/>
        <w:numPr>
          <w:ilvl w:val="0"/>
          <w:numId w:val="11"/>
        </w:numPr>
        <w:spacing w:before="240" w:after="0"/>
        <w:ind w:right="49"/>
        <w:jc w:val="both"/>
        <w:rPr>
          <w:rFonts w:ascii="ITC Avant Garde" w:hAnsi="ITC Avant Garde" w:cs="Arial"/>
          <w:color w:val="000000" w:themeColor="text1"/>
          <w:lang w:val="es-ES_tradnl" w:eastAsia="es-ES"/>
        </w:rPr>
      </w:pPr>
      <w:r w:rsidRPr="008762D1">
        <w:rPr>
          <w:rFonts w:ascii="ITC Avant Garde" w:hAnsi="ITC Avant Garde"/>
          <w:b/>
          <w:color w:val="000000" w:themeColor="text1"/>
        </w:rPr>
        <w:t>Estatuto Orgánico del Instituto Federal de Telecomunicaciones.</w:t>
      </w:r>
      <w:r w:rsidRPr="008762D1">
        <w:rPr>
          <w:rFonts w:ascii="ITC Avant Garde" w:hAnsi="ITC Avant Garde"/>
          <w:color w:val="000000" w:themeColor="text1"/>
        </w:rPr>
        <w:t xml:space="preserve"> </w:t>
      </w:r>
      <w:r w:rsidRPr="008762D1">
        <w:rPr>
          <w:rFonts w:ascii="ITC Avant Garde" w:hAnsi="ITC Avant Garde" w:cs="Arial"/>
          <w:color w:val="000000" w:themeColor="text1"/>
          <w:lang w:val="es-ES_tradnl" w:eastAsia="es-ES"/>
        </w:rPr>
        <w:t xml:space="preserve">El 4 de septiembre de 2014 se publicó en el DOF el “ESTATUTO Orgánico del Instituto Federal de Telecomunicaciones” (en lo sucesivo, el “Estatuto”), mismo que entró en vigor el 26 de septiembre de 2014 cuya última modificación fue publicada en el DOF </w:t>
      </w:r>
      <w:r w:rsidR="00CA7B48" w:rsidRPr="008762D1">
        <w:rPr>
          <w:rFonts w:ascii="ITC Avant Garde" w:hAnsi="ITC Avant Garde" w:cs="Arial"/>
          <w:color w:val="000000" w:themeColor="text1"/>
          <w:lang w:val="es-ES_tradnl" w:eastAsia="es-ES"/>
        </w:rPr>
        <w:t xml:space="preserve">el </w:t>
      </w:r>
      <w:r w:rsidRPr="008762D1">
        <w:rPr>
          <w:rFonts w:ascii="ITC Avant Garde" w:hAnsi="ITC Avant Garde" w:cs="Arial"/>
          <w:color w:val="000000" w:themeColor="text1"/>
          <w:lang w:val="es-ES_tradnl" w:eastAsia="es-ES"/>
        </w:rPr>
        <w:t>20 de julio de 2017.</w:t>
      </w:r>
    </w:p>
    <w:p w14:paraId="26A3B9D2" w14:textId="77777777" w:rsidR="000F0B9F" w:rsidRPr="008762D1" w:rsidRDefault="00C74AAB" w:rsidP="000F0B9F">
      <w:pPr>
        <w:pStyle w:val="Prrafodelista"/>
        <w:numPr>
          <w:ilvl w:val="0"/>
          <w:numId w:val="11"/>
        </w:numPr>
        <w:spacing w:before="240" w:after="0"/>
        <w:ind w:right="51"/>
        <w:jc w:val="both"/>
        <w:rPr>
          <w:rFonts w:ascii="ITC Avant Garde" w:hAnsi="ITC Avant Garde" w:cs="Arial"/>
          <w:b/>
          <w:color w:val="000000" w:themeColor="text1"/>
          <w:lang w:val="es-ES_tradnl" w:eastAsia="es-ES"/>
        </w:rPr>
      </w:pPr>
      <w:r w:rsidRPr="008762D1">
        <w:rPr>
          <w:rFonts w:ascii="ITC Avant Garde" w:hAnsi="ITC Avant Garde" w:cs="Arial"/>
          <w:b/>
          <w:color w:val="000000" w:themeColor="text1"/>
          <w:lang w:val="es-ES_tradnl" w:eastAsia="es-ES"/>
        </w:rPr>
        <w:t xml:space="preserve">Acuerdo de Puntos de Interconexión. </w:t>
      </w:r>
      <w:r w:rsidRPr="008762D1">
        <w:rPr>
          <w:rFonts w:ascii="ITC Avant Garde" w:hAnsi="ITC Avant Garde" w:cs="Arial"/>
          <w:color w:val="000000" w:themeColor="text1"/>
          <w:lang w:val="es-ES_tradnl" w:eastAsia="es-ES"/>
        </w:rPr>
        <w:t>El 17 de febrero de 2015 se publicó en el DOF el “</w:t>
      </w:r>
      <w:r w:rsidRPr="008762D1">
        <w:rPr>
          <w:rFonts w:ascii="ITC Avant Garde" w:hAnsi="ITC Avant Garde" w:cs="Segoe UI"/>
          <w:color w:val="000000" w:themeColor="text1"/>
        </w:rPr>
        <w:t>ACUERDO mediante el cual el Pleno del Instituto Federal de Telecomu</w:t>
      </w:r>
      <w:r w:rsidR="000A71D2" w:rsidRPr="008762D1">
        <w:rPr>
          <w:rFonts w:ascii="ITC Avant Garde" w:hAnsi="ITC Avant Garde" w:cs="Segoe UI"/>
          <w:color w:val="000000" w:themeColor="text1"/>
        </w:rPr>
        <w:t xml:space="preserve">nicaciones define los puntos de </w:t>
      </w:r>
      <w:r w:rsidRPr="008762D1">
        <w:rPr>
          <w:rFonts w:ascii="ITC Avant Garde" w:hAnsi="ITC Avant Garde" w:cs="Segoe UI"/>
          <w:color w:val="000000" w:themeColor="text1"/>
        </w:rPr>
        <w:t>interconexión a la red pública de telecomunicaciones del Agente Económico Preponderante” (en lo sucesivo, el “Acuerdo de Puntos de Interconexión”).</w:t>
      </w:r>
    </w:p>
    <w:p w14:paraId="473D1F6A" w14:textId="77777777" w:rsidR="000F0B9F" w:rsidRPr="008762D1" w:rsidRDefault="00190E9B" w:rsidP="000F0B9F">
      <w:pPr>
        <w:pStyle w:val="IFTnormal"/>
        <w:numPr>
          <w:ilvl w:val="0"/>
          <w:numId w:val="11"/>
        </w:numPr>
        <w:spacing w:before="240" w:after="0"/>
        <w:ind w:right="49"/>
        <w:rPr>
          <w:b/>
          <w:color w:val="000000" w:themeColor="text1"/>
        </w:rPr>
      </w:pPr>
      <w:r w:rsidRPr="008762D1">
        <w:rPr>
          <w:b/>
          <w:color w:val="000000" w:themeColor="text1"/>
        </w:rPr>
        <w:t xml:space="preserve">Condiciones Técnicas Mínimas. </w:t>
      </w:r>
      <w:r w:rsidRPr="008762D1">
        <w:rPr>
          <w:color w:val="000000" w:themeColor="text1"/>
        </w:rPr>
        <w:t>El 3 de octubre de 2016, se publicó en el DOF el “ACUERDO MEDIANTE EL CUAL EL PLENO DEL INSTITUTO FEDERAL DE TEL</w:t>
      </w:r>
      <w:r w:rsidRPr="008762D1">
        <w:rPr>
          <w:color w:val="000000" w:themeColor="text1"/>
          <w:lang w:val="es-ES"/>
        </w:rPr>
        <w:t>E</w:t>
      </w:r>
      <w:r w:rsidRPr="008762D1">
        <w:rPr>
          <w:color w:val="000000" w:themeColor="text1"/>
        </w:rPr>
        <w:t>COMUNICACIONES ESTABLECE LAS CONDICIONES TÉCNICAS MÍNIMAS ENTRE CONCESIONARIOS QUE OPEREN REDES PÚBLICAS DE TELECOMUNICACIONES Y DETERMINA LAS TARIFAS DE INTERCONEXIÓN RESULTADO DE LA METODOLOGÍA PARA EL CÁLCULO DE COSTOS DE INTERCONEXIÓN QUE ESTARÁN VIGENTES DEL 1 DE ENERO AL 31 DE DICIEMBRE DE 2017” (en lo sucesivo, el “Acuerdo de Condiciones Técnicas Mínimas”).</w:t>
      </w:r>
    </w:p>
    <w:p w14:paraId="6B216AAC" w14:textId="77777777" w:rsidR="000F0B9F" w:rsidRPr="008762D1" w:rsidRDefault="00987929" w:rsidP="000F0B9F">
      <w:pPr>
        <w:pStyle w:val="Prrafodelista"/>
        <w:numPr>
          <w:ilvl w:val="0"/>
          <w:numId w:val="11"/>
        </w:numPr>
        <w:spacing w:before="240" w:after="0"/>
        <w:ind w:right="51"/>
        <w:jc w:val="both"/>
        <w:rPr>
          <w:rFonts w:ascii="ITC Avant Garde" w:hAnsi="ITC Avant Garde" w:cs="Arial"/>
          <w:b/>
          <w:color w:val="000000" w:themeColor="text1"/>
          <w:lang w:val="es-ES_tradnl" w:eastAsia="es-ES"/>
        </w:rPr>
      </w:pPr>
      <w:r w:rsidRPr="008762D1">
        <w:rPr>
          <w:rFonts w:ascii="ITC Avant Garde" w:hAnsi="ITC Avant Garde" w:cs="Arial"/>
          <w:b/>
          <w:bCs/>
          <w:color w:val="000000" w:themeColor="text1"/>
          <w:lang w:eastAsia="es-ES"/>
        </w:rPr>
        <w:lastRenderedPageBreak/>
        <w:t xml:space="preserve">Convenio Marco de Interconexión 2017. </w:t>
      </w:r>
      <w:r w:rsidRPr="008762D1">
        <w:rPr>
          <w:rFonts w:ascii="ITC Avant Garde" w:hAnsi="ITC Avant Garde" w:cs="Arial"/>
          <w:bCs/>
          <w:color w:val="000000" w:themeColor="text1"/>
          <w:lang w:eastAsia="es-ES"/>
        </w:rPr>
        <w:t>El 24 de noviembre de 2016 el Pleno del Instituto aprobó mediante acuerdo P/IFT/</w:t>
      </w:r>
      <w:r w:rsidR="006A648F" w:rsidRPr="008762D1">
        <w:rPr>
          <w:rFonts w:ascii="ITC Avant Garde" w:hAnsi="ITC Avant Garde" w:cs="Arial"/>
          <w:bCs/>
          <w:color w:val="000000" w:themeColor="text1"/>
          <w:lang w:eastAsia="es-ES"/>
        </w:rPr>
        <w:t>EXT/241116/40</w:t>
      </w:r>
      <w:r w:rsidRPr="008762D1">
        <w:rPr>
          <w:rFonts w:ascii="ITC Avant Garde" w:hAnsi="ITC Avant Garde" w:cs="Arial"/>
          <w:bCs/>
          <w:color w:val="000000" w:themeColor="text1"/>
          <w:lang w:eastAsia="es-ES"/>
        </w:rPr>
        <w:t xml:space="preserve"> la “Resolución mediante la cual el Pleno del Instituto Federal de Telecomunicaciones modifica y autoriza al Agente Económico Preponderante los términos y condiciones del Convenio Marco de Interconexión presentado por  </w:t>
      </w:r>
      <w:r w:rsidR="006A648F" w:rsidRPr="008762D1">
        <w:rPr>
          <w:rFonts w:ascii="ITC Avant Garde" w:hAnsi="ITC Avant Garde" w:cs="Arial"/>
          <w:bCs/>
          <w:color w:val="000000" w:themeColor="text1"/>
          <w:lang w:eastAsia="es-ES"/>
        </w:rPr>
        <w:t>Teléfonos de México</w:t>
      </w:r>
      <w:r w:rsidRPr="008762D1">
        <w:rPr>
          <w:rFonts w:ascii="ITC Avant Garde" w:hAnsi="ITC Avant Garde" w:cs="Arial"/>
          <w:bCs/>
          <w:color w:val="000000" w:themeColor="text1"/>
          <w:lang w:eastAsia="es-ES"/>
        </w:rPr>
        <w:t>, S.A.</w:t>
      </w:r>
      <w:r w:rsidR="006A648F" w:rsidRPr="008762D1">
        <w:rPr>
          <w:rFonts w:ascii="ITC Avant Garde" w:hAnsi="ITC Avant Garde" w:cs="Arial"/>
          <w:bCs/>
          <w:color w:val="000000" w:themeColor="text1"/>
          <w:lang w:eastAsia="es-ES"/>
        </w:rPr>
        <w:t>B.</w:t>
      </w:r>
      <w:r w:rsidRPr="008762D1">
        <w:rPr>
          <w:rFonts w:ascii="ITC Avant Garde" w:hAnsi="ITC Avant Garde" w:cs="Arial"/>
          <w:bCs/>
          <w:color w:val="000000" w:themeColor="text1"/>
          <w:lang w:eastAsia="es-ES"/>
        </w:rPr>
        <w:t xml:space="preserve"> de C.V. aplicable del 1 de enero al 31 de diciembre de 2017” (en lo sucesivo, el “CMI 2017”).</w:t>
      </w:r>
    </w:p>
    <w:p w14:paraId="1323131C" w14:textId="77777777" w:rsidR="000F0B9F" w:rsidRPr="008762D1" w:rsidRDefault="00987929" w:rsidP="000F0B9F">
      <w:pPr>
        <w:pStyle w:val="IFTnormal"/>
        <w:numPr>
          <w:ilvl w:val="0"/>
          <w:numId w:val="11"/>
        </w:numPr>
        <w:spacing w:before="240" w:after="0"/>
        <w:ind w:right="49"/>
        <w:rPr>
          <w:color w:val="000000" w:themeColor="text1"/>
        </w:rPr>
      </w:pPr>
      <w:r w:rsidRPr="008762D1">
        <w:rPr>
          <w:b/>
          <w:color w:val="000000" w:themeColor="text1"/>
        </w:rPr>
        <w:t>Resolución Bienal.</w:t>
      </w:r>
      <w:r w:rsidRPr="008762D1">
        <w:rPr>
          <w:color w:val="000000" w:themeColor="text1"/>
        </w:rPr>
        <w:t xml:space="preserve"> El 27 de febrero de 2017, el Pleno del Instituto en su IV Sesión Extraordinaria, aprobó </w:t>
      </w:r>
      <w:r w:rsidR="000E70E0" w:rsidRPr="008762D1">
        <w:rPr>
          <w:color w:val="000000" w:themeColor="text1"/>
        </w:rPr>
        <w:t>mediante acuerdo P/IFT/EXT/</w:t>
      </w:r>
      <w:r w:rsidRPr="008762D1">
        <w:rPr>
          <w:color w:val="000000" w:themeColor="text1"/>
        </w:rPr>
        <w:t>270217/119 la “</w:t>
      </w:r>
      <w:r w:rsidRPr="008762D1">
        <w:rPr>
          <w:rFonts w:eastAsia="Times New Roman"/>
          <w:color w:val="000000" w:themeColor="text1"/>
        </w:rPr>
        <w:t>Resolución mediante la cual el Pleno del Instituto Federal de Telecomunicaciones suprime, modifica y adiciona las medidas impuestas al Agente Económico Preponderante en el sector de telecomunicaciones mediante resolución de fecha 6 de marzo de 2014”, (en lo sucesivo, la “Resolución Bienal”)</w:t>
      </w:r>
      <w:r w:rsidRPr="008762D1">
        <w:rPr>
          <w:color w:val="000000" w:themeColor="text1"/>
        </w:rPr>
        <w:t>.</w:t>
      </w:r>
    </w:p>
    <w:p w14:paraId="0A1456C6" w14:textId="77777777" w:rsidR="000F0B9F" w:rsidRPr="008762D1" w:rsidRDefault="00B64311" w:rsidP="000F0B9F">
      <w:pPr>
        <w:spacing w:before="240" w:after="0"/>
        <w:ind w:left="709"/>
        <w:jc w:val="both"/>
        <w:rPr>
          <w:rFonts w:ascii="ITC Avant Garde" w:eastAsia="Times New Roman" w:hAnsi="ITC Avant Garde"/>
          <w:color w:val="000000" w:themeColor="text1"/>
        </w:rPr>
      </w:pPr>
      <w:r w:rsidRPr="008762D1">
        <w:rPr>
          <w:rFonts w:ascii="ITC Avant Garde" w:eastAsia="Times New Roman" w:hAnsi="ITC Avant Garde"/>
          <w:color w:val="000000" w:themeColor="text1"/>
        </w:rPr>
        <w:t xml:space="preserve">En la Resolución Bienal el Pleno del Instituto emitió el Anexo 2 en el que se </w:t>
      </w:r>
      <w:r w:rsidR="00E935CD" w:rsidRPr="008762D1">
        <w:rPr>
          <w:rFonts w:ascii="ITC Avant Garde" w:eastAsia="Times New Roman" w:hAnsi="ITC Avant Garde"/>
          <w:color w:val="000000" w:themeColor="text1"/>
        </w:rPr>
        <w:t>MODIFICAN</w:t>
      </w:r>
      <w:r w:rsidRPr="008762D1">
        <w:rPr>
          <w:rFonts w:ascii="ITC Avant Garde" w:eastAsia="Times New Roman" w:hAnsi="ITC Avant Garde"/>
          <w:color w:val="000000" w:themeColor="text1"/>
        </w:rPr>
        <w:t xml:space="preserve">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AEP, (en lo sucesivo, “Medidas Fijas”).</w:t>
      </w:r>
    </w:p>
    <w:p w14:paraId="5CBF9D0E" w14:textId="77777777" w:rsidR="000F0B9F" w:rsidRPr="008762D1" w:rsidRDefault="00892508" w:rsidP="000F0B9F">
      <w:pPr>
        <w:pStyle w:val="Prrafodelista"/>
        <w:widowControl w:val="0"/>
        <w:numPr>
          <w:ilvl w:val="0"/>
          <w:numId w:val="11"/>
        </w:numPr>
        <w:spacing w:before="240" w:after="0"/>
        <w:ind w:right="49"/>
        <w:jc w:val="both"/>
        <w:rPr>
          <w:rFonts w:eastAsia="Times New Roman"/>
          <w:bCs/>
          <w:color w:val="000000" w:themeColor="text1"/>
        </w:rPr>
      </w:pPr>
      <w:r w:rsidRPr="008762D1">
        <w:rPr>
          <w:rFonts w:ascii="ITC Avant Garde" w:hAnsi="ITC Avant Garde" w:cs="Arial"/>
          <w:b/>
          <w:color w:val="000000" w:themeColor="text1"/>
          <w:lang w:val="es-ES_tradnl" w:eastAsia="es-ES"/>
        </w:rPr>
        <w:t>Propuesta de Convenio Marco de Interconexión.</w:t>
      </w:r>
      <w:r w:rsidRPr="008762D1">
        <w:rPr>
          <w:rFonts w:eastAsia="Times New Roman"/>
          <w:bCs/>
          <w:color w:val="000000" w:themeColor="text1"/>
        </w:rPr>
        <w:t xml:space="preserve"> </w:t>
      </w:r>
      <w:r w:rsidRPr="008762D1">
        <w:rPr>
          <w:rFonts w:ascii="ITC Avant Garde" w:eastAsia="Times New Roman" w:hAnsi="ITC Avant Garde"/>
          <w:color w:val="000000" w:themeColor="text1"/>
        </w:rPr>
        <w:t>Mediante escrito recibido en la Oficialía de Partes del Instituto el 31 de marzo de 2017 con</w:t>
      </w:r>
      <w:r w:rsidR="000A4518" w:rsidRPr="008762D1">
        <w:rPr>
          <w:rFonts w:ascii="ITC Avant Garde" w:eastAsia="Times New Roman" w:hAnsi="ITC Avant Garde"/>
          <w:color w:val="000000" w:themeColor="text1"/>
        </w:rPr>
        <w:t xml:space="preserve"> número de folio asignado 036410</w:t>
      </w:r>
      <w:r w:rsidRPr="008762D1">
        <w:rPr>
          <w:rFonts w:ascii="ITC Avant Garde" w:eastAsia="Times New Roman" w:hAnsi="ITC Avant Garde"/>
          <w:color w:val="000000" w:themeColor="text1"/>
        </w:rPr>
        <w:t>, Teléfonos de México, S.A.B. de C.V. (en lo sucesivo, “Telmex”), como parte del A</w:t>
      </w:r>
      <w:r w:rsidR="00D47AB4" w:rsidRPr="008762D1">
        <w:rPr>
          <w:rFonts w:ascii="ITC Avant Garde" w:eastAsia="Times New Roman" w:hAnsi="ITC Avant Garde"/>
          <w:color w:val="000000" w:themeColor="text1"/>
        </w:rPr>
        <w:t xml:space="preserve">gente </w:t>
      </w:r>
      <w:r w:rsidRPr="008762D1">
        <w:rPr>
          <w:rFonts w:ascii="ITC Avant Garde" w:eastAsia="Times New Roman" w:hAnsi="ITC Avant Garde"/>
          <w:color w:val="000000" w:themeColor="text1"/>
        </w:rPr>
        <w:t>E</w:t>
      </w:r>
      <w:r w:rsidR="00D47AB4" w:rsidRPr="008762D1">
        <w:rPr>
          <w:rFonts w:ascii="ITC Avant Garde" w:eastAsia="Times New Roman" w:hAnsi="ITC Avant Garde"/>
          <w:color w:val="000000" w:themeColor="text1"/>
        </w:rPr>
        <w:t xml:space="preserve">conómico </w:t>
      </w:r>
      <w:r w:rsidRPr="008762D1">
        <w:rPr>
          <w:rFonts w:ascii="ITC Avant Garde" w:eastAsia="Times New Roman" w:hAnsi="ITC Avant Garde"/>
          <w:color w:val="000000" w:themeColor="text1"/>
        </w:rPr>
        <w:t>P</w:t>
      </w:r>
      <w:r w:rsidR="00D47AB4" w:rsidRPr="008762D1">
        <w:rPr>
          <w:rFonts w:ascii="ITC Avant Garde" w:eastAsia="Times New Roman" w:hAnsi="ITC Avant Garde"/>
          <w:color w:val="000000" w:themeColor="text1"/>
        </w:rPr>
        <w:t>reponderante (en lo sucesivo, el “AEP”)</w:t>
      </w:r>
      <w:r w:rsidRPr="008762D1">
        <w:rPr>
          <w:rFonts w:ascii="ITC Avant Garde" w:eastAsia="Times New Roman" w:hAnsi="ITC Avant Garde"/>
          <w:color w:val="000000" w:themeColor="text1"/>
        </w:rPr>
        <w:t>, en</w:t>
      </w:r>
      <w:r w:rsidR="00D47AB4" w:rsidRPr="008762D1">
        <w:rPr>
          <w:rFonts w:ascii="ITC Avant Garde" w:eastAsia="Times New Roman" w:hAnsi="ITC Avant Garde"/>
          <w:color w:val="000000" w:themeColor="text1"/>
        </w:rPr>
        <w:t xml:space="preserve"> términos de la Medida Duodécima</w:t>
      </w:r>
      <w:r w:rsidRPr="008762D1">
        <w:rPr>
          <w:rFonts w:ascii="ITC Avant Garde" w:eastAsia="Times New Roman" w:hAnsi="ITC Avant Garde"/>
          <w:color w:val="000000" w:themeColor="text1"/>
        </w:rPr>
        <w:t xml:space="preserve"> de las Medidas Fijas, presentó su propuesta de Convenio Marco de Interconexión, aplicable para el periodo comprendido entre el 1° de enero de 2018 y el 31 de diciembre de 2018</w:t>
      </w:r>
      <w:r w:rsidR="00D47AB4" w:rsidRPr="008762D1">
        <w:rPr>
          <w:rFonts w:ascii="ITC Avant Garde" w:eastAsia="Times New Roman" w:hAnsi="ITC Avant Garde"/>
          <w:color w:val="000000" w:themeColor="text1"/>
        </w:rPr>
        <w:t xml:space="preserve"> (en lo sucesivo, la “Propuesta de CMI”)</w:t>
      </w:r>
      <w:r w:rsidRPr="008762D1">
        <w:rPr>
          <w:rFonts w:ascii="ITC Avant Garde" w:eastAsia="Times New Roman" w:hAnsi="ITC Avant Garde"/>
          <w:color w:val="000000" w:themeColor="text1"/>
        </w:rPr>
        <w:t xml:space="preserve">. </w:t>
      </w:r>
    </w:p>
    <w:p w14:paraId="132D8D0D" w14:textId="77777777" w:rsidR="000F0B9F" w:rsidRPr="008762D1" w:rsidRDefault="00987929" w:rsidP="000F0B9F">
      <w:pPr>
        <w:pStyle w:val="IFTnormal"/>
        <w:numPr>
          <w:ilvl w:val="0"/>
          <w:numId w:val="11"/>
        </w:numPr>
        <w:spacing w:before="240" w:after="0"/>
        <w:ind w:right="49"/>
        <w:rPr>
          <w:color w:val="000000" w:themeColor="text1"/>
        </w:rPr>
      </w:pPr>
      <w:r w:rsidRPr="008762D1">
        <w:rPr>
          <w:b/>
          <w:color w:val="000000" w:themeColor="text1"/>
        </w:rPr>
        <w:lastRenderedPageBreak/>
        <w:t xml:space="preserve">Consulta Pública. </w:t>
      </w:r>
      <w:r w:rsidRPr="008762D1">
        <w:rPr>
          <w:color w:val="000000" w:themeColor="text1"/>
        </w:rPr>
        <w:t xml:space="preserve">El </w:t>
      </w:r>
      <w:r w:rsidR="00E935CD" w:rsidRPr="008762D1">
        <w:rPr>
          <w:color w:val="000000" w:themeColor="text1"/>
        </w:rPr>
        <w:t>2</w:t>
      </w:r>
      <w:r w:rsidRPr="008762D1">
        <w:rPr>
          <w:color w:val="000000" w:themeColor="text1"/>
        </w:rPr>
        <w:t>6 de abril de 2017 el Pleno del Instituto en su XV Sesión Ordinaria mediante Acuerdo P/IFT/260417/190 determinó someter a Consulta Pública por un plazo de 30 (treinta) días naturales contados a partir del día hábil siguiente al de su publicación en el portal de Internet del Instituto las propuestas de CMI presentadas por el AEP; en este sentido la Consulta Pública de mérito se realizó del 27 de abril al 26 de mayo de 2017.</w:t>
      </w:r>
    </w:p>
    <w:p w14:paraId="7E1E4240" w14:textId="77777777" w:rsidR="000F0B9F" w:rsidRPr="008762D1" w:rsidRDefault="00533712" w:rsidP="000F0B9F">
      <w:pPr>
        <w:pStyle w:val="IFTnormal"/>
        <w:numPr>
          <w:ilvl w:val="0"/>
          <w:numId w:val="11"/>
        </w:numPr>
        <w:spacing w:before="240" w:after="0"/>
        <w:ind w:right="49"/>
        <w:rPr>
          <w:color w:val="000000" w:themeColor="text1"/>
        </w:rPr>
      </w:pPr>
      <w:r w:rsidRPr="008762D1">
        <w:rPr>
          <w:rFonts w:eastAsia="Times New Roman"/>
          <w:b/>
          <w:bCs/>
          <w:color w:val="000000" w:themeColor="text1"/>
        </w:rPr>
        <w:t>Acuerdo de Modificación</w:t>
      </w:r>
      <w:r w:rsidRPr="008762D1">
        <w:rPr>
          <w:b/>
          <w:color w:val="000000" w:themeColor="text1"/>
        </w:rPr>
        <w:t xml:space="preserve">. </w:t>
      </w:r>
      <w:r w:rsidRPr="008762D1">
        <w:rPr>
          <w:color w:val="000000" w:themeColor="text1"/>
        </w:rPr>
        <w:t>Con fecha 14 de junio de 2017, el Pleno del Instituto aprobó mediante acuerdo P/IFT/</w:t>
      </w:r>
      <w:r w:rsidR="007571DE" w:rsidRPr="008762D1">
        <w:rPr>
          <w:color w:val="000000" w:themeColor="text1"/>
        </w:rPr>
        <w:t>140617/320</w:t>
      </w:r>
      <w:r w:rsidRPr="008762D1">
        <w:rPr>
          <w:color w:val="000000" w:themeColor="text1"/>
        </w:rPr>
        <w:t xml:space="preserve"> el “</w:t>
      </w:r>
      <w:r w:rsidRPr="008762D1">
        <w:rPr>
          <w:rFonts w:cs="Segoe UI"/>
          <w:color w:val="000000" w:themeColor="text1"/>
        </w:rPr>
        <w:t xml:space="preserve">ACUERDO MEDIANTE EL CUAL EL PLENO DEL INSTITUTO FEDERAL DE TELECOMUNICACIONES MODIFICA AL AGENTE ECONÓMICO PREPONDERANTE LOS TÉRMINOS Y CONDICIONES DEL CONVENIO MARCO DE INTERCONEXIÓN PRESENTADO POR </w:t>
      </w:r>
      <w:r w:rsidR="005212F5" w:rsidRPr="008762D1">
        <w:rPr>
          <w:rFonts w:cs="Segoe UI"/>
          <w:color w:val="000000" w:themeColor="text1"/>
        </w:rPr>
        <w:t>TELÉFONOS DE MÉXICO</w:t>
      </w:r>
      <w:r w:rsidRPr="008762D1">
        <w:rPr>
          <w:rFonts w:cs="Segoe UI"/>
          <w:color w:val="000000" w:themeColor="text1"/>
        </w:rPr>
        <w:t>, S.A.</w:t>
      </w:r>
      <w:r w:rsidR="005212F5" w:rsidRPr="008762D1">
        <w:rPr>
          <w:rFonts w:cs="Segoe UI"/>
          <w:color w:val="000000" w:themeColor="text1"/>
        </w:rPr>
        <w:t>B.</w:t>
      </w:r>
      <w:r w:rsidRPr="008762D1">
        <w:rPr>
          <w:rFonts w:cs="Segoe UI"/>
          <w:color w:val="000000" w:themeColor="text1"/>
        </w:rPr>
        <w:t xml:space="preserve"> DE C.V. APLICABLE DEL 1 DE ENERO AL 31 DE DICIEMBRE DE 2018 Y DA VISTA PARA QUE MANIFIESTE LO QUE A SU DERECHO CONVENGA.” (en lo sucesivo, el “Acuerdo”).</w:t>
      </w:r>
    </w:p>
    <w:p w14:paraId="6464817A" w14:textId="77777777" w:rsidR="000F0B9F" w:rsidRPr="008762D1" w:rsidRDefault="00533712" w:rsidP="000F0B9F">
      <w:pPr>
        <w:pStyle w:val="IFTnormal"/>
        <w:numPr>
          <w:ilvl w:val="0"/>
          <w:numId w:val="11"/>
        </w:numPr>
        <w:spacing w:before="240" w:after="0"/>
        <w:ind w:right="49"/>
        <w:rPr>
          <w:b/>
          <w:color w:val="000000" w:themeColor="text1"/>
        </w:rPr>
      </w:pPr>
      <w:r w:rsidRPr="008762D1">
        <w:rPr>
          <w:b/>
          <w:color w:val="000000" w:themeColor="text1"/>
        </w:rPr>
        <w:t>Escrito de Respuesta.</w:t>
      </w:r>
      <w:r w:rsidRPr="008762D1">
        <w:rPr>
          <w:color w:val="000000" w:themeColor="text1"/>
        </w:rPr>
        <w:t xml:space="preserve"> Mediante escrito recibido en oficialía de partes de este Instituto el </w:t>
      </w:r>
      <w:r w:rsidR="000A4518" w:rsidRPr="008762D1">
        <w:rPr>
          <w:color w:val="000000" w:themeColor="text1"/>
        </w:rPr>
        <w:t>3 de agosto</w:t>
      </w:r>
      <w:r w:rsidRPr="008762D1">
        <w:rPr>
          <w:color w:val="000000" w:themeColor="text1"/>
        </w:rPr>
        <w:t xml:space="preserve"> de 2017 identificado con número </w:t>
      </w:r>
      <w:r w:rsidR="000A4518" w:rsidRPr="008762D1">
        <w:rPr>
          <w:color w:val="000000" w:themeColor="text1"/>
        </w:rPr>
        <w:t>de folio 038479</w:t>
      </w:r>
      <w:r w:rsidRPr="008762D1">
        <w:rPr>
          <w:color w:val="000000" w:themeColor="text1"/>
        </w:rPr>
        <w:t xml:space="preserve">, </w:t>
      </w:r>
      <w:r w:rsidR="003875A5" w:rsidRPr="008762D1">
        <w:rPr>
          <w:color w:val="000000" w:themeColor="text1"/>
        </w:rPr>
        <w:t>Telmex</w:t>
      </w:r>
      <w:r w:rsidRPr="008762D1">
        <w:rPr>
          <w:color w:val="000000" w:themeColor="text1"/>
        </w:rPr>
        <w:t xml:space="preserve"> presentó el escrito de respuesta al Acuerdo (en lo sucesivo, el “Escrito de Respuesta”), mismo que se acompañó de una nueva versión del Convenio Marco de Interconexión (en lo sucesivo, el “CMI Modificado”) con el cual manifiesta lo que a su derecho conviene sobre las modificaciones realizadas en el mencionado Acuerdo.</w:t>
      </w:r>
      <w:r w:rsidRPr="008762D1">
        <w:rPr>
          <w:b/>
          <w:color w:val="000000" w:themeColor="text1"/>
        </w:rPr>
        <w:t xml:space="preserve"> </w:t>
      </w:r>
    </w:p>
    <w:p w14:paraId="5E7BF180" w14:textId="77777777" w:rsidR="000F0B9F" w:rsidRPr="008762D1" w:rsidRDefault="00C74AAB" w:rsidP="000F0B9F">
      <w:pPr>
        <w:pStyle w:val="IFTnormal"/>
        <w:spacing w:before="240" w:after="0"/>
        <w:rPr>
          <w:color w:val="000000" w:themeColor="text1"/>
        </w:rPr>
      </w:pPr>
      <w:r w:rsidRPr="008762D1">
        <w:rPr>
          <w:color w:val="000000" w:themeColor="text1"/>
        </w:rPr>
        <w:t>En virtud de los citados Antecedentes, y</w:t>
      </w:r>
    </w:p>
    <w:p w14:paraId="67D7E291" w14:textId="77777777" w:rsidR="000F0B9F" w:rsidRPr="008762D1" w:rsidRDefault="00C74AAB" w:rsidP="000F0B9F">
      <w:pPr>
        <w:pStyle w:val="Ttulo2"/>
        <w:spacing w:before="240" w:after="0"/>
        <w:jc w:val="center"/>
        <w:rPr>
          <w:color w:val="000000" w:themeColor="text1"/>
        </w:rPr>
      </w:pPr>
      <w:bookmarkStart w:id="1" w:name="_Toc426973640"/>
      <w:r w:rsidRPr="008762D1">
        <w:rPr>
          <w:color w:val="000000" w:themeColor="text1"/>
        </w:rPr>
        <w:t>CONSIDERANDO</w:t>
      </w:r>
      <w:bookmarkEnd w:id="0"/>
      <w:bookmarkEnd w:id="1"/>
    </w:p>
    <w:p w14:paraId="71426713" w14:textId="3CB0DB3F" w:rsidR="000F0B9F" w:rsidRPr="008762D1" w:rsidRDefault="00B67915" w:rsidP="000F0B9F">
      <w:pPr>
        <w:spacing w:before="240" w:after="0" w:line="276" w:lineRule="auto"/>
        <w:jc w:val="both"/>
        <w:rPr>
          <w:rFonts w:ascii="ITC Avant Garde" w:eastAsia="Calibri" w:hAnsi="ITC Avant Garde" w:cs="Arial"/>
          <w:bCs/>
          <w:color w:val="000000" w:themeColor="text1"/>
        </w:rPr>
      </w:pPr>
      <w:r w:rsidRPr="008762D1">
        <w:rPr>
          <w:rFonts w:ascii="ITC Avant Garde" w:eastAsia="Times New Roman" w:hAnsi="ITC Avant Garde"/>
          <w:b/>
          <w:bCs/>
          <w:color w:val="000000" w:themeColor="text1"/>
        </w:rPr>
        <w:t xml:space="preserve">PRIMERO.- Competencia del Instituto. </w:t>
      </w:r>
      <w:r w:rsidR="008A6CBD" w:rsidRPr="008762D1">
        <w:rPr>
          <w:rFonts w:ascii="ITC Avant Garde" w:eastAsia="Calibri" w:hAnsi="ITC Avant Garde" w:cs="Arial"/>
          <w:bCs/>
          <w:color w:val="000000" w:themeColor="text1"/>
        </w:rPr>
        <w:t>De conformidad con el artículo 28, párrafos décimo quinto y décimo sexto de la C</w:t>
      </w:r>
      <w:r w:rsidR="006522CD" w:rsidRPr="008762D1">
        <w:rPr>
          <w:rFonts w:ascii="ITC Avant Garde" w:eastAsia="Calibri" w:hAnsi="ITC Avant Garde" w:cs="Arial"/>
          <w:bCs/>
          <w:color w:val="000000" w:themeColor="text1"/>
        </w:rPr>
        <w:t>onstitución, el Instituto tiene</w:t>
      </w:r>
      <w:r w:rsidR="008A6CBD" w:rsidRPr="008762D1">
        <w:rPr>
          <w:rFonts w:ascii="ITC Avant Garde" w:eastAsia="Calibri" w:hAnsi="ITC Avant Garde" w:cs="Arial"/>
          <w:bCs/>
          <w:color w:val="000000" w:themeColor="text1"/>
        </w:rPr>
        <w:t xml:space="preserv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w:t>
      </w:r>
      <w:proofErr w:type="spellStart"/>
      <w:r w:rsidR="008A6CBD" w:rsidRPr="008762D1">
        <w:rPr>
          <w:rFonts w:ascii="ITC Avant Garde" w:eastAsia="Calibri" w:hAnsi="ITC Avant Garde" w:cs="Arial"/>
          <w:bCs/>
          <w:color w:val="000000" w:themeColor="text1"/>
        </w:rPr>
        <w:t>concesionamiento</w:t>
      </w:r>
      <w:proofErr w:type="spellEnd"/>
      <w:r w:rsidR="008A6CBD" w:rsidRPr="008762D1">
        <w:rPr>
          <w:rFonts w:ascii="ITC Avant Garde" w:eastAsia="Calibri" w:hAnsi="ITC Avant Garde" w:cs="Arial"/>
          <w:bCs/>
          <w:color w:val="000000" w:themeColor="text1"/>
        </w:rPr>
        <w:t xml:space="preserve"> y a la propiedad cruzada que controle varios medios de comunicación que sean concesionarios de radiodifusión y telecomunicaciones que sirvan a un mismo mercado o zona de cobertura </w:t>
      </w:r>
      <w:r w:rsidR="008A6CBD" w:rsidRPr="008762D1">
        <w:rPr>
          <w:rFonts w:ascii="ITC Avant Garde" w:eastAsia="Calibri" w:hAnsi="ITC Avant Garde" w:cs="Arial"/>
          <w:bCs/>
          <w:color w:val="000000" w:themeColor="text1"/>
        </w:rPr>
        <w:lastRenderedPageBreak/>
        <w:t>geográfica, y ordenará la desincorporación de activos, derechos o partes necesarias para asegurar el cumplimiento de estos límites, garantizando con ello lo dispuesto en los artículos 6o. y 7o. de la Constitución.</w:t>
      </w:r>
    </w:p>
    <w:p w14:paraId="14596707" w14:textId="77777777" w:rsidR="000F0B9F" w:rsidRPr="008762D1" w:rsidRDefault="006522CD" w:rsidP="000F0B9F">
      <w:pPr>
        <w:spacing w:before="240" w:after="0" w:line="276" w:lineRule="auto"/>
        <w:jc w:val="both"/>
        <w:rPr>
          <w:rFonts w:ascii="ITC Avant Garde" w:eastAsia="Calibri" w:hAnsi="ITC Avant Garde" w:cs="Arial"/>
          <w:bCs/>
          <w:color w:val="000000" w:themeColor="text1"/>
        </w:rPr>
      </w:pPr>
      <w:r w:rsidRPr="008762D1">
        <w:rPr>
          <w:rFonts w:ascii="ITC Avant Garde" w:eastAsia="Calibri" w:hAnsi="ITC Avant Garde" w:cs="Arial"/>
          <w:bCs/>
          <w:color w:val="000000" w:themeColor="text1"/>
        </w:rPr>
        <w:t>Ahora bien, e</w:t>
      </w:r>
      <w:r w:rsidR="008A6CBD" w:rsidRPr="008762D1">
        <w:rPr>
          <w:rFonts w:ascii="ITC Avant Garde" w:eastAsia="Calibri" w:hAnsi="ITC Avant Garde" w:cs="Arial"/>
          <w:bCs/>
          <w:color w:val="000000" w:themeColor="text1"/>
        </w:rPr>
        <w:t>n cumplimiento a lo establecido en el artículo Octavo transitorio, fracción III del Decreto y mediante la Resolución AEP, el Instituto determinó la existencia de Agentes Económicos Preponderantes en los sectores de radiodifusión y de telecomunicaciones, e impuso las medidas necesarias para evitar que se afecte la competencia y la libre concurrencia y con ello, a los usuarios finales. Dichas medidas incluyen las Medidas Móviles y Medidas Fijas,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2247A103" w14:textId="77777777" w:rsidR="000F0B9F" w:rsidRPr="008762D1" w:rsidRDefault="006522CD" w:rsidP="000F0B9F">
      <w:pPr>
        <w:spacing w:before="240" w:after="0" w:line="276" w:lineRule="auto"/>
        <w:jc w:val="both"/>
        <w:rPr>
          <w:rFonts w:ascii="ITC Avant Garde" w:eastAsia="Calibri" w:hAnsi="ITC Avant Garde" w:cs="Arial"/>
          <w:bCs/>
          <w:color w:val="000000" w:themeColor="text1"/>
        </w:rPr>
      </w:pPr>
      <w:r w:rsidRPr="008762D1">
        <w:rPr>
          <w:rFonts w:ascii="ITC Avant Garde" w:eastAsia="Calibri" w:hAnsi="ITC Avant Garde" w:cs="Arial"/>
          <w:bCs/>
          <w:color w:val="000000" w:themeColor="text1"/>
        </w:rPr>
        <w:t>Asimismo, e</w:t>
      </w:r>
      <w:r w:rsidR="008A6CBD" w:rsidRPr="008762D1">
        <w:rPr>
          <w:rFonts w:ascii="ITC Avant Garde" w:eastAsia="Calibri" w:hAnsi="ITC Avant Garde" w:cs="Arial"/>
          <w:bCs/>
          <w:color w:val="000000" w:themeColor="text1"/>
        </w:rPr>
        <w:t>l artículo Trigésimo Quinto transitorio del Decreto de Ley dispone que las resoluciones administrativas que el Instituto hubiere emitido previamente a la entrada en vigor del mismo en materia de preponderancia, continuarán surtiendo todos sus efectos</w:t>
      </w:r>
      <w:r w:rsidR="001068C7" w:rsidRPr="008762D1">
        <w:rPr>
          <w:rFonts w:ascii="ITC Avant Garde" w:eastAsia="Calibri" w:hAnsi="ITC Avant Garde" w:cs="Arial"/>
          <w:bCs/>
          <w:color w:val="000000" w:themeColor="text1"/>
        </w:rPr>
        <w:t>, por lo que la Resolución AEP y sus anexos se encuentran vigentes</w:t>
      </w:r>
      <w:r w:rsidR="00CA7B48" w:rsidRPr="008762D1">
        <w:rPr>
          <w:rFonts w:ascii="ITC Avant Garde" w:eastAsia="Calibri" w:hAnsi="ITC Avant Garde" w:cs="Arial"/>
          <w:bCs/>
          <w:color w:val="000000" w:themeColor="text1"/>
        </w:rPr>
        <w:t>.</w:t>
      </w:r>
    </w:p>
    <w:p w14:paraId="144F4AE7" w14:textId="601BB6FB" w:rsidR="000F0B9F" w:rsidRPr="008762D1" w:rsidRDefault="00D33010" w:rsidP="000F0B9F">
      <w:pPr>
        <w:pStyle w:val="IFTnormal"/>
        <w:spacing w:before="240" w:after="0"/>
        <w:rPr>
          <w:color w:val="000000" w:themeColor="text1"/>
        </w:rPr>
      </w:pPr>
      <w:r w:rsidRPr="008762D1">
        <w:rPr>
          <w:b/>
          <w:iCs/>
          <w:color w:val="000000" w:themeColor="text1"/>
        </w:rPr>
        <w:t>SEGUNDO.-</w:t>
      </w:r>
      <w:r w:rsidRPr="008762D1">
        <w:rPr>
          <w:color w:val="000000" w:themeColor="text1"/>
        </w:rPr>
        <w:t xml:space="preserve"> </w:t>
      </w:r>
      <w:r w:rsidRPr="008762D1">
        <w:rPr>
          <w:b/>
          <w:color w:val="000000" w:themeColor="text1"/>
        </w:rPr>
        <w:t xml:space="preserve">Convenio Marco de Interconexión. </w:t>
      </w:r>
      <w:r w:rsidRPr="008762D1">
        <w:rPr>
          <w:color w:val="000000" w:themeColor="text1"/>
        </w:rPr>
        <w:t>Como se estableció en la Resolución AEP, la interconexión de las redes y el establecimiento de condiciones equitativas, constituye un elemento clave en el desarrollo de la competencia efectiva del sector de las telecomunicaciones.</w:t>
      </w:r>
    </w:p>
    <w:p w14:paraId="3651B78A" w14:textId="77777777" w:rsidR="000F0B9F" w:rsidRPr="008762D1" w:rsidRDefault="00D33010" w:rsidP="000F0B9F">
      <w:pPr>
        <w:pStyle w:val="IFTnormal"/>
        <w:spacing w:before="240" w:after="0"/>
        <w:rPr>
          <w:color w:val="000000" w:themeColor="text1"/>
          <w:shd w:val="clear" w:color="auto" w:fill="FFFFFF"/>
        </w:rPr>
      </w:pPr>
      <w:r w:rsidRPr="008762D1">
        <w:rPr>
          <w:color w:val="000000" w:themeColor="text1"/>
          <w:shd w:val="clear" w:color="auto" w:fill="FFFFFF"/>
        </w:rPr>
        <w:t>En este sentido, en las Medidas Fijas se estableció la obligación del AEP de ofrecer los diversos servicios de Interconexión sobre bases no discriminatorias, bajo una oferta regulada por la autoridad.</w:t>
      </w:r>
    </w:p>
    <w:p w14:paraId="7503ECBC" w14:textId="77777777" w:rsidR="000F0B9F" w:rsidRPr="008762D1" w:rsidRDefault="00D33010" w:rsidP="000F0B9F">
      <w:pPr>
        <w:pStyle w:val="IFTnormal"/>
        <w:spacing w:before="240" w:after="0"/>
        <w:rPr>
          <w:color w:val="000000" w:themeColor="text1"/>
        </w:rPr>
      </w:pPr>
      <w:r w:rsidRPr="008762D1">
        <w:rPr>
          <w:color w:val="000000" w:themeColor="text1"/>
        </w:rPr>
        <w:t>El Convenio Marco de Interconexión (en lo sucesivo, el “CMI”) tiene por objeto poner a disposición de los Concesionarios Solicitantes los términos y condiciones en los que el AEP, ofrecerá los servicios de Interconexión, con lo cual los Concesionarios Solicitantes (en lo sucesivo, los “CS”) contarán con la información necesaria que les permita llevar a</w:t>
      </w:r>
      <w:r w:rsidR="004A4248" w:rsidRPr="008762D1">
        <w:rPr>
          <w:color w:val="000000" w:themeColor="text1"/>
        </w:rPr>
        <w:t xml:space="preserve"> </w:t>
      </w:r>
      <w:r w:rsidRPr="008762D1">
        <w:rPr>
          <w:color w:val="000000" w:themeColor="text1"/>
        </w:rPr>
        <w:t>cabo la interconexión de una manera expedita, en términos no discriminatorios y con la suficiente información.</w:t>
      </w:r>
    </w:p>
    <w:p w14:paraId="701DFA89" w14:textId="77777777" w:rsidR="000F0B9F" w:rsidRPr="008762D1" w:rsidRDefault="00D33010" w:rsidP="000F0B9F">
      <w:pPr>
        <w:pStyle w:val="IFTnormal"/>
        <w:spacing w:before="240" w:after="0"/>
        <w:rPr>
          <w:color w:val="000000" w:themeColor="text1"/>
        </w:rPr>
      </w:pPr>
      <w:r w:rsidRPr="008762D1">
        <w:rPr>
          <w:color w:val="000000" w:themeColor="text1"/>
        </w:rPr>
        <w:t>La utilización de un CMI presentado por el AEP, y revisado por el Instituto, otorga certeza en la provisión de los servicios mayoristas, ya que el Concesionario Solicitante tiene conocimiento de los términos y condiciones que puede aceptar, acortando los tiempos para la prestación de los servicios de interconexión.</w:t>
      </w:r>
    </w:p>
    <w:p w14:paraId="1E46657D" w14:textId="77777777" w:rsidR="000F0B9F" w:rsidRPr="008762D1" w:rsidRDefault="00D33010" w:rsidP="000F0B9F">
      <w:pPr>
        <w:pStyle w:val="IFTnormal"/>
        <w:spacing w:before="240" w:after="0"/>
        <w:rPr>
          <w:color w:val="000000" w:themeColor="text1"/>
        </w:rPr>
      </w:pPr>
      <w:r w:rsidRPr="008762D1">
        <w:rPr>
          <w:color w:val="000000" w:themeColor="text1"/>
        </w:rPr>
        <w:lastRenderedPageBreak/>
        <w:t xml:space="preserve">La supervisión del Instituto tiene como propósito que los servicios de interconexión se presten de manera justa y equitativa, evitando </w:t>
      </w:r>
      <w:r w:rsidR="004A4248" w:rsidRPr="008762D1">
        <w:rPr>
          <w:color w:val="000000" w:themeColor="text1"/>
        </w:rPr>
        <w:t>generar barreras a la competencia</w:t>
      </w:r>
      <w:r w:rsidRPr="008762D1">
        <w:rPr>
          <w:color w:val="000000" w:themeColor="text1"/>
        </w:rPr>
        <w:t xml:space="preserve"> en la prestación de los mismos, por lo que se hace necesario que el Instituto pueda solicitar y realizar modificaciones al CMI para asegurar que los términos y condiciones que se establezcan permitan mejorar la competencia en el mercado y conseguir mejores condiciones de calidad y precio para los consumidores.</w:t>
      </w:r>
    </w:p>
    <w:p w14:paraId="3842BEF5" w14:textId="77777777" w:rsidR="000F0B9F" w:rsidRPr="008762D1" w:rsidRDefault="00D33010" w:rsidP="000F0B9F">
      <w:pPr>
        <w:pStyle w:val="IFTnormal"/>
        <w:spacing w:before="240" w:after="0"/>
        <w:rPr>
          <w:color w:val="000000" w:themeColor="text1"/>
        </w:rPr>
      </w:pPr>
      <w:r w:rsidRPr="008762D1">
        <w:rPr>
          <w:color w:val="000000" w:themeColor="text1"/>
        </w:rPr>
        <w:t>Asimismo, para dotar de certeza jurídica a los Concesionarios Solicitantes que requieran los servicios de interconexión con la red del AEP, así como a</w:t>
      </w:r>
      <w:r w:rsidRPr="008762D1">
        <w:rPr>
          <w:rFonts w:eastAsia="Times New Roman" w:cs="Calibri"/>
          <w:color w:val="000000" w:themeColor="text1"/>
          <w:lang w:eastAsia="es-MX"/>
        </w:rPr>
        <w:t xml:space="preserve"> </w:t>
      </w:r>
      <w:r w:rsidRPr="008762D1">
        <w:rPr>
          <w:color w:val="000000" w:themeColor="text1"/>
        </w:rPr>
        <w:t>este último; la Resolución AEP y la Resolución Bienal estimó conveniente la existencia de un Convenio por medio del cual se formalice la relación contractual y que además sea revisado por este Instituto, para con ello dotar de seguridad a los Concesionarios Solicitantes respecto de los servicios que les sean proporcionados, asegurando con ello términos y condiciones justas y equitativas para que no se incurra en prácticas contrarias a la sana competencia.</w:t>
      </w:r>
    </w:p>
    <w:p w14:paraId="0B3619EA" w14:textId="77777777" w:rsidR="000F0B9F" w:rsidRPr="008762D1" w:rsidRDefault="00D33010" w:rsidP="000F0B9F">
      <w:pPr>
        <w:pStyle w:val="IFTnormal"/>
        <w:spacing w:before="240" w:after="0"/>
        <w:rPr>
          <w:color w:val="000000" w:themeColor="text1"/>
        </w:rPr>
      </w:pPr>
      <w:r w:rsidRPr="008762D1">
        <w:rPr>
          <w:color w:val="000000" w:themeColor="text1"/>
          <w:lang w:val="es-ES"/>
        </w:rPr>
        <w:t>Lo anterior quedó plasmado en la Medida DUODÉCIMA de las Medidas Fijas, por lo que en cumplimiento de la misma</w:t>
      </w:r>
      <w:r w:rsidRPr="008762D1">
        <w:rPr>
          <w:color w:val="000000" w:themeColor="text1"/>
        </w:rPr>
        <w:t xml:space="preserve">, el CMI deberá ser aprobado por el Instituto, pues éste tiene la obligación de vigilar en todo momento que dicho Convenio cumpla con lo establecido en las Medidas Fijas. Además, y de conformidad con lo previsto en las medidas fijas, el Instituto cuenta con la facultad de requerir al AEP modificar los términos y condiciones del mismo cuando a su juicio no se ajusten a lo establecido en las Medidas Fijas o no ofrezcan condiciones que favorezcan la competencia en el sector. </w:t>
      </w:r>
    </w:p>
    <w:p w14:paraId="76274B3C" w14:textId="77777777" w:rsidR="000F0B9F" w:rsidRPr="008762D1" w:rsidRDefault="00D33010" w:rsidP="000F0B9F">
      <w:pPr>
        <w:spacing w:before="240" w:after="0"/>
        <w:jc w:val="both"/>
        <w:rPr>
          <w:rFonts w:ascii="ITC Avant Garde" w:hAnsi="ITC Avant Garde" w:cs="Arial"/>
          <w:b/>
          <w:bCs/>
          <w:color w:val="000000" w:themeColor="text1"/>
        </w:rPr>
      </w:pPr>
      <w:r w:rsidRPr="008762D1">
        <w:rPr>
          <w:rFonts w:ascii="ITC Avant Garde" w:hAnsi="ITC Avant Garde" w:cs="Arial"/>
          <w:b/>
          <w:bCs/>
          <w:color w:val="000000" w:themeColor="text1"/>
        </w:rPr>
        <w:t>TERCERO</w:t>
      </w:r>
      <w:r w:rsidRPr="008762D1">
        <w:rPr>
          <w:rFonts w:ascii="ITC Avant Garde" w:hAnsi="ITC Avant Garde" w:cs="Arial"/>
          <w:bCs/>
          <w:color w:val="000000" w:themeColor="text1"/>
        </w:rPr>
        <w:t xml:space="preserve">.- </w:t>
      </w:r>
      <w:r w:rsidRPr="008762D1">
        <w:rPr>
          <w:rFonts w:ascii="ITC Avant Garde" w:hAnsi="ITC Avant Garde" w:cs="Arial"/>
          <w:b/>
          <w:bCs/>
          <w:color w:val="000000" w:themeColor="text1"/>
        </w:rPr>
        <w:t>Procedimiento de revisión del Convenio Marco de Interconexión.-</w:t>
      </w:r>
      <w:r w:rsidRPr="008762D1">
        <w:rPr>
          <w:color w:val="000000" w:themeColor="text1"/>
        </w:rPr>
        <w:t xml:space="preserve"> </w:t>
      </w:r>
      <w:r w:rsidRPr="008762D1">
        <w:rPr>
          <w:rFonts w:ascii="ITC Avant Garde" w:hAnsi="ITC Avant Garde" w:cs="Arial"/>
          <w:bCs/>
          <w:color w:val="000000" w:themeColor="text1"/>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7144C2C3" w14:textId="77777777" w:rsidR="000F0B9F" w:rsidRPr="008762D1" w:rsidRDefault="00D33010" w:rsidP="000F0B9F">
      <w:pPr>
        <w:spacing w:before="240" w:after="0"/>
        <w:jc w:val="both"/>
        <w:rPr>
          <w:rFonts w:ascii="ITC Avant Garde" w:hAnsi="ITC Avant Garde" w:cs="Arial"/>
          <w:bCs/>
          <w:color w:val="000000" w:themeColor="text1"/>
        </w:rPr>
      </w:pPr>
      <w:r w:rsidRPr="008762D1">
        <w:rPr>
          <w:rFonts w:ascii="ITC Avant Garde" w:hAnsi="ITC Avant Garde" w:cs="Arial"/>
          <w:bCs/>
          <w:color w:val="000000" w:themeColor="text1"/>
        </w:rPr>
        <w:t>Es así que, uno de los objetivos de la LFTR es regular el uso y aprovechamiento de las redes públicas de telecomunicaciones, así como la prestación de los servicios públicos de interés general de telecomunicaciones.</w:t>
      </w:r>
    </w:p>
    <w:p w14:paraId="2D1769EC" w14:textId="77777777" w:rsidR="000F0B9F" w:rsidRPr="008762D1" w:rsidRDefault="00D33010" w:rsidP="000F0B9F">
      <w:pPr>
        <w:spacing w:before="240" w:after="0"/>
        <w:jc w:val="both"/>
        <w:rPr>
          <w:rFonts w:ascii="ITC Avant Garde" w:eastAsia="Times New Roman" w:hAnsi="ITC Avant Garde"/>
          <w:color w:val="000000" w:themeColor="text1"/>
        </w:rPr>
      </w:pPr>
      <w:r w:rsidRPr="008762D1">
        <w:rPr>
          <w:rFonts w:ascii="ITC Avant Garde" w:eastAsia="Times New Roman" w:hAnsi="ITC Avant Garde"/>
          <w:color w:val="000000" w:themeColor="text1"/>
          <w:szCs w:val="20"/>
        </w:rPr>
        <w:t xml:space="preserve">En este sentido, la Medida Duodécima de las Medidas Fijas determinadas por la Resolución AEP y la Resolución Bienal, </w:t>
      </w:r>
      <w:r w:rsidRPr="008762D1">
        <w:rPr>
          <w:rFonts w:ascii="ITC Avant Garde" w:eastAsia="Times New Roman" w:hAnsi="ITC Avant Garde"/>
          <w:color w:val="000000" w:themeColor="text1"/>
        </w:rPr>
        <w:t xml:space="preserve">establecen que el AEP deberá, en el primer trimestre de cada año, presentar para </w:t>
      </w:r>
      <w:r w:rsidR="00740F44" w:rsidRPr="008762D1">
        <w:rPr>
          <w:rFonts w:ascii="ITC Avant Garde" w:eastAsia="Times New Roman" w:hAnsi="ITC Avant Garde"/>
          <w:color w:val="000000" w:themeColor="text1"/>
        </w:rPr>
        <w:t xml:space="preserve">aprobación </w:t>
      </w:r>
      <w:r w:rsidRPr="008762D1">
        <w:rPr>
          <w:rFonts w:ascii="ITC Avant Garde" w:eastAsia="Times New Roman" w:hAnsi="ITC Avant Garde"/>
          <w:color w:val="000000" w:themeColor="text1"/>
        </w:rPr>
        <w:t xml:space="preserve">del Instituto un Convenio Marco de Interconexión que cumpla con lo establecido en la legislación aplicable, así como cualquier otra disposición en materia de interconexión. </w:t>
      </w:r>
    </w:p>
    <w:p w14:paraId="26E5F10C" w14:textId="77777777" w:rsidR="000F0B9F" w:rsidRPr="008762D1" w:rsidRDefault="00D33010" w:rsidP="000F0B9F">
      <w:pPr>
        <w:spacing w:before="240" w:after="0"/>
        <w:jc w:val="both"/>
        <w:rPr>
          <w:rFonts w:ascii="ITC Avant Garde" w:eastAsia="Times New Roman" w:hAnsi="ITC Avant Garde"/>
          <w:color w:val="000000" w:themeColor="text1"/>
          <w:szCs w:val="20"/>
        </w:rPr>
      </w:pPr>
      <w:r w:rsidRPr="008762D1">
        <w:rPr>
          <w:rFonts w:ascii="ITC Avant Garde" w:eastAsia="Times New Roman" w:hAnsi="ITC Avant Garde"/>
          <w:color w:val="000000" w:themeColor="text1"/>
          <w:szCs w:val="20"/>
        </w:rPr>
        <w:lastRenderedPageBreak/>
        <w:t xml:space="preserve">Asimismo, se estableció que la vigencia del Convenio Marco de Interconexión, el procedimiento para su presentación y </w:t>
      </w:r>
      <w:r w:rsidR="0064040F" w:rsidRPr="008762D1">
        <w:rPr>
          <w:rFonts w:ascii="ITC Avant Garde" w:eastAsia="Times New Roman" w:hAnsi="ITC Avant Garde"/>
          <w:color w:val="000000" w:themeColor="text1"/>
          <w:szCs w:val="20"/>
        </w:rPr>
        <w:t>aprobación</w:t>
      </w:r>
      <w:r w:rsidRPr="008762D1">
        <w:rPr>
          <w:rFonts w:ascii="ITC Avant Garde" w:eastAsia="Times New Roman" w:hAnsi="ITC Avant Garde"/>
          <w:color w:val="000000" w:themeColor="text1"/>
          <w:szCs w:val="20"/>
        </w:rPr>
        <w:t xml:space="preserve">, así como las fechas para su publicación serán aquellas especificadas en la LFTR vigente o aquella que la sustituya. En este sentido, el procedimiento para la </w:t>
      </w:r>
      <w:r w:rsidR="0064040F" w:rsidRPr="008762D1">
        <w:rPr>
          <w:rFonts w:ascii="ITC Avant Garde" w:eastAsia="Times New Roman" w:hAnsi="ITC Avant Garde"/>
          <w:color w:val="000000" w:themeColor="text1"/>
          <w:szCs w:val="20"/>
        </w:rPr>
        <w:t xml:space="preserve">aprobación </w:t>
      </w:r>
      <w:r w:rsidRPr="008762D1">
        <w:rPr>
          <w:rFonts w:ascii="ITC Avant Garde" w:eastAsia="Times New Roman" w:hAnsi="ITC Avant Garde"/>
          <w:color w:val="000000" w:themeColor="text1"/>
          <w:szCs w:val="20"/>
        </w:rPr>
        <w:t>establecido en la LFTR, es el señalado en el artículo 268, salvo lo referente al plazo en que deben presentarse ante esta autoridad los Convenio Marco de Interconexión del AEP, los cuales deben ser presentados en el primer trimestre de cada año con fundamento en el artículo 138 fracción II de la LFTR.</w:t>
      </w:r>
    </w:p>
    <w:p w14:paraId="3B4059D6" w14:textId="76474318" w:rsidR="00D33010" w:rsidRPr="008762D1" w:rsidRDefault="00D33010" w:rsidP="000F0B9F">
      <w:pPr>
        <w:spacing w:before="240" w:after="0"/>
        <w:jc w:val="both"/>
        <w:rPr>
          <w:rFonts w:ascii="ITC Avant Garde" w:eastAsia="Times New Roman" w:hAnsi="ITC Avant Garde"/>
          <w:color w:val="000000" w:themeColor="text1"/>
          <w:szCs w:val="20"/>
        </w:rPr>
      </w:pPr>
      <w:r w:rsidRPr="008762D1">
        <w:rPr>
          <w:rFonts w:ascii="ITC Avant Garde" w:eastAsia="Times New Roman" w:hAnsi="ITC Avant Garde"/>
          <w:color w:val="000000" w:themeColor="text1"/>
          <w:szCs w:val="20"/>
        </w:rPr>
        <w:t>En este sentido la Medida Duodécima de las Medidas Fijas en correspondencia con el artículo 268 de la LFTR establece que el Instituto someterá a consulta pública por un periodo de treinta días naturales a las ofertas públicas, y que una vez terminada la misma, el Instituto contará con 30 días naturales para aprobar o modificar la oferta, plazo dentro del cual dará vista al agente económico preponderante.</w:t>
      </w:r>
    </w:p>
    <w:p w14:paraId="35B91D46" w14:textId="77777777" w:rsidR="000F0B9F" w:rsidRPr="008762D1" w:rsidRDefault="00D33010" w:rsidP="000F0B9F">
      <w:pPr>
        <w:spacing w:before="240" w:after="0"/>
        <w:jc w:val="both"/>
        <w:rPr>
          <w:rFonts w:ascii="ITC Avant Garde" w:eastAsia="Times New Roman" w:hAnsi="ITC Avant Garde"/>
          <w:color w:val="000000" w:themeColor="text1"/>
          <w:szCs w:val="20"/>
        </w:rPr>
      </w:pPr>
      <w:r w:rsidRPr="008762D1">
        <w:rPr>
          <w:rFonts w:ascii="ITC Avant Garde" w:eastAsia="Times New Roman" w:hAnsi="ITC Avant Garde"/>
          <w:color w:val="000000" w:themeColor="text1"/>
          <w:szCs w:val="20"/>
        </w:rPr>
        <w:t xml:space="preserve">En tal virtud, y toda vez que la consulta pública de mérito se llevó a cabo del 27 de abril al 26 de mayo de 2017, el Instituto </w:t>
      </w:r>
      <w:r w:rsidR="00EB7D64" w:rsidRPr="008762D1">
        <w:rPr>
          <w:rFonts w:ascii="ITC Avant Garde" w:eastAsia="Times New Roman" w:hAnsi="ITC Avant Garde"/>
          <w:color w:val="000000" w:themeColor="text1"/>
          <w:szCs w:val="20"/>
        </w:rPr>
        <w:t xml:space="preserve">contó </w:t>
      </w:r>
      <w:r w:rsidRPr="008762D1">
        <w:rPr>
          <w:rFonts w:ascii="ITC Avant Garde" w:eastAsia="Times New Roman" w:hAnsi="ITC Avant Garde"/>
          <w:color w:val="000000" w:themeColor="text1"/>
          <w:szCs w:val="20"/>
        </w:rPr>
        <w:t xml:space="preserve">con 30 días naturales para aprobar el CMI o en su caso modificarlo; y de ser éste el caso </w:t>
      </w:r>
      <w:r w:rsidR="00EB7D64" w:rsidRPr="008762D1">
        <w:rPr>
          <w:rFonts w:ascii="ITC Avant Garde" w:eastAsia="Times New Roman" w:hAnsi="ITC Avant Garde"/>
          <w:color w:val="000000" w:themeColor="text1"/>
          <w:szCs w:val="20"/>
        </w:rPr>
        <w:t xml:space="preserve">debió </w:t>
      </w:r>
      <w:r w:rsidRPr="008762D1">
        <w:rPr>
          <w:rFonts w:ascii="ITC Avant Garde" w:eastAsia="Times New Roman" w:hAnsi="ITC Avant Garde"/>
          <w:color w:val="000000" w:themeColor="text1"/>
          <w:szCs w:val="20"/>
        </w:rPr>
        <w:t>dar vista al agente económico preponderante en el plazo señalado.</w:t>
      </w:r>
    </w:p>
    <w:p w14:paraId="631A614F" w14:textId="77777777" w:rsidR="000F0B9F" w:rsidRPr="008762D1" w:rsidRDefault="00835134" w:rsidP="000F0B9F">
      <w:pPr>
        <w:spacing w:before="240" w:after="0" w:line="276" w:lineRule="auto"/>
        <w:jc w:val="both"/>
        <w:rPr>
          <w:rFonts w:ascii="ITC Avant Garde" w:eastAsia="Times New Roman" w:hAnsi="ITC Avant Garde"/>
          <w:color w:val="000000" w:themeColor="text1"/>
          <w:szCs w:val="20"/>
        </w:rPr>
      </w:pPr>
      <w:r w:rsidRPr="008762D1">
        <w:rPr>
          <w:rFonts w:ascii="ITC Avant Garde" w:eastAsia="Times New Roman" w:hAnsi="ITC Avant Garde"/>
          <w:color w:val="000000" w:themeColor="text1"/>
          <w:szCs w:val="20"/>
        </w:rPr>
        <w:t xml:space="preserve">Ahora bien, toda vez que mediante Acuerdo </w:t>
      </w:r>
      <w:r w:rsidR="00C5266F" w:rsidRPr="008762D1">
        <w:rPr>
          <w:rFonts w:ascii="ITC Avant Garde" w:eastAsia="Times New Roman" w:hAnsi="ITC Avant Garde"/>
          <w:color w:val="000000" w:themeColor="text1"/>
          <w:szCs w:val="20"/>
        </w:rPr>
        <w:t>P/IFT/140617/320</w:t>
      </w:r>
      <w:r w:rsidRPr="008762D1">
        <w:rPr>
          <w:rFonts w:ascii="ITC Avant Garde" w:eastAsia="Times New Roman" w:hAnsi="ITC Avant Garde"/>
          <w:color w:val="000000" w:themeColor="text1"/>
          <w:szCs w:val="20"/>
        </w:rPr>
        <w:t xml:space="preserve"> se modificó al Agente Económico Preponderante los términos y condiciones del Convenio Marco de Interconexión, y con fecha 23 de junio de 2017 se dio vista del mismo a Telmex para que manifestara lo que a su derecho conviniera, se tuvo por cumplido el plazo de 30 días naturales establecido en la Medida </w:t>
      </w:r>
      <w:r w:rsidR="00CA7B48" w:rsidRPr="008762D1">
        <w:rPr>
          <w:rFonts w:ascii="ITC Avant Garde" w:eastAsia="Times New Roman" w:hAnsi="ITC Avant Garde"/>
          <w:color w:val="000000" w:themeColor="text1"/>
          <w:szCs w:val="20"/>
        </w:rPr>
        <w:t xml:space="preserve">DUODÉCIMA </w:t>
      </w:r>
      <w:r w:rsidRPr="008762D1">
        <w:rPr>
          <w:rFonts w:ascii="ITC Avant Garde" w:eastAsia="Times New Roman" w:hAnsi="ITC Avant Garde"/>
          <w:color w:val="000000" w:themeColor="text1"/>
          <w:szCs w:val="20"/>
        </w:rPr>
        <w:t>de las Medidas Fijas, así como en el artículo 268 de la LFTR.</w:t>
      </w:r>
    </w:p>
    <w:p w14:paraId="47D6FE6C" w14:textId="77777777" w:rsidR="000F0B9F" w:rsidRPr="008762D1" w:rsidRDefault="00835134" w:rsidP="000F0B9F">
      <w:pPr>
        <w:spacing w:before="240" w:after="0" w:line="276" w:lineRule="auto"/>
        <w:jc w:val="both"/>
        <w:rPr>
          <w:rFonts w:ascii="ITC Avant Garde" w:eastAsia="Times New Roman" w:hAnsi="ITC Avant Garde"/>
          <w:color w:val="000000" w:themeColor="text1"/>
          <w:szCs w:val="20"/>
        </w:rPr>
      </w:pPr>
      <w:r w:rsidRPr="008762D1">
        <w:rPr>
          <w:rFonts w:ascii="ITC Avant Garde" w:eastAsia="Times New Roman" w:hAnsi="ITC Avant Garde"/>
          <w:color w:val="000000" w:themeColor="text1"/>
          <w:szCs w:val="20"/>
        </w:rPr>
        <w:t xml:space="preserve">En ese sentido, el 3 de agosto de 2017, Telmex presentó </w:t>
      </w:r>
      <w:r w:rsidR="00B17E7B" w:rsidRPr="008762D1">
        <w:rPr>
          <w:rFonts w:ascii="ITC Avant Garde" w:eastAsia="Times New Roman" w:hAnsi="ITC Avant Garde"/>
          <w:color w:val="000000" w:themeColor="text1"/>
          <w:szCs w:val="20"/>
        </w:rPr>
        <w:t xml:space="preserve">el </w:t>
      </w:r>
      <w:r w:rsidRPr="008762D1">
        <w:rPr>
          <w:rFonts w:ascii="ITC Avant Garde" w:eastAsia="Times New Roman" w:hAnsi="ITC Avant Garde"/>
          <w:color w:val="000000" w:themeColor="text1"/>
          <w:szCs w:val="20"/>
        </w:rPr>
        <w:t xml:space="preserve">Escrito de Respuesta con </w:t>
      </w:r>
      <w:r w:rsidR="00B17E7B" w:rsidRPr="008762D1">
        <w:rPr>
          <w:rFonts w:ascii="ITC Avant Garde" w:eastAsia="Times New Roman" w:hAnsi="ITC Avant Garde"/>
          <w:color w:val="000000" w:themeColor="text1"/>
          <w:szCs w:val="20"/>
        </w:rPr>
        <w:t xml:space="preserve">una </w:t>
      </w:r>
      <w:r w:rsidRPr="008762D1">
        <w:rPr>
          <w:rFonts w:ascii="ITC Avant Garde" w:eastAsia="Times New Roman" w:hAnsi="ITC Avant Garde"/>
          <w:color w:val="000000" w:themeColor="text1"/>
          <w:szCs w:val="20"/>
        </w:rPr>
        <w:t>nueva versión del CMI Modificado en el que realizó sus respectivas manifestaciones respecto del Acuerdo</w:t>
      </w:r>
      <w:r w:rsidR="00C5266F" w:rsidRPr="008762D1">
        <w:rPr>
          <w:rFonts w:ascii="ITC Avant Garde" w:eastAsia="Times New Roman" w:hAnsi="ITC Avant Garde"/>
          <w:color w:val="000000" w:themeColor="text1"/>
          <w:szCs w:val="20"/>
        </w:rPr>
        <w:t>.</w:t>
      </w:r>
    </w:p>
    <w:p w14:paraId="67B298A8" w14:textId="77777777" w:rsidR="000F0B9F" w:rsidRPr="008762D1" w:rsidRDefault="00DF2D66" w:rsidP="000F0B9F">
      <w:pPr>
        <w:pStyle w:val="IFTnormal"/>
        <w:tabs>
          <w:tab w:val="left" w:pos="284"/>
        </w:tabs>
        <w:spacing w:before="240" w:after="0"/>
        <w:ind w:right="49"/>
        <w:rPr>
          <w:color w:val="000000" w:themeColor="text1"/>
        </w:rPr>
      </w:pPr>
      <w:r w:rsidRPr="008762D1">
        <w:rPr>
          <w:b/>
          <w:color w:val="000000" w:themeColor="text1"/>
        </w:rPr>
        <w:t xml:space="preserve">CUARTO.- Análisis de la cuestión previa. </w:t>
      </w:r>
      <w:r w:rsidRPr="008762D1">
        <w:rPr>
          <w:color w:val="000000" w:themeColor="text1"/>
        </w:rPr>
        <w:t>En aras de privilegiar los principios de congruencia y exhaustividad, previ</w:t>
      </w:r>
      <w:r w:rsidR="00180CF1" w:rsidRPr="008762D1">
        <w:rPr>
          <w:color w:val="000000" w:themeColor="text1"/>
        </w:rPr>
        <w:t>amente</w:t>
      </w:r>
      <w:r w:rsidRPr="008762D1">
        <w:rPr>
          <w:color w:val="000000" w:themeColor="text1"/>
        </w:rPr>
        <w:t xml:space="preserve"> a realizar el análisis del CMI Modificado presentado por Telmex, este Instituto se pronunciará sobre los argumentos realizados por Telmex en su Escrito de Respuesta, en el capítulo denominado Cuestión Previa.</w:t>
      </w:r>
    </w:p>
    <w:p w14:paraId="4F8986AD" w14:textId="77777777" w:rsidR="000F0B9F" w:rsidRPr="008762D1" w:rsidRDefault="00DF2D66"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Telmex argumenta que </w:t>
      </w:r>
      <w:r w:rsidR="00FF3482" w:rsidRPr="008762D1">
        <w:rPr>
          <w:rFonts w:ascii="ITC Avant Garde" w:hAnsi="ITC Avant Garde"/>
          <w:color w:val="000000" w:themeColor="text1"/>
        </w:rPr>
        <w:t xml:space="preserve">i) </w:t>
      </w:r>
      <w:r w:rsidRPr="008762D1">
        <w:rPr>
          <w:rFonts w:ascii="ITC Avant Garde" w:hAnsi="ITC Avant Garde"/>
          <w:color w:val="000000" w:themeColor="text1"/>
        </w:rPr>
        <w:t>para emitir el Acuerdo y los requerimientos que contiene no se hizo un análisis de competencia, ni se emitió previamente una decisión sobre el cumplimiento de las Medidas por parte</w:t>
      </w:r>
      <w:r w:rsidR="00CA7B48" w:rsidRPr="008762D1">
        <w:rPr>
          <w:rFonts w:ascii="ITC Avant Garde" w:hAnsi="ITC Avant Garde"/>
          <w:color w:val="000000" w:themeColor="text1"/>
        </w:rPr>
        <w:t xml:space="preserve"> de</w:t>
      </w:r>
      <w:r w:rsidRPr="008762D1">
        <w:rPr>
          <w:rFonts w:ascii="ITC Avant Garde" w:hAnsi="ITC Avant Garde"/>
          <w:color w:val="000000" w:themeColor="text1"/>
        </w:rPr>
        <w:t xml:space="preserve"> Telmex que pudiera explicar las modificaciones que se busca imponer en el Acuerdo, esto es, no se establece ni acredita que el CMI presentado por Telmex no se ajusta a lo establecido en las </w:t>
      </w:r>
      <w:r w:rsidRPr="008762D1">
        <w:rPr>
          <w:rFonts w:ascii="ITC Avant Garde" w:hAnsi="ITC Avant Garde"/>
          <w:color w:val="000000" w:themeColor="text1"/>
        </w:rPr>
        <w:lastRenderedPageBreak/>
        <w:t>Medidas o bien que no ofreciera condiciones que favorezcan a la competencia en el sector de las telecomunicaciones y (ii) el Instituto debe ser congruente con lo que previamente ha aprobado, autorizado y calificado favorablemente en relación con el CMI, por lo que de tener lugar un requerimiento de modificación, ello tendría que haberse hecho conforme a una motivación precisa y adecuada, lo que en especie no aconteció en el Acuerdo respecto de muchas de las observaciones y requerimientos que se hacen en él.</w:t>
      </w:r>
    </w:p>
    <w:p w14:paraId="528A2B17" w14:textId="77777777" w:rsidR="000F0B9F" w:rsidRPr="008762D1" w:rsidRDefault="00DF2D66" w:rsidP="000F0B9F">
      <w:pPr>
        <w:pStyle w:val="IFTnormal"/>
        <w:tabs>
          <w:tab w:val="left" w:pos="284"/>
        </w:tabs>
        <w:spacing w:before="240" w:after="0"/>
        <w:ind w:right="49"/>
        <w:rPr>
          <w:color w:val="000000" w:themeColor="text1"/>
        </w:rPr>
      </w:pPr>
      <w:r w:rsidRPr="008762D1">
        <w:rPr>
          <w:color w:val="000000" w:themeColor="text1"/>
        </w:rPr>
        <w:t xml:space="preserve">Señala que, las modificaciones requeridas por el </w:t>
      </w:r>
      <w:proofErr w:type="spellStart"/>
      <w:r w:rsidRPr="008762D1">
        <w:rPr>
          <w:color w:val="000000" w:themeColor="text1"/>
        </w:rPr>
        <w:t>lnstituto</w:t>
      </w:r>
      <w:proofErr w:type="spellEnd"/>
      <w:r w:rsidRPr="008762D1">
        <w:rPr>
          <w:color w:val="000000" w:themeColor="text1"/>
        </w:rPr>
        <w:t xml:space="preserve"> a cuestiones no solicitadas por Telmex son improcedentes y deben ser tildadas de ilegales.</w:t>
      </w:r>
    </w:p>
    <w:p w14:paraId="3224A3B1" w14:textId="30F8C429" w:rsidR="000F0B9F" w:rsidRPr="008762D1" w:rsidRDefault="00DF2D66" w:rsidP="000F0B9F">
      <w:pPr>
        <w:pStyle w:val="IFTnormal"/>
        <w:tabs>
          <w:tab w:val="left" w:pos="284"/>
        </w:tabs>
        <w:spacing w:before="240" w:after="0"/>
        <w:ind w:right="49"/>
        <w:rPr>
          <w:b/>
          <w:color w:val="000000" w:themeColor="text1"/>
        </w:rPr>
      </w:pPr>
      <w:r w:rsidRPr="008762D1">
        <w:rPr>
          <w:b/>
          <w:color w:val="000000" w:themeColor="text1"/>
        </w:rPr>
        <w:t>Consideraciones del Instituto</w:t>
      </w:r>
    </w:p>
    <w:p w14:paraId="581CF8DD" w14:textId="77777777" w:rsidR="000F0B9F" w:rsidRPr="008762D1" w:rsidRDefault="00DF2D66" w:rsidP="000F0B9F">
      <w:pPr>
        <w:pStyle w:val="IFTnormal"/>
        <w:tabs>
          <w:tab w:val="left" w:pos="284"/>
        </w:tabs>
        <w:spacing w:before="240" w:after="0"/>
        <w:ind w:right="49"/>
        <w:rPr>
          <w:color w:val="000000" w:themeColor="text1"/>
        </w:rPr>
      </w:pPr>
      <w:r w:rsidRPr="008762D1">
        <w:rPr>
          <w:color w:val="000000" w:themeColor="text1"/>
        </w:rPr>
        <w:t xml:space="preserve">Este Instituto considera que los argumentos de Telmex devienen en infundados puesto que el procedimiento de revisión del CMI no obliga al órgano regulador a llevar a cabo un análisis de competencia, </w:t>
      </w:r>
      <w:r w:rsidR="00A10EED" w:rsidRPr="008762D1">
        <w:rPr>
          <w:color w:val="000000" w:themeColor="text1"/>
        </w:rPr>
        <w:t xml:space="preserve">ni tampoco </w:t>
      </w:r>
      <w:r w:rsidRPr="008762D1">
        <w:rPr>
          <w:color w:val="000000" w:themeColor="text1"/>
        </w:rPr>
        <w:t xml:space="preserve">a emitir una opinión sobre el cumplimiento de las Medidas. </w:t>
      </w:r>
    </w:p>
    <w:p w14:paraId="66D31426" w14:textId="77777777" w:rsidR="000F0B9F" w:rsidRPr="008762D1" w:rsidRDefault="00DF2D66" w:rsidP="000F0B9F">
      <w:pPr>
        <w:pStyle w:val="IFTnormal"/>
        <w:tabs>
          <w:tab w:val="left" w:pos="284"/>
        </w:tabs>
        <w:spacing w:before="240" w:after="0"/>
        <w:ind w:right="49"/>
        <w:rPr>
          <w:color w:val="000000" w:themeColor="text1"/>
        </w:rPr>
      </w:pPr>
      <w:r w:rsidRPr="008762D1">
        <w:rPr>
          <w:color w:val="000000" w:themeColor="text1"/>
        </w:rPr>
        <w:t>No obstante lo anterior, atendiendo al dinamismo del sector de las telecomunicaciones y a la emisión</w:t>
      </w:r>
      <w:r w:rsidR="00CA7B48" w:rsidRPr="008762D1">
        <w:rPr>
          <w:color w:val="000000" w:themeColor="text1"/>
        </w:rPr>
        <w:t xml:space="preserve"> </w:t>
      </w:r>
      <w:r w:rsidRPr="008762D1">
        <w:rPr>
          <w:color w:val="000000" w:themeColor="text1"/>
        </w:rPr>
        <w:t xml:space="preserve">del Acuerdo de Condiciones Técnicas Mínimas, el Instituto tiene el deber de llevar a cabo una revisión exhaustiva de la propuesta de CMI presentada por Telmex a fin que sus términos y condiciones se ajusten a la realidad actual del sector y al marco normativo que estará vigente para el periodo de aplicabilidad del CMI que al efecto se apruebe. </w:t>
      </w:r>
    </w:p>
    <w:p w14:paraId="32EDF17B" w14:textId="77777777" w:rsidR="000F0B9F" w:rsidRPr="008762D1" w:rsidRDefault="00DF2D66" w:rsidP="000F0B9F">
      <w:pPr>
        <w:pStyle w:val="IFTnormal"/>
        <w:tabs>
          <w:tab w:val="left" w:pos="284"/>
        </w:tabs>
        <w:spacing w:before="240" w:after="0"/>
        <w:ind w:right="49"/>
        <w:rPr>
          <w:rFonts w:eastAsia="Times New Roman"/>
          <w:color w:val="000000" w:themeColor="text1"/>
        </w:rPr>
      </w:pPr>
      <w:r w:rsidRPr="008762D1">
        <w:rPr>
          <w:color w:val="000000" w:themeColor="text1"/>
        </w:rPr>
        <w:t xml:space="preserve">Lo contrario implicaría que </w:t>
      </w:r>
      <w:r w:rsidR="00CA7B48" w:rsidRPr="008762D1">
        <w:rPr>
          <w:color w:val="000000" w:themeColor="text1"/>
        </w:rPr>
        <w:t xml:space="preserve">el Instituto se encuentra imposibilitado para obligar a los sujetos regulados a dar cumplimiento a la regulación </w:t>
      </w:r>
      <w:r w:rsidRPr="008762D1">
        <w:rPr>
          <w:color w:val="000000" w:themeColor="text1"/>
        </w:rPr>
        <w:t>que emite y que ésta no resulta vinculante</w:t>
      </w:r>
      <w:r w:rsidR="00A10EED" w:rsidRPr="008762D1">
        <w:rPr>
          <w:color w:val="000000" w:themeColor="text1"/>
        </w:rPr>
        <w:t>;</w:t>
      </w:r>
      <w:r w:rsidRPr="008762D1">
        <w:rPr>
          <w:color w:val="000000" w:themeColor="text1"/>
        </w:rPr>
        <w:t xml:space="preserve"> por tal motivo </w:t>
      </w:r>
      <w:r w:rsidRPr="008762D1">
        <w:rPr>
          <w:rFonts w:eastAsia="Times New Roman"/>
          <w:color w:val="000000" w:themeColor="text1"/>
        </w:rPr>
        <w:t xml:space="preserve">se hace necesario que el Instituto pueda solicitar y realizar modificaciones al </w:t>
      </w:r>
      <w:r w:rsidR="00A10EED" w:rsidRPr="008762D1">
        <w:rPr>
          <w:rFonts w:eastAsia="Times New Roman"/>
          <w:color w:val="000000" w:themeColor="text1"/>
        </w:rPr>
        <w:t>CMI</w:t>
      </w:r>
      <w:r w:rsidRPr="008762D1">
        <w:rPr>
          <w:rFonts w:eastAsia="Times New Roman"/>
          <w:color w:val="000000" w:themeColor="text1"/>
        </w:rPr>
        <w:t>, para asegurar que los términos y condiciones fomenten la competencia en el mercado y promuevan mejores condiciones de calidad para los consumidores.</w:t>
      </w:r>
    </w:p>
    <w:p w14:paraId="0E0A8897" w14:textId="77777777" w:rsidR="000F0B9F" w:rsidRPr="008762D1" w:rsidRDefault="00B40851" w:rsidP="000F0B9F">
      <w:pPr>
        <w:pStyle w:val="IFTnormal"/>
        <w:tabs>
          <w:tab w:val="left" w:pos="284"/>
        </w:tabs>
        <w:spacing w:before="240" w:after="0"/>
        <w:ind w:right="49"/>
        <w:rPr>
          <w:rFonts w:eastAsia="Times New Roman"/>
          <w:color w:val="000000" w:themeColor="text1"/>
        </w:rPr>
      </w:pPr>
      <w:r w:rsidRPr="008762D1">
        <w:rPr>
          <w:rFonts w:eastAsia="Times New Roman"/>
          <w:color w:val="000000" w:themeColor="text1"/>
        </w:rPr>
        <w:t xml:space="preserve">Aunado a lo anterior, estimar que el CMI que previamente fue aprobado, autorizado y calificado favorablemente por el Instituto no debería experimentar cambio alguno, implicaría </w:t>
      </w:r>
      <w:r w:rsidR="00DC581B" w:rsidRPr="008762D1">
        <w:rPr>
          <w:rFonts w:eastAsia="Times New Roman"/>
          <w:color w:val="000000" w:themeColor="text1"/>
        </w:rPr>
        <w:t>sujetar a los concesionarios de redes públicas de telecomunicaciones a términos y condiciones invariables en un sector de elevado dinamismo y cambio tecnológico como es el de telecomunicaciones</w:t>
      </w:r>
      <w:r w:rsidRPr="008762D1">
        <w:rPr>
          <w:rFonts w:eastAsia="Times New Roman"/>
          <w:color w:val="000000" w:themeColor="text1"/>
        </w:rPr>
        <w:t>, motivo por el cual se hace necesario que el Instituto pueda efectuar modificaciones al mismo, para asegurar que los términos y condiciones que se establezcan permitan mejorar la competencia en el mercado y conseguir mejores condiciones de calidad y precio para los consumidores.</w:t>
      </w:r>
    </w:p>
    <w:p w14:paraId="7D8372F9" w14:textId="77777777" w:rsidR="000F0B9F" w:rsidRPr="008762D1" w:rsidRDefault="00DF2D66" w:rsidP="000F0B9F">
      <w:pPr>
        <w:spacing w:before="240" w:after="0" w:line="276" w:lineRule="auto"/>
        <w:jc w:val="both"/>
        <w:rPr>
          <w:rFonts w:ascii="ITC Avant Garde" w:eastAsia="Times New Roman" w:hAnsi="ITC Avant Garde" w:cs="Arial"/>
          <w:bCs/>
          <w:iCs/>
          <w:color w:val="000000" w:themeColor="text1"/>
        </w:rPr>
      </w:pPr>
      <w:r w:rsidRPr="008762D1">
        <w:rPr>
          <w:rFonts w:ascii="ITC Avant Garde" w:hAnsi="ITC Avant Garde"/>
          <w:b/>
          <w:color w:val="000000" w:themeColor="text1"/>
        </w:rPr>
        <w:lastRenderedPageBreak/>
        <w:t>QUIN</w:t>
      </w:r>
      <w:r w:rsidR="00D33010" w:rsidRPr="008762D1">
        <w:rPr>
          <w:rFonts w:ascii="ITC Avant Garde" w:hAnsi="ITC Avant Garde"/>
          <w:b/>
          <w:color w:val="000000" w:themeColor="text1"/>
        </w:rPr>
        <w:t xml:space="preserve">TO.- Análisis del Convenio Marco de Interconexión. </w:t>
      </w:r>
      <w:r w:rsidR="00D33010" w:rsidRPr="008762D1">
        <w:rPr>
          <w:rFonts w:ascii="ITC Avant Garde" w:hAnsi="ITC Avant Garde"/>
          <w:color w:val="000000" w:themeColor="text1"/>
        </w:rPr>
        <w:t>En cumplimiento a lo</w:t>
      </w:r>
      <w:r w:rsidR="00D33010" w:rsidRPr="008762D1">
        <w:rPr>
          <w:rFonts w:ascii="ITC Avant Garde" w:hAnsi="ITC Avant Garde"/>
          <w:color w:val="000000" w:themeColor="text1"/>
          <w:shd w:val="clear" w:color="auto" w:fill="FFFFFF"/>
        </w:rPr>
        <w:t xml:space="preserve"> establecido en el artículo 268 de la LFTR, </w:t>
      </w:r>
      <w:r w:rsidR="00076369" w:rsidRPr="008762D1">
        <w:rPr>
          <w:rFonts w:ascii="ITC Avant Garde" w:hAnsi="ITC Avant Garde"/>
          <w:color w:val="000000" w:themeColor="text1"/>
          <w:shd w:val="clear" w:color="auto" w:fill="FFFFFF"/>
        </w:rPr>
        <w:t xml:space="preserve">en el sentido de que </w:t>
      </w:r>
      <w:r w:rsidR="00D33010" w:rsidRPr="008762D1">
        <w:rPr>
          <w:rFonts w:ascii="ITC Avant Garde" w:hAnsi="ITC Avant Garde"/>
          <w:color w:val="000000" w:themeColor="text1"/>
          <w:shd w:val="clear" w:color="auto" w:fill="FFFFFF"/>
        </w:rPr>
        <w:t xml:space="preserve">terminada la consulta pública el Instituto contará con 30 días naturales </w:t>
      </w:r>
      <w:r w:rsidR="00076369" w:rsidRPr="008762D1">
        <w:rPr>
          <w:rFonts w:ascii="ITC Avant Garde" w:hAnsi="ITC Avant Garde"/>
          <w:color w:val="000000" w:themeColor="text1"/>
          <w:shd w:val="clear" w:color="auto" w:fill="FFFFFF"/>
        </w:rPr>
        <w:t xml:space="preserve">para aprobar o modificar el CMI y </w:t>
      </w:r>
      <w:r w:rsidR="00D33010" w:rsidRPr="008762D1">
        <w:rPr>
          <w:rFonts w:ascii="ITC Avant Garde" w:hAnsi="ITC Avant Garde"/>
          <w:color w:val="000000" w:themeColor="text1"/>
          <w:shd w:val="clear" w:color="auto" w:fill="FFFFFF"/>
        </w:rPr>
        <w:t xml:space="preserve">en virtud </w:t>
      </w:r>
      <w:r w:rsidR="00076369" w:rsidRPr="008762D1">
        <w:rPr>
          <w:rFonts w:ascii="ITC Avant Garde" w:hAnsi="ITC Avant Garde"/>
          <w:color w:val="000000" w:themeColor="text1"/>
          <w:shd w:val="clear" w:color="auto" w:fill="FFFFFF"/>
        </w:rPr>
        <w:t>de que se actualizó</w:t>
      </w:r>
      <w:r w:rsidR="00D33010" w:rsidRPr="008762D1">
        <w:rPr>
          <w:rFonts w:ascii="ITC Avant Garde" w:hAnsi="ITC Avant Garde"/>
          <w:color w:val="000000" w:themeColor="text1"/>
          <w:shd w:val="clear" w:color="auto" w:fill="FFFFFF"/>
        </w:rPr>
        <w:t xml:space="preserve"> el segundo supuesto,</w:t>
      </w:r>
      <w:r w:rsidR="00076369" w:rsidRPr="008762D1">
        <w:rPr>
          <w:rFonts w:ascii="ITC Avant Garde" w:hAnsi="ITC Avant Garde"/>
          <w:color w:val="000000" w:themeColor="text1"/>
          <w:shd w:val="clear" w:color="auto" w:fill="FFFFFF"/>
        </w:rPr>
        <w:t xml:space="preserve"> se dio vista al AEP para que manifestara lo que a su derecho conviniera, la cual fue desahogada en tiempo y forma, por lo que</w:t>
      </w:r>
      <w:r w:rsidR="00D33010" w:rsidRPr="008762D1">
        <w:rPr>
          <w:rFonts w:ascii="ITC Avant Garde" w:hAnsi="ITC Avant Garde"/>
          <w:color w:val="000000" w:themeColor="text1"/>
          <w:shd w:val="clear" w:color="auto" w:fill="FFFFFF"/>
        </w:rPr>
        <w:t xml:space="preserve"> a fin de que el CMI pueda ser aprobado por el Instituto, se debe atender a la obligación de vigilar en todo momento que los documentos autorizados cumplan con lo establecido en la legislación aplicable, en la Resolución AEP, la Resolución Bienal, así como cualquier otra disposición en materia de interconexión. </w:t>
      </w:r>
    </w:p>
    <w:p w14:paraId="1A582F62" w14:textId="77777777" w:rsidR="000F0B9F" w:rsidRPr="008762D1" w:rsidRDefault="00D33010" w:rsidP="000F0B9F">
      <w:pPr>
        <w:pStyle w:val="IFT1"/>
        <w:spacing w:before="240" w:after="0"/>
        <w:rPr>
          <w:rFonts w:cs="Arial"/>
          <w:color w:val="000000" w:themeColor="text1"/>
        </w:rPr>
      </w:pPr>
      <w:r w:rsidRPr="008762D1">
        <w:rPr>
          <w:rFonts w:cs="Arial"/>
          <w:color w:val="000000" w:themeColor="text1"/>
        </w:rPr>
        <w:t xml:space="preserve">El Convenio Marco de Interconexión de Telmex establece los términos, condiciones, normas técnicas, especificaciones y niveles de calidad para el </w:t>
      </w:r>
      <w:r w:rsidRPr="008762D1">
        <w:rPr>
          <w:rFonts w:cs="Arial"/>
          <w:bCs/>
          <w:iCs w:val="0"/>
          <w:color w:val="000000" w:themeColor="text1"/>
        </w:rPr>
        <w:t>servicio de interconexión</w:t>
      </w:r>
      <w:r w:rsidRPr="008762D1">
        <w:rPr>
          <w:rFonts w:cs="Arial"/>
          <w:color w:val="000000" w:themeColor="text1"/>
        </w:rPr>
        <w:t>, a efecto de que los concesionarios de redes públicas de telecomunicaciones que así lo requieran, tengan la información relevante que permita la contratación de los servicios en igualdad de condiciones.</w:t>
      </w:r>
    </w:p>
    <w:p w14:paraId="63CF1EF5" w14:textId="77777777" w:rsidR="000F0B9F" w:rsidRPr="008762D1" w:rsidRDefault="00D33010" w:rsidP="000F0B9F">
      <w:pPr>
        <w:pStyle w:val="IFT1"/>
        <w:spacing w:before="240" w:after="0"/>
        <w:rPr>
          <w:rFonts w:cs="Arial"/>
          <w:color w:val="000000" w:themeColor="text1"/>
        </w:rPr>
      </w:pPr>
      <w:r w:rsidRPr="008762D1">
        <w:rPr>
          <w:rFonts w:cs="Arial"/>
          <w:color w:val="000000" w:themeColor="text1"/>
        </w:rPr>
        <w:t>Dentro de</w:t>
      </w:r>
      <w:r w:rsidR="00286454" w:rsidRPr="008762D1">
        <w:rPr>
          <w:rFonts w:cs="Arial"/>
          <w:color w:val="000000" w:themeColor="text1"/>
        </w:rPr>
        <w:t>l CMI Modificado</w:t>
      </w:r>
      <w:r w:rsidRPr="008762D1">
        <w:rPr>
          <w:rFonts w:cs="Arial"/>
          <w:color w:val="000000" w:themeColor="text1"/>
        </w:rPr>
        <w:t>, Telmex incluye la siguiente información relevante:</w:t>
      </w:r>
    </w:p>
    <w:p w14:paraId="509613D0" w14:textId="441E91E0" w:rsidR="00D33010" w:rsidRPr="008762D1" w:rsidRDefault="00D33010" w:rsidP="000F0B9F">
      <w:pPr>
        <w:pStyle w:val="IFT1"/>
        <w:numPr>
          <w:ilvl w:val="0"/>
          <w:numId w:val="7"/>
        </w:numPr>
        <w:spacing w:before="240" w:after="0"/>
        <w:rPr>
          <w:rFonts w:cs="Arial"/>
          <w:color w:val="000000" w:themeColor="text1"/>
        </w:rPr>
      </w:pPr>
      <w:r w:rsidRPr="008762D1">
        <w:rPr>
          <w:rFonts w:cs="Arial"/>
          <w:color w:val="000000" w:themeColor="text1"/>
        </w:rPr>
        <w:t>Vigencia</w:t>
      </w:r>
    </w:p>
    <w:p w14:paraId="2882E702" w14:textId="77777777" w:rsidR="00D33010" w:rsidRPr="008762D1" w:rsidRDefault="00D33010" w:rsidP="000F0B9F">
      <w:pPr>
        <w:pStyle w:val="IFT1"/>
        <w:numPr>
          <w:ilvl w:val="0"/>
          <w:numId w:val="7"/>
        </w:numPr>
        <w:spacing w:after="0"/>
        <w:rPr>
          <w:rFonts w:cs="Arial"/>
          <w:color w:val="000000" w:themeColor="text1"/>
        </w:rPr>
      </w:pPr>
      <w:r w:rsidRPr="008762D1">
        <w:rPr>
          <w:rFonts w:cs="Arial"/>
          <w:color w:val="000000" w:themeColor="text1"/>
        </w:rPr>
        <w:t>Definiciones</w:t>
      </w:r>
    </w:p>
    <w:p w14:paraId="40E50667" w14:textId="77777777" w:rsidR="00D33010" w:rsidRPr="008762D1" w:rsidRDefault="00D33010" w:rsidP="000F0B9F">
      <w:pPr>
        <w:pStyle w:val="IFT1"/>
        <w:numPr>
          <w:ilvl w:val="0"/>
          <w:numId w:val="7"/>
        </w:numPr>
        <w:spacing w:after="0"/>
        <w:rPr>
          <w:rFonts w:cs="Arial"/>
          <w:color w:val="000000" w:themeColor="text1"/>
        </w:rPr>
      </w:pPr>
      <w:r w:rsidRPr="008762D1">
        <w:rPr>
          <w:rFonts w:cs="Arial"/>
          <w:color w:val="000000" w:themeColor="text1"/>
        </w:rPr>
        <w:t>Servicios de Interconexión</w:t>
      </w:r>
    </w:p>
    <w:p w14:paraId="2D336C9E" w14:textId="77777777" w:rsidR="00D33010" w:rsidRPr="008762D1" w:rsidRDefault="00D33010" w:rsidP="000F0B9F">
      <w:pPr>
        <w:pStyle w:val="IFT1"/>
        <w:numPr>
          <w:ilvl w:val="0"/>
          <w:numId w:val="7"/>
        </w:numPr>
        <w:spacing w:after="0"/>
        <w:rPr>
          <w:rFonts w:cs="Arial"/>
          <w:color w:val="000000" w:themeColor="text1"/>
        </w:rPr>
      </w:pPr>
      <w:r w:rsidRPr="008762D1">
        <w:rPr>
          <w:rFonts w:cs="Arial"/>
          <w:color w:val="000000" w:themeColor="text1"/>
        </w:rPr>
        <w:t>Aspectos Técnicos</w:t>
      </w:r>
    </w:p>
    <w:p w14:paraId="28DAC304" w14:textId="77777777" w:rsidR="00D33010" w:rsidRPr="008762D1" w:rsidRDefault="00D33010" w:rsidP="000F0B9F">
      <w:pPr>
        <w:pStyle w:val="IFT1"/>
        <w:numPr>
          <w:ilvl w:val="0"/>
          <w:numId w:val="7"/>
        </w:numPr>
        <w:spacing w:after="0"/>
        <w:rPr>
          <w:rFonts w:cs="Arial"/>
          <w:color w:val="000000" w:themeColor="text1"/>
        </w:rPr>
      </w:pPr>
      <w:r w:rsidRPr="008762D1">
        <w:rPr>
          <w:rFonts w:cs="Arial"/>
          <w:color w:val="000000" w:themeColor="text1"/>
        </w:rPr>
        <w:t>Realización Física de la Interconexión</w:t>
      </w:r>
    </w:p>
    <w:p w14:paraId="01196539" w14:textId="77777777" w:rsidR="000F0B9F" w:rsidRPr="008762D1" w:rsidRDefault="00D33010" w:rsidP="000F0B9F">
      <w:pPr>
        <w:pStyle w:val="IFT1"/>
        <w:numPr>
          <w:ilvl w:val="0"/>
          <w:numId w:val="7"/>
        </w:numPr>
        <w:spacing w:after="0"/>
        <w:rPr>
          <w:rFonts w:cs="Arial"/>
          <w:color w:val="000000" w:themeColor="text1"/>
        </w:rPr>
      </w:pPr>
      <w:r w:rsidRPr="008762D1">
        <w:rPr>
          <w:rFonts w:cs="Arial"/>
          <w:color w:val="000000" w:themeColor="text1"/>
        </w:rPr>
        <w:t>Calidad de los Servicios de Interconexión</w:t>
      </w:r>
    </w:p>
    <w:p w14:paraId="0E10EBD0" w14:textId="77777777" w:rsidR="000F0B9F" w:rsidRPr="008762D1" w:rsidRDefault="00D33010" w:rsidP="000F0B9F">
      <w:pPr>
        <w:pStyle w:val="IFT1"/>
        <w:spacing w:before="240" w:after="0"/>
        <w:rPr>
          <w:rFonts w:cs="Arial"/>
          <w:color w:val="000000" w:themeColor="text1"/>
        </w:rPr>
      </w:pPr>
      <w:r w:rsidRPr="008762D1">
        <w:rPr>
          <w:rFonts w:cs="Arial"/>
          <w:color w:val="000000" w:themeColor="text1"/>
        </w:rPr>
        <w:t>Asimismo, como parte integrante de</w:t>
      </w:r>
      <w:r w:rsidR="00286454" w:rsidRPr="008762D1">
        <w:rPr>
          <w:rFonts w:cs="Arial"/>
          <w:color w:val="000000" w:themeColor="text1"/>
        </w:rPr>
        <w:t>l CMI Modificado</w:t>
      </w:r>
      <w:r w:rsidRPr="008762D1">
        <w:rPr>
          <w:rFonts w:cs="Arial"/>
          <w:color w:val="000000" w:themeColor="text1"/>
        </w:rPr>
        <w:t>, se incluyeron los siguientes anexos:</w:t>
      </w:r>
    </w:p>
    <w:p w14:paraId="0B166B6A" w14:textId="464CDEEC" w:rsidR="00D33010" w:rsidRPr="008762D1" w:rsidRDefault="00D33010" w:rsidP="000F0B9F">
      <w:pPr>
        <w:pStyle w:val="IFT1"/>
        <w:numPr>
          <w:ilvl w:val="0"/>
          <w:numId w:val="8"/>
        </w:numPr>
        <w:spacing w:before="240" w:after="0"/>
        <w:rPr>
          <w:rFonts w:cs="Arial"/>
          <w:color w:val="000000" w:themeColor="text1"/>
        </w:rPr>
      </w:pPr>
      <w:r w:rsidRPr="008762D1">
        <w:rPr>
          <w:rFonts w:cs="Arial"/>
          <w:color w:val="000000" w:themeColor="text1"/>
        </w:rPr>
        <w:t>Anexo A. “Acuerdos Técnicos”; contiene las especificaciones técnicas necesarias para la implementación de los servicios de interconexión.</w:t>
      </w:r>
    </w:p>
    <w:p w14:paraId="76237308" w14:textId="7F1AEF2B" w:rsidR="00D33010" w:rsidRPr="008762D1" w:rsidRDefault="00D33010" w:rsidP="000F0B9F">
      <w:pPr>
        <w:pStyle w:val="IFT1"/>
        <w:numPr>
          <w:ilvl w:val="0"/>
          <w:numId w:val="8"/>
        </w:numPr>
        <w:spacing w:after="0"/>
        <w:rPr>
          <w:rFonts w:cs="Arial"/>
          <w:color w:val="000000" w:themeColor="text1"/>
        </w:rPr>
      </w:pPr>
      <w:r w:rsidRPr="008762D1">
        <w:rPr>
          <w:rFonts w:cs="Arial"/>
          <w:color w:val="000000" w:themeColor="text1"/>
        </w:rPr>
        <w:t xml:space="preserve">Anexo B. “Anexo de precios y tarifas que se adjunta al Convenio Marco de Interconexión entre las redes de Teléfonos de México, S.A.B. de C.V. con la red pública de </w:t>
      </w:r>
      <w:r w:rsidR="008762D1" w:rsidRPr="008762D1">
        <w:rPr>
          <w:rFonts w:cs="Arial"/>
          <w:b/>
          <w:color w:val="0000FF"/>
        </w:rPr>
        <w:t>(…)</w:t>
      </w:r>
      <w:r w:rsidRPr="008762D1">
        <w:rPr>
          <w:rFonts w:cs="Arial"/>
          <w:color w:val="000000" w:themeColor="text1"/>
        </w:rPr>
        <w:t xml:space="preserve">”; </w:t>
      </w:r>
      <w:r w:rsidRPr="008762D1">
        <w:rPr>
          <w:rFonts w:cs="Arial"/>
          <w:iCs w:val="0"/>
          <w:color w:val="000000" w:themeColor="text1"/>
        </w:rPr>
        <w:t>se exhibe el formato en el cual se señalarán los precios correspondientes a los servicios de interconexión.</w:t>
      </w:r>
    </w:p>
    <w:p w14:paraId="4900FC95" w14:textId="77777777" w:rsidR="00D33010" w:rsidRPr="008762D1" w:rsidRDefault="00D33010" w:rsidP="000F0B9F">
      <w:pPr>
        <w:pStyle w:val="IFT1"/>
        <w:numPr>
          <w:ilvl w:val="0"/>
          <w:numId w:val="8"/>
        </w:numPr>
        <w:spacing w:after="0"/>
        <w:rPr>
          <w:rFonts w:cs="Arial"/>
          <w:color w:val="000000" w:themeColor="text1"/>
        </w:rPr>
      </w:pPr>
      <w:r w:rsidRPr="008762D1">
        <w:rPr>
          <w:rFonts w:cs="Arial"/>
          <w:color w:val="000000" w:themeColor="text1"/>
        </w:rPr>
        <w:t>Anexo C. “Formato de Solicitudes de Servicios”; contiene el formato para realizar la solicitud de los servicios de interconexión.</w:t>
      </w:r>
    </w:p>
    <w:p w14:paraId="45E6B193" w14:textId="77777777" w:rsidR="00D33010" w:rsidRPr="008762D1" w:rsidRDefault="00D33010" w:rsidP="000F0B9F">
      <w:pPr>
        <w:pStyle w:val="IFT1"/>
        <w:numPr>
          <w:ilvl w:val="0"/>
          <w:numId w:val="8"/>
        </w:numPr>
        <w:spacing w:after="0"/>
        <w:rPr>
          <w:rFonts w:cs="Arial"/>
          <w:color w:val="000000" w:themeColor="text1"/>
        </w:rPr>
      </w:pPr>
      <w:r w:rsidRPr="008762D1">
        <w:rPr>
          <w:rFonts w:cs="Arial"/>
          <w:color w:val="000000" w:themeColor="text1"/>
        </w:rPr>
        <w:t xml:space="preserve">Anexo D. “Formato de Facturación”; contiene las especificaciones del formato de facturación que se utilizará para la facturación de los servicios de interconexión, así como el formato para la presentación de objeciones sobre la facturación de los servicios de interconexión. </w:t>
      </w:r>
    </w:p>
    <w:p w14:paraId="3E373F40" w14:textId="77777777" w:rsidR="00D33010" w:rsidRPr="008762D1" w:rsidRDefault="00D33010" w:rsidP="000F0B9F">
      <w:pPr>
        <w:pStyle w:val="IFT1"/>
        <w:numPr>
          <w:ilvl w:val="0"/>
          <w:numId w:val="8"/>
        </w:numPr>
        <w:spacing w:after="0"/>
        <w:rPr>
          <w:rFonts w:cs="Arial"/>
          <w:color w:val="000000" w:themeColor="text1"/>
        </w:rPr>
      </w:pPr>
      <w:r w:rsidRPr="008762D1">
        <w:rPr>
          <w:rFonts w:cs="Arial"/>
          <w:color w:val="000000" w:themeColor="text1"/>
        </w:rPr>
        <w:lastRenderedPageBreak/>
        <w:t>Anexo E. “Calidad”; contiene los parámetros de calidad en las llamadas, transmisión y señalización que se observarán en la prestación de los servicios de interconexión, así como el sistema de atención de fallas.</w:t>
      </w:r>
    </w:p>
    <w:p w14:paraId="688254D6" w14:textId="77777777" w:rsidR="00D33010" w:rsidRPr="008762D1" w:rsidRDefault="00D33010" w:rsidP="000F0B9F">
      <w:pPr>
        <w:pStyle w:val="IFT1"/>
        <w:numPr>
          <w:ilvl w:val="0"/>
          <w:numId w:val="8"/>
        </w:numPr>
        <w:spacing w:after="0"/>
        <w:rPr>
          <w:rFonts w:cs="Arial"/>
          <w:color w:val="000000" w:themeColor="text1"/>
        </w:rPr>
      </w:pPr>
      <w:r w:rsidRPr="008762D1">
        <w:rPr>
          <w:rFonts w:cs="Arial"/>
          <w:color w:val="000000" w:themeColor="text1"/>
        </w:rPr>
        <w:t xml:space="preserve">Anexo F. “Formato de Pronóstico de Puertos, Enlaces de Señalización y </w:t>
      </w:r>
      <w:proofErr w:type="spellStart"/>
      <w:r w:rsidRPr="008762D1">
        <w:rPr>
          <w:rFonts w:cs="Arial"/>
          <w:color w:val="000000" w:themeColor="text1"/>
        </w:rPr>
        <w:t>Coubicaciones</w:t>
      </w:r>
      <w:proofErr w:type="spellEnd"/>
      <w:r w:rsidRPr="008762D1">
        <w:rPr>
          <w:rFonts w:cs="Arial"/>
          <w:color w:val="000000" w:themeColor="text1"/>
        </w:rPr>
        <w:t>”; contiene los formatos mediante los cuales el Concesionario Solicitante pronosticará los servicios a contratar.</w:t>
      </w:r>
    </w:p>
    <w:p w14:paraId="5E4F6FBB" w14:textId="5D95092B" w:rsidR="000F0B9F" w:rsidRPr="008762D1" w:rsidRDefault="00D33010" w:rsidP="000F0B9F">
      <w:pPr>
        <w:pStyle w:val="IFT1"/>
        <w:numPr>
          <w:ilvl w:val="0"/>
          <w:numId w:val="8"/>
        </w:numPr>
        <w:spacing w:after="0"/>
        <w:rPr>
          <w:rFonts w:cs="Arial"/>
          <w:color w:val="000000" w:themeColor="text1"/>
        </w:rPr>
      </w:pPr>
      <w:r w:rsidRPr="008762D1">
        <w:rPr>
          <w:rFonts w:cs="Arial"/>
          <w:color w:val="000000" w:themeColor="text1"/>
        </w:rPr>
        <w:t xml:space="preserve">Anexo G. “Anexo de la prestación del Servicio Mayorista de Arrendamiento de Enlaces Dedicados de Interconexión Locales y Nacionales que constituye parte del Convenio Marco de Interconexión entre las redes de Teléfonos de México, S.A.B. de C.V. con la red pública de telecomunicaciones de </w:t>
      </w:r>
      <w:r w:rsidR="008762D1" w:rsidRPr="008762D1">
        <w:rPr>
          <w:rFonts w:cs="Arial"/>
          <w:b/>
          <w:color w:val="0000FF"/>
        </w:rPr>
        <w:t>(…)</w:t>
      </w:r>
      <w:r w:rsidRPr="008762D1">
        <w:rPr>
          <w:rFonts w:cs="Arial"/>
          <w:color w:val="000000" w:themeColor="text1"/>
        </w:rPr>
        <w:t>”; contiene las condiciones aplicables  al servicio de enlaces dedicados de interconexión.</w:t>
      </w:r>
    </w:p>
    <w:p w14:paraId="0D1B1FD8" w14:textId="77777777" w:rsidR="000F0B9F" w:rsidRPr="008762D1" w:rsidRDefault="00D33010" w:rsidP="000F0B9F">
      <w:pPr>
        <w:pStyle w:val="IFTnormal"/>
        <w:spacing w:before="240" w:after="0"/>
        <w:rPr>
          <w:color w:val="000000" w:themeColor="text1"/>
          <w:lang w:val="es-MX"/>
        </w:rPr>
      </w:pPr>
      <w:r w:rsidRPr="008762D1">
        <w:rPr>
          <w:rFonts w:eastAsia="Times New Roman"/>
          <w:bCs/>
          <w:iCs/>
          <w:color w:val="000000" w:themeColor="text1"/>
        </w:rPr>
        <w:t xml:space="preserve">Visto lo anterior, a continuación se procede al análisis de las condiciones contenidas en </w:t>
      </w:r>
      <w:r w:rsidR="00EF75E1" w:rsidRPr="008762D1">
        <w:rPr>
          <w:rFonts w:eastAsia="Times New Roman"/>
          <w:bCs/>
          <w:iCs/>
          <w:color w:val="000000" w:themeColor="text1"/>
        </w:rPr>
        <w:t xml:space="preserve">el </w:t>
      </w:r>
      <w:r w:rsidRPr="008762D1">
        <w:rPr>
          <w:rFonts w:eastAsia="Times New Roman"/>
          <w:bCs/>
          <w:iCs/>
          <w:color w:val="000000" w:themeColor="text1"/>
        </w:rPr>
        <w:t>CMI</w:t>
      </w:r>
      <w:r w:rsidR="00EF75E1" w:rsidRPr="008762D1">
        <w:rPr>
          <w:rFonts w:eastAsia="Times New Roman"/>
          <w:bCs/>
          <w:iCs/>
          <w:color w:val="000000" w:themeColor="text1"/>
        </w:rPr>
        <w:t xml:space="preserve"> Modificado presentado</w:t>
      </w:r>
      <w:r w:rsidRPr="008762D1">
        <w:rPr>
          <w:rFonts w:eastAsia="Times New Roman"/>
          <w:bCs/>
          <w:iCs/>
          <w:color w:val="000000" w:themeColor="text1"/>
        </w:rPr>
        <w:t xml:space="preserve"> por el AEP</w:t>
      </w:r>
      <w:r w:rsidR="00C02595" w:rsidRPr="008762D1">
        <w:rPr>
          <w:rFonts w:eastAsia="Times New Roman"/>
          <w:bCs/>
          <w:iCs/>
          <w:color w:val="000000" w:themeColor="text1"/>
        </w:rPr>
        <w:t>.</w:t>
      </w:r>
    </w:p>
    <w:p w14:paraId="1F63B5A3" w14:textId="77777777" w:rsidR="000F0B9F" w:rsidRPr="008762D1" w:rsidRDefault="00AC2314" w:rsidP="000F0B9F">
      <w:pPr>
        <w:pStyle w:val="IFT1"/>
        <w:numPr>
          <w:ilvl w:val="1"/>
          <w:numId w:val="9"/>
        </w:numPr>
        <w:tabs>
          <w:tab w:val="left" w:pos="426"/>
        </w:tabs>
        <w:spacing w:before="240" w:after="0"/>
        <w:ind w:left="284" w:hanging="284"/>
        <w:rPr>
          <w:b/>
          <w:color w:val="000000" w:themeColor="text1"/>
        </w:rPr>
      </w:pPr>
      <w:r w:rsidRPr="008762D1">
        <w:rPr>
          <w:b/>
          <w:color w:val="000000" w:themeColor="text1"/>
        </w:rPr>
        <w:t xml:space="preserve">CLÁUSULA </w:t>
      </w:r>
      <w:r w:rsidR="008766CC" w:rsidRPr="008762D1">
        <w:rPr>
          <w:b/>
          <w:color w:val="000000" w:themeColor="text1"/>
        </w:rPr>
        <w:t>PRIMERA. DEFINICIONES</w:t>
      </w:r>
      <w:r w:rsidRPr="008762D1">
        <w:rPr>
          <w:b/>
          <w:color w:val="000000" w:themeColor="text1"/>
        </w:rPr>
        <w:t>.</w:t>
      </w:r>
    </w:p>
    <w:p w14:paraId="5451C4E4" w14:textId="64A169C6" w:rsidR="000F14FA" w:rsidRPr="008762D1" w:rsidRDefault="00E56D1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Modificación del Instituto</w:t>
      </w:r>
    </w:p>
    <w:p w14:paraId="48060CB2" w14:textId="77777777" w:rsidR="000F0B9F" w:rsidRPr="008762D1" w:rsidRDefault="006679F7" w:rsidP="000F0B9F">
      <w:pPr>
        <w:pStyle w:val="IFT1"/>
        <w:tabs>
          <w:tab w:val="left" w:pos="426"/>
        </w:tabs>
        <w:spacing w:before="240" w:after="0"/>
        <w:rPr>
          <w:bCs/>
          <w:color w:val="000000" w:themeColor="text1"/>
        </w:rPr>
      </w:pPr>
      <w:r w:rsidRPr="008762D1">
        <w:rPr>
          <w:rFonts w:cs="Arial"/>
          <w:color w:val="000000" w:themeColor="text1"/>
        </w:rPr>
        <w:t>Del análisis realizado a la Propuesta de CMI se observó que algunas definiciones no se apegaban al marco regulatorio vigente ni a</w:t>
      </w:r>
      <w:r w:rsidRPr="008762D1">
        <w:rPr>
          <w:color w:val="000000" w:themeColor="text1"/>
        </w:rPr>
        <w:t xml:space="preserve"> los términos y condiciones </w:t>
      </w:r>
      <w:r w:rsidRPr="008762D1">
        <w:rPr>
          <w:bCs/>
          <w:color w:val="000000" w:themeColor="text1"/>
        </w:rPr>
        <w:t xml:space="preserve">establecidos en el CMI 2017 </w:t>
      </w:r>
      <w:r w:rsidRPr="008762D1">
        <w:rPr>
          <w:color w:val="000000" w:themeColor="text1"/>
        </w:rPr>
        <w:t xml:space="preserve">autorizado mediante Acuerdo </w:t>
      </w:r>
      <w:r w:rsidRPr="008762D1">
        <w:rPr>
          <w:rFonts w:cs="Arial"/>
          <w:bCs/>
          <w:color w:val="000000" w:themeColor="text1"/>
          <w:lang w:eastAsia="es-ES"/>
        </w:rPr>
        <w:t>P/IFT/241116/4</w:t>
      </w:r>
      <w:r w:rsidR="00F74B5C" w:rsidRPr="008762D1">
        <w:rPr>
          <w:rFonts w:cs="Arial"/>
          <w:bCs/>
          <w:color w:val="000000" w:themeColor="text1"/>
          <w:lang w:eastAsia="es-ES"/>
        </w:rPr>
        <w:t>0</w:t>
      </w:r>
      <w:r w:rsidRPr="008762D1">
        <w:rPr>
          <w:rFonts w:cs="Arial"/>
          <w:bCs/>
          <w:color w:val="000000" w:themeColor="text1"/>
          <w:lang w:eastAsia="es-ES"/>
        </w:rPr>
        <w:t xml:space="preserve"> </w:t>
      </w:r>
      <w:r w:rsidRPr="008762D1">
        <w:rPr>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A65FA5" w:rsidRPr="008762D1">
        <w:rPr>
          <w:bCs/>
          <w:color w:val="000000" w:themeColor="text1"/>
        </w:rPr>
        <w:t>ación; el Instituto no consideró</w:t>
      </w:r>
      <w:r w:rsidRPr="008762D1">
        <w:rPr>
          <w:bCs/>
          <w:color w:val="000000" w:themeColor="text1"/>
        </w:rPr>
        <w:t xml:space="preserve"> procedente que en una revisión posterior del convenio ma</w:t>
      </w:r>
      <w:r w:rsidR="00F303DB" w:rsidRPr="008762D1">
        <w:rPr>
          <w:bCs/>
          <w:color w:val="000000" w:themeColor="text1"/>
        </w:rPr>
        <w:t>rco de interconexión se plantearan</w:t>
      </w:r>
      <w:r w:rsidRPr="008762D1">
        <w:rPr>
          <w:bCs/>
          <w:color w:val="000000" w:themeColor="text1"/>
        </w:rPr>
        <w:t xml:space="preserve"> términos y condiciones menos favorables que los ya autorizados por el Instituto.</w:t>
      </w:r>
    </w:p>
    <w:p w14:paraId="7C4FD2A4" w14:textId="4756407A" w:rsidR="002C10DF" w:rsidRPr="008762D1" w:rsidRDefault="00FB7ECA" w:rsidP="000F0B9F">
      <w:pPr>
        <w:pStyle w:val="IFT1"/>
        <w:tabs>
          <w:tab w:val="left" w:pos="426"/>
        </w:tabs>
        <w:spacing w:before="240" w:after="0"/>
        <w:rPr>
          <w:bCs/>
          <w:color w:val="000000" w:themeColor="text1"/>
        </w:rPr>
      </w:pPr>
      <w:r w:rsidRPr="008762D1">
        <w:rPr>
          <w:rFonts w:cs="Arial"/>
          <w:color w:val="000000" w:themeColor="text1"/>
        </w:rPr>
        <w:t>De</w:t>
      </w:r>
      <w:r w:rsidR="006679F7" w:rsidRPr="008762D1">
        <w:rPr>
          <w:rFonts w:cs="Arial"/>
          <w:color w:val="000000" w:themeColor="text1"/>
        </w:rPr>
        <w:t xml:space="preserve"> </w:t>
      </w:r>
      <w:r w:rsidRPr="008762D1">
        <w:rPr>
          <w:rFonts w:cs="Arial"/>
          <w:color w:val="000000" w:themeColor="text1"/>
        </w:rPr>
        <w:t>l</w:t>
      </w:r>
      <w:r w:rsidR="006679F7" w:rsidRPr="008762D1">
        <w:rPr>
          <w:rFonts w:cs="Arial"/>
          <w:color w:val="000000" w:themeColor="text1"/>
        </w:rPr>
        <w:t xml:space="preserve">o anterior, </w:t>
      </w:r>
      <w:r w:rsidRPr="008762D1">
        <w:rPr>
          <w:rFonts w:cs="Arial"/>
          <w:color w:val="000000" w:themeColor="text1"/>
        </w:rPr>
        <w:t>e</w:t>
      </w:r>
      <w:r w:rsidR="00E80C91" w:rsidRPr="008762D1">
        <w:rPr>
          <w:rFonts w:cs="Arial"/>
          <w:color w:val="000000" w:themeColor="text1"/>
        </w:rPr>
        <w:t xml:space="preserve">l Instituto modificó las definiciones de </w:t>
      </w:r>
      <w:r w:rsidRPr="008762D1">
        <w:rPr>
          <w:bCs/>
          <w:color w:val="000000" w:themeColor="text1"/>
        </w:rPr>
        <w:t>Concesionario, Interconexión, Punto de Interconexión, Registro Público de Concesiones</w:t>
      </w:r>
      <w:r w:rsidR="00F303DB" w:rsidRPr="008762D1">
        <w:rPr>
          <w:bCs/>
          <w:color w:val="000000" w:themeColor="text1"/>
        </w:rPr>
        <w:t>, Servicios Auxiliares Conexos,</w:t>
      </w:r>
      <w:r w:rsidRPr="008762D1">
        <w:rPr>
          <w:bCs/>
          <w:color w:val="000000" w:themeColor="text1"/>
        </w:rPr>
        <w:t xml:space="preserve"> Tráfico</w:t>
      </w:r>
      <w:r w:rsidR="006679F7" w:rsidRPr="008762D1">
        <w:rPr>
          <w:bCs/>
          <w:color w:val="000000" w:themeColor="text1"/>
        </w:rPr>
        <w:t xml:space="preserve"> y eliminó</w:t>
      </w:r>
      <w:r w:rsidRPr="008762D1">
        <w:rPr>
          <w:bCs/>
          <w:color w:val="000000" w:themeColor="text1"/>
        </w:rPr>
        <w:t xml:space="preserve"> la definición de Cancelación Solicitudes de Servicio; lo anterior a efecto de qu</w:t>
      </w:r>
      <w:r w:rsidR="00A10EED" w:rsidRPr="008762D1">
        <w:rPr>
          <w:bCs/>
          <w:color w:val="000000" w:themeColor="text1"/>
        </w:rPr>
        <w:t>e</w:t>
      </w:r>
      <w:r w:rsidRPr="008762D1">
        <w:rPr>
          <w:bCs/>
          <w:color w:val="000000" w:themeColor="text1"/>
        </w:rPr>
        <w:t xml:space="preserve"> dichas definiciones se apegaran al marco legal y regulatorio vigente, esto es la LFTR, el Plan de Técnico Fundamental de Interconexión e Interoperabilidad (en lo sucesivo, “Plan de Interconexión”) y las Medidas Fijas</w:t>
      </w:r>
      <w:r w:rsidR="002C10DF" w:rsidRPr="008762D1">
        <w:rPr>
          <w:bCs/>
          <w:color w:val="000000" w:themeColor="text1"/>
        </w:rPr>
        <w:t xml:space="preserve"> en el siguiente sentido:</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Tabla"/>
        <w:tblDescription w:val="Medidas fijas"/>
      </w:tblPr>
      <w:tblGrid>
        <w:gridCol w:w="1918"/>
        <w:gridCol w:w="5737"/>
      </w:tblGrid>
      <w:tr w:rsidR="008762D1" w:rsidRPr="008762D1" w14:paraId="77EEA812" w14:textId="77777777" w:rsidTr="005D18CA">
        <w:trPr>
          <w:trHeight w:val="461"/>
          <w:tblHeader/>
          <w:jc w:val="center"/>
        </w:trPr>
        <w:tc>
          <w:tcPr>
            <w:tcW w:w="1918" w:type="dxa"/>
          </w:tcPr>
          <w:p w14:paraId="1D50E666" w14:textId="77777777" w:rsidR="002C10DF" w:rsidRPr="008762D1" w:rsidRDefault="002C10DF" w:rsidP="000F0B9F">
            <w:pPr>
              <w:autoSpaceDE w:val="0"/>
              <w:autoSpaceDN w:val="0"/>
              <w:adjustRightInd w:val="0"/>
              <w:jc w:val="both"/>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lastRenderedPageBreak/>
              <w:t>Concesionario</w:t>
            </w:r>
          </w:p>
        </w:tc>
        <w:tc>
          <w:tcPr>
            <w:tcW w:w="5737" w:type="dxa"/>
          </w:tcPr>
          <w:p w14:paraId="43A3A49B" w14:textId="77777777" w:rsidR="002C10DF" w:rsidRPr="008762D1" w:rsidRDefault="002C10DF" w:rsidP="000F0B9F">
            <w:pPr>
              <w:autoSpaceDE w:val="0"/>
              <w:autoSpaceDN w:val="0"/>
              <w:adjustRightInd w:val="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u w:val="single"/>
              </w:rPr>
              <w:t>Persona física o moral</w:t>
            </w:r>
            <w:r w:rsidRPr="008762D1">
              <w:rPr>
                <w:rFonts w:ascii="ITC Avant Garde" w:hAnsi="ITC Avant Garde" w:cs="Arial"/>
                <w:color w:val="000000" w:themeColor="text1"/>
                <w:sz w:val="18"/>
                <w:szCs w:val="18"/>
              </w:rPr>
              <w:t xml:space="preserve"> titular de una concesión </w:t>
            </w:r>
            <w:r w:rsidRPr="008762D1">
              <w:rPr>
                <w:rFonts w:ascii="ITC Avant Garde" w:hAnsi="ITC Avant Garde" w:cs="Arial"/>
                <w:color w:val="000000" w:themeColor="text1"/>
                <w:sz w:val="18"/>
                <w:szCs w:val="18"/>
                <w:u w:val="single"/>
              </w:rPr>
              <w:t>de las previstas en la Ley.</w:t>
            </w:r>
          </w:p>
        </w:tc>
      </w:tr>
      <w:tr w:rsidR="008762D1" w:rsidRPr="008762D1" w14:paraId="1F38723F" w14:textId="77777777" w:rsidTr="005D18CA">
        <w:trPr>
          <w:trHeight w:val="2441"/>
          <w:tblHeader/>
          <w:jc w:val="center"/>
        </w:trPr>
        <w:tc>
          <w:tcPr>
            <w:tcW w:w="1918" w:type="dxa"/>
          </w:tcPr>
          <w:p w14:paraId="766E36E4" w14:textId="77777777" w:rsidR="002C10DF" w:rsidRPr="008762D1" w:rsidRDefault="002C10DF" w:rsidP="000F0B9F">
            <w:pPr>
              <w:autoSpaceDE w:val="0"/>
              <w:autoSpaceDN w:val="0"/>
              <w:adjustRightInd w:val="0"/>
              <w:jc w:val="both"/>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Interconexión</w:t>
            </w:r>
          </w:p>
        </w:tc>
        <w:tc>
          <w:tcPr>
            <w:tcW w:w="5737" w:type="dxa"/>
          </w:tcPr>
          <w:p w14:paraId="7D3CC402" w14:textId="77777777" w:rsidR="002C10DF" w:rsidRPr="008762D1" w:rsidRDefault="002C10DF" w:rsidP="000F0B9F">
            <w:pPr>
              <w:autoSpaceDE w:val="0"/>
              <w:autoSpaceDN w:val="0"/>
              <w:adjustRightInd w:val="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Conexión física </w:t>
            </w:r>
            <w:r w:rsidRPr="008762D1">
              <w:rPr>
                <w:rFonts w:ascii="ITC Avant Garde" w:hAnsi="ITC Avant Garde" w:cs="Arial"/>
                <w:color w:val="000000" w:themeColor="text1"/>
                <w:sz w:val="18"/>
                <w:szCs w:val="18"/>
                <w:u w:val="single"/>
              </w:rPr>
              <w:t>o virtual</w:t>
            </w:r>
            <w:r w:rsidRPr="008762D1">
              <w:rPr>
                <w:rFonts w:ascii="ITC Avant Garde" w:hAnsi="ITC Avant Garde" w:cs="Arial"/>
                <w:color w:val="000000" w:themeColor="text1"/>
                <w:sz w:val="18"/>
                <w:szCs w:val="18"/>
              </w:rPr>
              <w:t xml:space="preserve">, lógica y funcional entre Redes Públicas de Telecomunicaciones que permite la conducción de Tráfico Público Conmutado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w:t>
            </w:r>
            <w:r w:rsidRPr="008762D1">
              <w:rPr>
                <w:rFonts w:ascii="ITC Avant Garde" w:hAnsi="ITC Avant Garde" w:cs="Arial"/>
                <w:color w:val="000000" w:themeColor="text1"/>
                <w:sz w:val="18"/>
                <w:szCs w:val="18"/>
                <w:u w:val="single"/>
              </w:rPr>
              <w:t>o bien permite a los usuarios de una red pública de telecomunicaciones la utilización de servicios de telecomunicaciones provistos por o a través de otra red pública de telecomunicaciones.</w:t>
            </w:r>
            <w:r w:rsidRPr="008762D1">
              <w:rPr>
                <w:rFonts w:ascii="ITC Avant Garde" w:hAnsi="ITC Avant Garde" w:cs="Arial"/>
                <w:color w:val="000000" w:themeColor="text1"/>
                <w:sz w:val="18"/>
                <w:szCs w:val="18"/>
              </w:rPr>
              <w:t xml:space="preserve"> </w:t>
            </w:r>
          </w:p>
        </w:tc>
      </w:tr>
      <w:tr w:rsidR="008762D1" w:rsidRPr="008762D1" w14:paraId="6B04B265" w14:textId="77777777" w:rsidTr="005D18CA">
        <w:trPr>
          <w:tblHeader/>
          <w:jc w:val="center"/>
        </w:trPr>
        <w:tc>
          <w:tcPr>
            <w:tcW w:w="1918" w:type="dxa"/>
          </w:tcPr>
          <w:p w14:paraId="5383958E" w14:textId="77777777" w:rsidR="002C10DF" w:rsidRPr="008762D1" w:rsidRDefault="002C10DF" w:rsidP="000F0B9F">
            <w:pPr>
              <w:autoSpaceDE w:val="0"/>
              <w:autoSpaceDN w:val="0"/>
              <w:adjustRightInd w:val="0"/>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Punto de Interconexión</w:t>
            </w:r>
          </w:p>
        </w:tc>
        <w:tc>
          <w:tcPr>
            <w:tcW w:w="5737" w:type="dxa"/>
          </w:tcPr>
          <w:p w14:paraId="7A0D4B0A" w14:textId="77777777" w:rsidR="002C10DF" w:rsidRPr="008762D1" w:rsidRDefault="002C10DF" w:rsidP="000F0B9F">
            <w:pPr>
              <w:autoSpaceDE w:val="0"/>
              <w:autoSpaceDN w:val="0"/>
              <w:adjustRightInd w:val="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Punto físico </w:t>
            </w:r>
            <w:r w:rsidRPr="008762D1">
              <w:rPr>
                <w:rFonts w:ascii="ITC Avant Garde" w:hAnsi="ITC Avant Garde" w:cs="Arial"/>
                <w:color w:val="000000" w:themeColor="text1"/>
                <w:sz w:val="18"/>
                <w:szCs w:val="18"/>
                <w:u w:val="single"/>
              </w:rPr>
              <w:t>o virtual</w:t>
            </w:r>
            <w:r w:rsidRPr="008762D1">
              <w:rPr>
                <w:rFonts w:ascii="ITC Avant Garde" w:hAnsi="ITC Avant Garde" w:cs="Arial"/>
                <w:color w:val="000000" w:themeColor="text1"/>
                <w:sz w:val="18"/>
                <w:szCs w:val="18"/>
              </w:rPr>
              <w:t xml:space="preserve"> donde se establece la Interconexión entre Redes Públicas de Telecomunicaciones.</w:t>
            </w:r>
          </w:p>
        </w:tc>
      </w:tr>
      <w:tr w:rsidR="008762D1" w:rsidRPr="008762D1" w14:paraId="3F8B6DE2" w14:textId="77777777" w:rsidTr="005D18CA">
        <w:trPr>
          <w:tblHeader/>
          <w:jc w:val="center"/>
        </w:trPr>
        <w:tc>
          <w:tcPr>
            <w:tcW w:w="1918" w:type="dxa"/>
          </w:tcPr>
          <w:p w14:paraId="2E3CBEF5" w14:textId="77777777" w:rsidR="002C10DF" w:rsidRPr="008762D1" w:rsidRDefault="002C10DF" w:rsidP="000F0B9F">
            <w:pPr>
              <w:autoSpaceDE w:val="0"/>
              <w:autoSpaceDN w:val="0"/>
              <w:adjustRightInd w:val="0"/>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 xml:space="preserve">Registro Público de Concesiones </w:t>
            </w:r>
          </w:p>
        </w:tc>
        <w:tc>
          <w:tcPr>
            <w:tcW w:w="5737" w:type="dxa"/>
          </w:tcPr>
          <w:p w14:paraId="6B7696FE" w14:textId="77777777" w:rsidR="002C10DF" w:rsidRPr="008762D1" w:rsidRDefault="002C10DF" w:rsidP="000F0B9F">
            <w:pPr>
              <w:autoSpaceDE w:val="0"/>
              <w:autoSpaceDN w:val="0"/>
              <w:adjustRightInd w:val="0"/>
              <w:jc w:val="both"/>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El señalado en el artículo 177 de la Ley de Telecom.</w:t>
            </w:r>
          </w:p>
        </w:tc>
      </w:tr>
      <w:tr w:rsidR="008762D1" w:rsidRPr="008762D1" w14:paraId="7958C3A5" w14:textId="77777777" w:rsidTr="005D18CA">
        <w:trPr>
          <w:trHeight w:val="456"/>
          <w:tblHeader/>
          <w:jc w:val="center"/>
        </w:trPr>
        <w:tc>
          <w:tcPr>
            <w:tcW w:w="1918" w:type="dxa"/>
          </w:tcPr>
          <w:p w14:paraId="6303483F" w14:textId="77777777" w:rsidR="002C10DF" w:rsidRPr="008762D1" w:rsidRDefault="002C10DF" w:rsidP="000F0B9F">
            <w:pPr>
              <w:autoSpaceDE w:val="0"/>
              <w:autoSpaceDN w:val="0"/>
              <w:adjustRightInd w:val="0"/>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 xml:space="preserve">Servicios </w:t>
            </w:r>
          </w:p>
          <w:p w14:paraId="0FF78E3A" w14:textId="77777777" w:rsidR="002C10DF" w:rsidRPr="008762D1" w:rsidRDefault="002C10DF" w:rsidP="000F0B9F">
            <w:pPr>
              <w:autoSpaceDE w:val="0"/>
              <w:autoSpaceDN w:val="0"/>
              <w:adjustRightInd w:val="0"/>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 xml:space="preserve">Auxiliares </w:t>
            </w:r>
          </w:p>
          <w:p w14:paraId="27180BC8" w14:textId="77777777" w:rsidR="002C10DF" w:rsidRPr="008762D1" w:rsidRDefault="002C10DF" w:rsidP="000F0B9F">
            <w:pPr>
              <w:autoSpaceDE w:val="0"/>
              <w:autoSpaceDN w:val="0"/>
              <w:adjustRightInd w:val="0"/>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Conexos</w:t>
            </w:r>
          </w:p>
        </w:tc>
        <w:tc>
          <w:tcPr>
            <w:tcW w:w="5737" w:type="dxa"/>
          </w:tcPr>
          <w:p w14:paraId="6088C0C9" w14:textId="77777777" w:rsidR="002C10DF" w:rsidRPr="008762D1" w:rsidRDefault="002C10DF" w:rsidP="000F0B9F">
            <w:pPr>
              <w:autoSpaceDE w:val="0"/>
              <w:autoSpaceDN w:val="0"/>
              <w:adjustRightInd w:val="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w:t>
            </w:r>
            <w:r w:rsidRPr="008762D1">
              <w:rPr>
                <w:rFonts w:ascii="ITC Avant Garde" w:hAnsi="ITC Avant Garde" w:cs="Arial"/>
                <w:color w:val="000000" w:themeColor="text1"/>
                <w:sz w:val="18"/>
                <w:szCs w:val="18"/>
                <w:u w:val="single"/>
              </w:rPr>
              <w:t>vía operadora, y los demás que se requieran para permitir los Usuarios de un Concesionario comunicarse con los Usuarios de otro Concesionario y tener acceso a los servicios suministrados por éste último o por algún otro proveedor autorizado al efecto.</w:t>
            </w:r>
            <w:r w:rsidRPr="008762D1">
              <w:rPr>
                <w:rFonts w:ascii="ITC Avant Garde" w:hAnsi="ITC Avant Garde" w:cs="Arial"/>
                <w:color w:val="000000" w:themeColor="text1"/>
                <w:sz w:val="18"/>
                <w:szCs w:val="18"/>
              </w:rPr>
              <w:t xml:space="preserve"> </w:t>
            </w:r>
          </w:p>
        </w:tc>
      </w:tr>
      <w:tr w:rsidR="008762D1" w:rsidRPr="008762D1" w14:paraId="0D9B94D7" w14:textId="77777777" w:rsidTr="005D18CA">
        <w:trPr>
          <w:tblHeader/>
          <w:jc w:val="center"/>
        </w:trPr>
        <w:tc>
          <w:tcPr>
            <w:tcW w:w="1918" w:type="dxa"/>
          </w:tcPr>
          <w:p w14:paraId="5D568EF8" w14:textId="77777777" w:rsidR="002C10DF" w:rsidRPr="008762D1" w:rsidRDefault="002C10DF" w:rsidP="000F0B9F">
            <w:pPr>
              <w:autoSpaceDE w:val="0"/>
              <w:autoSpaceDN w:val="0"/>
              <w:adjustRightInd w:val="0"/>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Tráfico</w:t>
            </w:r>
          </w:p>
        </w:tc>
        <w:tc>
          <w:tcPr>
            <w:tcW w:w="5737" w:type="dxa"/>
          </w:tcPr>
          <w:p w14:paraId="5CB7AE03" w14:textId="77777777" w:rsidR="002C10DF" w:rsidRPr="008762D1" w:rsidRDefault="002C10DF" w:rsidP="000F0B9F">
            <w:pPr>
              <w:autoSpaceDE w:val="0"/>
              <w:autoSpaceDN w:val="0"/>
              <w:adjustRightInd w:val="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Datos, escritos, imágenes, voz, sonidos o información de cualquier naturaleza </w:t>
            </w:r>
            <w:r w:rsidRPr="008762D1">
              <w:rPr>
                <w:rFonts w:ascii="ITC Avant Garde" w:hAnsi="ITC Avant Garde" w:cs="Arial"/>
                <w:color w:val="000000" w:themeColor="text1"/>
                <w:sz w:val="18"/>
                <w:szCs w:val="18"/>
                <w:u w:val="single"/>
              </w:rPr>
              <w:t>que circulan</w:t>
            </w:r>
            <w:r w:rsidRPr="008762D1">
              <w:rPr>
                <w:rFonts w:ascii="ITC Avant Garde" w:hAnsi="ITC Avant Garde" w:cs="Arial"/>
                <w:color w:val="000000" w:themeColor="text1"/>
                <w:sz w:val="18"/>
                <w:szCs w:val="18"/>
              </w:rPr>
              <w:t xml:space="preserve"> por una red de telecomunicaciones.</w:t>
            </w:r>
          </w:p>
        </w:tc>
      </w:tr>
    </w:tbl>
    <w:p w14:paraId="4EA1F909" w14:textId="77777777" w:rsidR="000F0B9F" w:rsidRPr="008762D1" w:rsidRDefault="002C10DF"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3EE99AB6" w14:textId="2B21E6DA" w:rsidR="00E56D18" w:rsidRPr="008762D1" w:rsidRDefault="00E56D1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22689BE2" w14:textId="77777777" w:rsidR="000F0B9F" w:rsidRPr="008762D1" w:rsidRDefault="00DF2D66"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w:t>
      </w:r>
      <w:r w:rsidR="00656653" w:rsidRPr="008762D1">
        <w:rPr>
          <w:rFonts w:ascii="ITC Avant Garde" w:eastAsia="Times New Roman" w:hAnsi="ITC Avant Garde" w:cs="Arial"/>
          <w:iCs/>
          <w:color w:val="000000" w:themeColor="text1"/>
        </w:rPr>
        <w:t>presentó las definiciones</w:t>
      </w:r>
      <w:r w:rsidR="003D43BE" w:rsidRPr="008762D1">
        <w:rPr>
          <w:rFonts w:ascii="ITC Avant Garde" w:eastAsia="Times New Roman" w:hAnsi="ITC Avant Garde" w:cs="Arial"/>
          <w:iCs/>
          <w:color w:val="000000" w:themeColor="text1"/>
        </w:rPr>
        <w:t xml:space="preserve"> de Concesionario, Interconexión, Punto de Interconexión, Registro Público de Concesiones, Servicios Auxiliares Conexos y Tráfico, en los términos</w:t>
      </w:r>
      <w:r w:rsidR="002C10DF" w:rsidRPr="008762D1">
        <w:rPr>
          <w:rFonts w:ascii="ITC Avant Garde" w:eastAsia="Times New Roman" w:hAnsi="ITC Avant Garde" w:cs="Arial"/>
          <w:iCs/>
          <w:color w:val="000000" w:themeColor="text1"/>
        </w:rPr>
        <w:t xml:space="preserve"> </w:t>
      </w:r>
      <w:r w:rsidR="00F303DB" w:rsidRPr="008762D1">
        <w:rPr>
          <w:rFonts w:ascii="ITC Avant Garde" w:eastAsia="Times New Roman" w:hAnsi="ITC Avant Garde" w:cs="Arial"/>
          <w:iCs/>
          <w:color w:val="000000" w:themeColor="text1"/>
        </w:rPr>
        <w:t>señalados en el Acuerdo</w:t>
      </w:r>
      <w:r w:rsidR="002C10DF" w:rsidRPr="008762D1">
        <w:rPr>
          <w:rFonts w:ascii="ITC Avant Garde" w:eastAsia="Times New Roman" w:hAnsi="ITC Avant Garde" w:cs="Arial"/>
          <w:iCs/>
          <w:color w:val="000000" w:themeColor="text1"/>
        </w:rPr>
        <w:t>.</w:t>
      </w:r>
      <w:r w:rsidR="00656653" w:rsidRPr="008762D1">
        <w:rPr>
          <w:rFonts w:ascii="ITC Avant Garde" w:eastAsia="Times New Roman" w:hAnsi="ITC Avant Garde" w:cs="Arial"/>
          <w:iCs/>
          <w:color w:val="000000" w:themeColor="text1"/>
        </w:rPr>
        <w:t xml:space="preserve"> </w:t>
      </w:r>
      <w:r w:rsidR="002C10DF" w:rsidRPr="008762D1">
        <w:rPr>
          <w:rFonts w:ascii="ITC Avant Garde" w:eastAsia="Times New Roman" w:hAnsi="ITC Avant Garde" w:cs="Arial"/>
          <w:iCs/>
          <w:color w:val="000000" w:themeColor="text1"/>
        </w:rPr>
        <w:t xml:space="preserve"> </w:t>
      </w:r>
      <w:r w:rsidR="003D43BE" w:rsidRPr="008762D1">
        <w:rPr>
          <w:rFonts w:ascii="ITC Avant Garde" w:eastAsia="Times New Roman" w:hAnsi="ITC Avant Garde" w:cs="Arial"/>
          <w:iCs/>
          <w:color w:val="000000" w:themeColor="text1"/>
        </w:rPr>
        <w:t>Asimismo, eliminó la definición de Cancelación Solicitudes de Servicio.</w:t>
      </w:r>
    </w:p>
    <w:p w14:paraId="70699666" w14:textId="36DB9ED1" w:rsidR="00E56D18" w:rsidRPr="008762D1" w:rsidRDefault="00E56D1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49EA8B01" w14:textId="77777777" w:rsidR="000F0B9F" w:rsidRPr="008762D1" w:rsidRDefault="00996A14"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no realizó manifestaciones sobre la modificación realizada por el Instituto a los términos Concesionario, Interconexión, Punto de Interconexión, Registro Público de Concesiones, Servicios Auxiliares Conexos y Tráfico, </w:t>
      </w:r>
      <w:r w:rsidR="00CA7B48" w:rsidRPr="008762D1">
        <w:rPr>
          <w:rFonts w:ascii="ITC Avant Garde" w:eastAsia="Times New Roman" w:hAnsi="ITC Avant Garde" w:cs="Arial"/>
          <w:iCs/>
          <w:color w:val="000000" w:themeColor="text1"/>
        </w:rPr>
        <w:t xml:space="preserve">ni de </w:t>
      </w:r>
      <w:r w:rsidRPr="008762D1">
        <w:rPr>
          <w:rFonts w:ascii="ITC Avant Garde" w:eastAsia="Times New Roman" w:hAnsi="ITC Avant Garde" w:cs="Arial"/>
          <w:iCs/>
          <w:color w:val="000000" w:themeColor="text1"/>
        </w:rPr>
        <w:t>la eliminación de la definición de Cancelación Solicitudes de Servicio</w:t>
      </w:r>
      <w:r w:rsidR="0083442E" w:rsidRPr="008762D1">
        <w:rPr>
          <w:rFonts w:ascii="ITC Avant Garde" w:eastAsia="Times New Roman" w:hAnsi="ITC Avant Garde" w:cs="Arial"/>
          <w:iCs/>
          <w:color w:val="000000" w:themeColor="text1"/>
        </w:rPr>
        <w:t>,</w:t>
      </w:r>
      <w:r w:rsidRPr="008762D1">
        <w:rPr>
          <w:rFonts w:ascii="ITC Avant Garde" w:eastAsia="Times New Roman" w:hAnsi="ITC Avant Garde" w:cs="Arial"/>
          <w:iCs/>
          <w:color w:val="000000" w:themeColor="text1"/>
        </w:rPr>
        <w:t xml:space="preserve"> por lo que al no existir mayores elementos de análisis se considera procedente su aprobación en los términos señalados.  </w:t>
      </w:r>
    </w:p>
    <w:p w14:paraId="05ADEB45" w14:textId="2230EC6B" w:rsidR="00AD3064" w:rsidRPr="008762D1" w:rsidRDefault="00AD3064"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No obstante lo anterior,</w:t>
      </w:r>
      <w:r w:rsidR="006E410B" w:rsidRPr="008762D1">
        <w:rPr>
          <w:rFonts w:ascii="ITC Avant Garde" w:eastAsia="Times New Roman" w:hAnsi="ITC Avant Garde" w:cs="Arial"/>
          <w:iCs/>
          <w:color w:val="000000" w:themeColor="text1"/>
        </w:rPr>
        <w:t xml:space="preserve"> se modificaron las definiciones de</w:t>
      </w:r>
      <w:r w:rsidRPr="008762D1">
        <w:rPr>
          <w:rFonts w:ascii="ITC Avant Garde" w:eastAsia="Times New Roman" w:hAnsi="ITC Avant Garde" w:cs="Arial"/>
          <w:iCs/>
          <w:color w:val="000000" w:themeColor="text1"/>
        </w:rPr>
        <w:t xml:space="preserve"> los términos “Punto de Interconexión” y “Servicios de Interconexión” en congruenci</w:t>
      </w:r>
      <w:r w:rsidR="00AA7157" w:rsidRPr="008762D1">
        <w:rPr>
          <w:rFonts w:ascii="ITC Avant Garde" w:eastAsia="Times New Roman" w:hAnsi="ITC Avant Garde" w:cs="Arial"/>
          <w:iCs/>
          <w:color w:val="000000" w:themeColor="text1"/>
        </w:rPr>
        <w:t xml:space="preserve">a con lo establecido </w:t>
      </w:r>
      <w:r w:rsidR="00AA7157" w:rsidRPr="008762D1">
        <w:rPr>
          <w:rFonts w:ascii="ITC Avant Garde" w:eastAsia="Times New Roman" w:hAnsi="ITC Avant Garde" w:cs="Arial"/>
          <w:iCs/>
          <w:color w:val="000000" w:themeColor="text1"/>
        </w:rPr>
        <w:lastRenderedPageBreak/>
        <w:t>en la LFTR; lo anterior no le causa ningún perjuicio al AEP toda vez que la ley es de observancia obligatoria</w:t>
      </w:r>
      <w:r w:rsidR="0038196F" w:rsidRPr="008762D1">
        <w:rPr>
          <w:rFonts w:ascii="ITC Avant Garde" w:eastAsia="Times New Roman" w:hAnsi="ITC Avant Garde" w:cs="Arial"/>
          <w:iCs/>
          <w:color w:val="000000" w:themeColor="text1"/>
        </w:rPr>
        <w:t>, lo anterior en el siguiente sentido:</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Tabla"/>
        <w:tblDescription w:val="Puntos y servicios de interconexión"/>
      </w:tblPr>
      <w:tblGrid>
        <w:gridCol w:w="1918"/>
        <w:gridCol w:w="5737"/>
      </w:tblGrid>
      <w:tr w:rsidR="008762D1" w:rsidRPr="008762D1" w14:paraId="7534C896" w14:textId="77777777" w:rsidTr="005D18CA">
        <w:trPr>
          <w:tblHeader/>
          <w:jc w:val="center"/>
        </w:trPr>
        <w:tc>
          <w:tcPr>
            <w:tcW w:w="1918" w:type="dxa"/>
          </w:tcPr>
          <w:p w14:paraId="3D2DB30D" w14:textId="77777777" w:rsidR="0038196F" w:rsidRPr="008762D1" w:rsidRDefault="0038196F" w:rsidP="000F0B9F">
            <w:pPr>
              <w:autoSpaceDE w:val="0"/>
              <w:autoSpaceDN w:val="0"/>
              <w:adjustRightInd w:val="0"/>
              <w:spacing w:before="240"/>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Punto de Interconexión</w:t>
            </w:r>
          </w:p>
        </w:tc>
        <w:tc>
          <w:tcPr>
            <w:tcW w:w="5737" w:type="dxa"/>
          </w:tcPr>
          <w:p w14:paraId="1D3AD61D" w14:textId="0C743D78" w:rsidR="0038196F" w:rsidRPr="008762D1" w:rsidRDefault="0038196F" w:rsidP="000F0B9F">
            <w:pPr>
              <w:autoSpaceDE w:val="0"/>
              <w:autoSpaceDN w:val="0"/>
              <w:adjustRightInd w:val="0"/>
              <w:spacing w:before="24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Punto físico </w:t>
            </w:r>
            <w:r w:rsidRPr="008762D1">
              <w:rPr>
                <w:rFonts w:ascii="ITC Avant Garde" w:hAnsi="ITC Avant Garde" w:cs="Arial"/>
                <w:color w:val="000000" w:themeColor="text1"/>
                <w:sz w:val="18"/>
                <w:szCs w:val="18"/>
                <w:u w:val="single"/>
              </w:rPr>
              <w:t>o virtual</w:t>
            </w:r>
            <w:r w:rsidRPr="008762D1">
              <w:rPr>
                <w:rFonts w:ascii="ITC Avant Garde" w:hAnsi="ITC Avant Garde" w:cs="Arial"/>
                <w:color w:val="000000" w:themeColor="text1"/>
                <w:sz w:val="18"/>
                <w:szCs w:val="18"/>
              </w:rPr>
              <w:t xml:space="preserve"> donde se establece la Interconexión entre Redes Públicas de Telecomunicaciones, </w:t>
            </w:r>
            <w:r w:rsidRPr="008762D1">
              <w:rPr>
                <w:rFonts w:ascii="ITC Avant Garde" w:hAnsi="ITC Avant Garde" w:cs="Arial"/>
                <w:color w:val="000000" w:themeColor="text1"/>
                <w:sz w:val="18"/>
                <w:szCs w:val="18"/>
                <w:u w:val="single"/>
              </w:rPr>
              <w:t>para el intercambio de tráfico de interconexión o de tráfico de servicios mayoristas</w:t>
            </w:r>
            <w:r w:rsidRPr="008762D1">
              <w:rPr>
                <w:rFonts w:ascii="ITC Avant Garde" w:hAnsi="ITC Avant Garde" w:cs="Arial"/>
                <w:color w:val="000000" w:themeColor="text1"/>
                <w:sz w:val="18"/>
                <w:szCs w:val="18"/>
              </w:rPr>
              <w:t>.</w:t>
            </w:r>
          </w:p>
        </w:tc>
      </w:tr>
      <w:tr w:rsidR="008762D1" w:rsidRPr="008762D1" w14:paraId="585A4681" w14:textId="77777777" w:rsidTr="005D18CA">
        <w:trPr>
          <w:tblHeader/>
          <w:jc w:val="center"/>
        </w:trPr>
        <w:tc>
          <w:tcPr>
            <w:tcW w:w="1918" w:type="dxa"/>
          </w:tcPr>
          <w:p w14:paraId="43D971AD" w14:textId="55BA8BF5" w:rsidR="0038196F" w:rsidRPr="008762D1" w:rsidRDefault="0038196F" w:rsidP="000F0B9F">
            <w:pPr>
              <w:autoSpaceDE w:val="0"/>
              <w:autoSpaceDN w:val="0"/>
              <w:adjustRightInd w:val="0"/>
              <w:spacing w:before="240"/>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Servicios de interconexión</w:t>
            </w:r>
          </w:p>
        </w:tc>
        <w:tc>
          <w:tcPr>
            <w:tcW w:w="5737" w:type="dxa"/>
          </w:tcPr>
          <w:p w14:paraId="07EADE2E" w14:textId="18BD4518" w:rsidR="0038196F" w:rsidRPr="008762D1" w:rsidRDefault="0038196F" w:rsidP="000F0B9F">
            <w:pPr>
              <w:autoSpaceDE w:val="0"/>
              <w:autoSpaceDN w:val="0"/>
              <w:adjustRightInd w:val="0"/>
              <w:spacing w:before="24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u w:val="single"/>
              </w:rPr>
              <w:t>Los que</w:t>
            </w:r>
            <w:r w:rsidRPr="008762D1">
              <w:rPr>
                <w:rFonts w:ascii="ITC Avant Garde" w:hAnsi="ITC Avant Garde" w:cs="Arial"/>
                <w:color w:val="000000" w:themeColor="text1"/>
                <w:sz w:val="18"/>
                <w:szCs w:val="18"/>
              </w:rPr>
              <w:t xml:space="preserve"> se prestan entre Concesionarios </w:t>
            </w:r>
            <w:r w:rsidRPr="008762D1">
              <w:rPr>
                <w:rFonts w:ascii="ITC Avant Garde" w:hAnsi="ITC Avant Garde" w:cs="Arial"/>
                <w:color w:val="000000" w:themeColor="text1"/>
                <w:sz w:val="18"/>
                <w:szCs w:val="18"/>
                <w:u w:val="single"/>
              </w:rPr>
              <w:t xml:space="preserve">de servicios de telecomunicaciones, para realizar la interconexión entre sus redes e incluyen, entre otros, la conducción de tráfico, su </w:t>
            </w:r>
            <w:proofErr w:type="spellStart"/>
            <w:r w:rsidRPr="008762D1">
              <w:rPr>
                <w:rFonts w:ascii="ITC Avant Garde" w:hAnsi="ITC Avant Garde" w:cs="Arial"/>
                <w:color w:val="000000" w:themeColor="text1"/>
                <w:sz w:val="18"/>
                <w:szCs w:val="18"/>
                <w:u w:val="single"/>
              </w:rPr>
              <w:t>originación</w:t>
            </w:r>
            <w:proofErr w:type="spellEnd"/>
            <w:r w:rsidRPr="008762D1">
              <w:rPr>
                <w:rFonts w:ascii="ITC Avant Garde" w:hAnsi="ITC Avant Garde" w:cs="Arial"/>
                <w:color w:val="000000" w:themeColor="text1"/>
                <w:sz w:val="18"/>
                <w:szCs w:val="18"/>
                <w:u w:val="single"/>
              </w:rPr>
              <w:t xml:space="preserve"> y terminación, enlaces de transmisión, señalización, tránsito, puertos de acceso, </w:t>
            </w:r>
            <w:proofErr w:type="spellStart"/>
            <w:r w:rsidRPr="008762D1">
              <w:rPr>
                <w:rFonts w:ascii="ITC Avant Garde" w:hAnsi="ITC Avant Garde" w:cs="Arial"/>
                <w:color w:val="000000" w:themeColor="text1"/>
                <w:sz w:val="18"/>
                <w:szCs w:val="18"/>
                <w:u w:val="single"/>
              </w:rPr>
              <w:t>coubicación</w:t>
            </w:r>
            <w:proofErr w:type="spellEnd"/>
            <w:r w:rsidRPr="008762D1">
              <w:rPr>
                <w:rFonts w:ascii="ITC Avant Garde" w:hAnsi="ITC Avant Garde" w:cs="Arial"/>
                <w:color w:val="000000" w:themeColor="text1"/>
                <w:sz w:val="18"/>
                <w:szCs w:val="18"/>
                <w:u w:val="single"/>
              </w:rPr>
              <w:t>, la compartición de infraestructura para interconexión, facturación y cobranza, así como otros servicios auxiliares de la misma y acceso a servicios</w:t>
            </w:r>
            <w:r w:rsidR="00BB4796" w:rsidRPr="008762D1">
              <w:rPr>
                <w:rFonts w:ascii="ITC Avant Garde" w:hAnsi="ITC Avant Garde" w:cs="Arial"/>
                <w:color w:val="000000" w:themeColor="text1"/>
                <w:sz w:val="18"/>
                <w:szCs w:val="18"/>
                <w:u w:val="single"/>
              </w:rPr>
              <w:t>.</w:t>
            </w:r>
          </w:p>
        </w:tc>
      </w:tr>
    </w:tbl>
    <w:p w14:paraId="43AABE87" w14:textId="77777777" w:rsidR="000F0B9F" w:rsidRPr="008762D1" w:rsidRDefault="00A60C35"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El resto de las definiciones incluidas en la Cláusula Primera son acordes a la legislación aplicable y a las disposiciones en materia de interconexión, por lo que se considera procedente su </w:t>
      </w:r>
      <w:r w:rsidR="00DC581B" w:rsidRPr="008762D1">
        <w:rPr>
          <w:rFonts w:ascii="ITC Avant Garde" w:eastAsia="Times New Roman" w:hAnsi="ITC Avant Garde" w:cs="Arial"/>
          <w:iCs/>
          <w:color w:val="000000" w:themeColor="text1"/>
        </w:rPr>
        <w:t>aprobación</w:t>
      </w:r>
      <w:r w:rsidRPr="008762D1">
        <w:rPr>
          <w:rFonts w:ascii="ITC Avant Garde" w:eastAsia="Times New Roman" w:hAnsi="ITC Avant Garde" w:cs="Arial"/>
          <w:iCs/>
          <w:color w:val="000000" w:themeColor="text1"/>
        </w:rPr>
        <w:t>.</w:t>
      </w:r>
    </w:p>
    <w:p w14:paraId="513DD93D" w14:textId="77777777" w:rsidR="000F0B9F" w:rsidRPr="008762D1" w:rsidRDefault="00BB3F9C" w:rsidP="000F0B9F">
      <w:pPr>
        <w:pStyle w:val="IFT1"/>
        <w:numPr>
          <w:ilvl w:val="1"/>
          <w:numId w:val="9"/>
        </w:numPr>
        <w:tabs>
          <w:tab w:val="left" w:pos="426"/>
        </w:tabs>
        <w:spacing w:before="240" w:after="0"/>
        <w:ind w:left="284" w:hanging="284"/>
        <w:rPr>
          <w:b/>
          <w:color w:val="000000" w:themeColor="text1"/>
        </w:rPr>
      </w:pPr>
      <w:r w:rsidRPr="008762D1">
        <w:rPr>
          <w:b/>
          <w:color w:val="000000" w:themeColor="text1"/>
        </w:rPr>
        <w:t xml:space="preserve">CLÁUSULA SEGUNDA. </w:t>
      </w:r>
    </w:p>
    <w:p w14:paraId="0EECFF66" w14:textId="77777777" w:rsidR="000F0B9F" w:rsidRPr="008762D1" w:rsidRDefault="00772BE7" w:rsidP="000F0B9F">
      <w:pPr>
        <w:pStyle w:val="IFT1"/>
        <w:numPr>
          <w:ilvl w:val="2"/>
          <w:numId w:val="9"/>
        </w:numPr>
        <w:tabs>
          <w:tab w:val="left" w:pos="426"/>
        </w:tabs>
        <w:spacing w:before="240" w:after="0"/>
        <w:ind w:left="567" w:hanging="567"/>
        <w:rPr>
          <w:b/>
          <w:color w:val="000000" w:themeColor="text1"/>
        </w:rPr>
      </w:pPr>
      <w:r w:rsidRPr="008762D1">
        <w:rPr>
          <w:b/>
          <w:color w:val="000000" w:themeColor="text1"/>
        </w:rPr>
        <w:t>OBJETO Y GENERALIDADES DEL CONVENIO.</w:t>
      </w:r>
    </w:p>
    <w:p w14:paraId="0FF6E810" w14:textId="4CC3CF1A" w:rsidR="00772BE7" w:rsidRPr="008762D1" w:rsidRDefault="00772BE7"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Modificación del Instituto</w:t>
      </w:r>
    </w:p>
    <w:p w14:paraId="1058100F" w14:textId="77777777" w:rsidR="000F0B9F" w:rsidRPr="008762D1" w:rsidRDefault="00772BE7" w:rsidP="000F0B9F">
      <w:pPr>
        <w:pStyle w:val="IFT1"/>
        <w:tabs>
          <w:tab w:val="left" w:pos="426"/>
        </w:tabs>
        <w:spacing w:before="240" w:after="0"/>
        <w:rPr>
          <w:iCs w:val="0"/>
          <w:color w:val="000000" w:themeColor="text1"/>
          <w:lang w:val="es-ES"/>
        </w:rPr>
      </w:pPr>
      <w:r w:rsidRPr="008762D1">
        <w:rPr>
          <w:iCs w:val="0"/>
          <w:color w:val="000000" w:themeColor="text1"/>
          <w:lang w:val="es-ES"/>
        </w:rPr>
        <w:t>Respecto al objeto del Convenio establecido en el numeral 2.1 de la Cláusula Segunda, el Instituto modificó la redacción</w:t>
      </w:r>
      <w:r w:rsidR="007C03E4" w:rsidRPr="008762D1">
        <w:rPr>
          <w:iCs w:val="0"/>
          <w:color w:val="000000" w:themeColor="text1"/>
          <w:lang w:val="es-ES"/>
        </w:rPr>
        <w:t xml:space="preserve"> de dicho numeral</w:t>
      </w:r>
      <w:r w:rsidRPr="008762D1">
        <w:rPr>
          <w:iCs w:val="0"/>
          <w:color w:val="000000" w:themeColor="text1"/>
          <w:lang w:val="es-ES"/>
        </w:rPr>
        <w:t xml:space="preserve"> a efecto de </w:t>
      </w:r>
      <w:r w:rsidR="007C03E4" w:rsidRPr="008762D1">
        <w:rPr>
          <w:iCs w:val="0"/>
          <w:color w:val="000000" w:themeColor="text1"/>
          <w:lang w:val="es-ES"/>
        </w:rPr>
        <w:t>precisar</w:t>
      </w:r>
      <w:r w:rsidRPr="008762D1">
        <w:rPr>
          <w:iCs w:val="0"/>
          <w:color w:val="000000" w:themeColor="text1"/>
          <w:lang w:val="es-ES"/>
        </w:rPr>
        <w:t xml:space="preserve"> que el objeto del convenio es el de que las partes </w:t>
      </w:r>
      <w:r w:rsidR="00B5580E" w:rsidRPr="008762D1">
        <w:rPr>
          <w:iCs w:val="0"/>
          <w:color w:val="000000" w:themeColor="text1"/>
          <w:lang w:val="es-ES"/>
        </w:rPr>
        <w:t>interconecten</w:t>
      </w:r>
      <w:r w:rsidRPr="008762D1">
        <w:rPr>
          <w:iCs w:val="0"/>
          <w:color w:val="000000" w:themeColor="text1"/>
          <w:lang w:val="es-ES"/>
        </w:rPr>
        <w:t xml:space="preserve"> sus redes en términos de los artículos 124, 125, 126 </w:t>
      </w:r>
      <w:r w:rsidR="005614C6" w:rsidRPr="008762D1">
        <w:rPr>
          <w:iCs w:val="0"/>
          <w:color w:val="000000" w:themeColor="text1"/>
          <w:lang w:val="es-ES"/>
        </w:rPr>
        <w:t xml:space="preserve">de la LFTR </w:t>
      </w:r>
      <w:r w:rsidRPr="008762D1">
        <w:rPr>
          <w:iCs w:val="0"/>
          <w:color w:val="000000" w:themeColor="text1"/>
          <w:lang w:val="es-ES"/>
        </w:rPr>
        <w:t>y los relativos</w:t>
      </w:r>
      <w:r w:rsidR="00F303DB" w:rsidRPr="008762D1">
        <w:rPr>
          <w:iCs w:val="0"/>
          <w:color w:val="000000" w:themeColor="text1"/>
          <w:lang w:val="es-ES"/>
        </w:rPr>
        <w:t xml:space="preserve"> a las disposiciones aplicables</w:t>
      </w:r>
      <w:r w:rsidR="002C10DF" w:rsidRPr="008762D1">
        <w:rPr>
          <w:iCs w:val="0"/>
          <w:color w:val="000000" w:themeColor="text1"/>
          <w:lang w:val="es-ES"/>
        </w:rPr>
        <w:t>, en el siguiente sentido:</w:t>
      </w:r>
    </w:p>
    <w:p w14:paraId="12DF9C68" w14:textId="350EB58F" w:rsidR="002C10DF" w:rsidRPr="008762D1" w:rsidRDefault="002C10DF" w:rsidP="000F0B9F">
      <w:pPr>
        <w:spacing w:before="240" w:after="0" w:line="276" w:lineRule="auto"/>
        <w:ind w:left="567" w:right="567"/>
        <w:jc w:val="both"/>
        <w:rPr>
          <w:rFonts w:ascii="ITC Avant Garde" w:eastAsia="Times New Roman" w:hAnsi="ITC Avant Garde" w:cs="Arial"/>
          <w:b/>
          <w:iCs/>
          <w:color w:val="000000" w:themeColor="text1"/>
          <w:sz w:val="18"/>
          <w:szCs w:val="18"/>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b/>
          <w:iCs/>
          <w:color w:val="000000" w:themeColor="text1"/>
          <w:sz w:val="18"/>
          <w:szCs w:val="18"/>
        </w:rPr>
        <w:t>2.1 OBJETO Y GENERALIDADES DEL CONVENIO.</w:t>
      </w:r>
    </w:p>
    <w:p w14:paraId="75801929" w14:textId="30F2CD45" w:rsidR="002C10DF" w:rsidRPr="008762D1" w:rsidRDefault="002C10DF"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xml:space="preserve">El objeto del Convenio entre Telmex y </w:t>
      </w:r>
      <w:r w:rsidR="008762D1" w:rsidRPr="008762D1">
        <w:rPr>
          <w:rFonts w:cs="Arial"/>
          <w:b/>
          <w:color w:val="0000FF"/>
        </w:rPr>
        <w:t>(…)</w:t>
      </w:r>
      <w:r w:rsidR="008762D1">
        <w:rPr>
          <w:rFonts w:cs="Arial"/>
          <w:b/>
          <w:color w:val="0000FF"/>
        </w:rPr>
        <w:t xml:space="preserve"> </w:t>
      </w:r>
      <w:r w:rsidRPr="008762D1">
        <w:rPr>
          <w:rFonts w:ascii="ITC Avant Garde" w:eastAsia="Times New Roman" w:hAnsi="ITC Avant Garde" w:cs="Arial"/>
          <w:iCs/>
          <w:color w:val="000000" w:themeColor="text1"/>
          <w:sz w:val="18"/>
          <w:szCs w:val="18"/>
        </w:rPr>
        <w:t xml:space="preserve">es el de interconectar sus redes públicas de telecomunicaciones </w:t>
      </w:r>
      <w:r w:rsidRPr="008762D1">
        <w:rPr>
          <w:rFonts w:ascii="ITC Avant Garde" w:eastAsia="Times New Roman" w:hAnsi="ITC Avant Garde" w:cs="Arial"/>
          <w:iCs/>
          <w:color w:val="000000" w:themeColor="text1"/>
          <w:sz w:val="18"/>
          <w:szCs w:val="18"/>
          <w:u w:val="single"/>
        </w:rPr>
        <w:t>en términos de los artículos 124, 125, 126 y demás relativos de la Ley y las disposiciones aplicables</w:t>
      </w:r>
      <w:r w:rsidRPr="008762D1">
        <w:rPr>
          <w:rFonts w:ascii="ITC Avant Garde" w:eastAsia="Times New Roman" w:hAnsi="ITC Avant Garde" w:cs="Arial"/>
          <w:iCs/>
          <w:color w:val="000000" w:themeColor="text1"/>
          <w:sz w:val="18"/>
          <w:szCs w:val="18"/>
        </w:rPr>
        <w:t xml:space="preserve"> permitiendo la interoperabilidad de los servicios en las condiciones que se determinan en el presente Convenio y sus anexos.</w:t>
      </w:r>
    </w:p>
    <w:p w14:paraId="4E5226C4" w14:textId="77777777" w:rsidR="002C10DF" w:rsidRPr="008762D1" w:rsidRDefault="002C10DF"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p>
    <w:p w14:paraId="40A60432" w14:textId="77777777" w:rsidR="002C10DF" w:rsidRPr="008762D1" w:rsidRDefault="002C10DF"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45247BAA" w14:textId="77777777" w:rsidR="00772BE7" w:rsidRPr="008762D1" w:rsidRDefault="00772BE7"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72D4B4DE" w14:textId="77777777" w:rsidR="000F0B9F" w:rsidRPr="008762D1" w:rsidRDefault="005614C6"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w:t>
      </w:r>
      <w:r w:rsidR="00746B98" w:rsidRPr="008762D1">
        <w:rPr>
          <w:rFonts w:ascii="ITC Avant Garde" w:eastAsia="Times New Roman" w:hAnsi="ITC Avant Garde" w:cs="Arial"/>
          <w:iCs/>
          <w:color w:val="000000" w:themeColor="text1"/>
        </w:rPr>
        <w:t xml:space="preserve">presentó </w:t>
      </w:r>
      <w:r w:rsidR="00E20999" w:rsidRPr="008762D1">
        <w:rPr>
          <w:rFonts w:ascii="ITC Avant Garde" w:eastAsia="Times New Roman" w:hAnsi="ITC Avant Garde" w:cs="Arial"/>
          <w:iCs/>
          <w:color w:val="000000" w:themeColor="text1"/>
        </w:rPr>
        <w:t>el numeral 2.1 de la Cláusula Segunda en los términos</w:t>
      </w:r>
      <w:r w:rsidR="002C10DF" w:rsidRPr="008762D1">
        <w:rPr>
          <w:rFonts w:ascii="ITC Avant Garde" w:eastAsia="Times New Roman" w:hAnsi="ITC Avant Garde" w:cs="Arial"/>
          <w:iCs/>
          <w:color w:val="000000" w:themeColor="text1"/>
        </w:rPr>
        <w:t xml:space="preserve"> señalados en el Acuerdo.</w:t>
      </w:r>
    </w:p>
    <w:p w14:paraId="79889FBE" w14:textId="1D6CD283" w:rsidR="00772BE7" w:rsidRPr="008762D1" w:rsidRDefault="00772BE7"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54EE5C7A" w14:textId="77777777" w:rsidR="000F0B9F" w:rsidRPr="008762D1" w:rsidRDefault="007657C5" w:rsidP="000F0B9F">
      <w:pPr>
        <w:pStyle w:val="IFT1"/>
        <w:tabs>
          <w:tab w:val="left" w:pos="426"/>
        </w:tabs>
        <w:spacing w:before="240" w:after="0"/>
        <w:rPr>
          <w:color w:val="000000" w:themeColor="text1"/>
        </w:rPr>
      </w:pPr>
      <w:r w:rsidRPr="008762D1">
        <w:rPr>
          <w:color w:val="000000" w:themeColor="text1"/>
        </w:rPr>
        <w:lastRenderedPageBreak/>
        <w:t>Telmex no realizó manifestaciones sobre l</w:t>
      </w:r>
      <w:r w:rsidR="003D43BE" w:rsidRPr="008762D1">
        <w:rPr>
          <w:color w:val="000000" w:themeColor="text1"/>
        </w:rPr>
        <w:t>a modificación realizada</w:t>
      </w:r>
      <w:r w:rsidRPr="008762D1">
        <w:rPr>
          <w:color w:val="000000" w:themeColor="text1"/>
        </w:rPr>
        <w:t xml:space="preserve"> por el Instituto,</w:t>
      </w:r>
      <w:r w:rsidR="0087636C" w:rsidRPr="008762D1">
        <w:rPr>
          <w:color w:val="000000" w:themeColor="text1"/>
        </w:rPr>
        <w:t xml:space="preserve"> no obstante lo anterior, como parte de la presente cláusula se hace explícita la obligación del AEP de suscribir el </w:t>
      </w:r>
      <w:r w:rsidR="003D43BE" w:rsidRPr="008762D1">
        <w:rPr>
          <w:color w:val="000000" w:themeColor="text1"/>
        </w:rPr>
        <w:t xml:space="preserve"> </w:t>
      </w:r>
      <w:r w:rsidR="0087636C" w:rsidRPr="008762D1">
        <w:rPr>
          <w:color w:val="000000" w:themeColor="text1"/>
        </w:rPr>
        <w:t>convenio dentro del plazo de 10 días hábiles si el CS requiere el CMI en los términos ofrecidos por Telmex, y acepta las tarifas publicadas por el Instituto con base en el artículo 137 de la LFTR</w:t>
      </w:r>
      <w:r w:rsidR="00BB4796" w:rsidRPr="008762D1">
        <w:rPr>
          <w:color w:val="000000" w:themeColor="text1"/>
        </w:rPr>
        <w:t>, en el siguiente sentido:</w:t>
      </w:r>
    </w:p>
    <w:p w14:paraId="41129CDC" w14:textId="652B9B36" w:rsidR="00BB4796" w:rsidRPr="008762D1" w:rsidRDefault="00BB4796"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xml:space="preserve">“(…) Si el Concesionario Solicitante </w:t>
      </w:r>
      <w:r w:rsidR="00606027" w:rsidRPr="008762D1">
        <w:rPr>
          <w:rFonts w:ascii="ITC Avant Garde" w:eastAsia="Times New Roman" w:hAnsi="ITC Avant Garde" w:cs="Arial"/>
          <w:iCs/>
          <w:color w:val="000000" w:themeColor="text1"/>
          <w:sz w:val="18"/>
          <w:szCs w:val="18"/>
        </w:rPr>
        <w:t>solicita la firma d</w:t>
      </w:r>
      <w:r w:rsidRPr="008762D1">
        <w:rPr>
          <w:rFonts w:ascii="ITC Avant Garde" w:eastAsia="Times New Roman" w:hAnsi="ITC Avant Garde" w:cs="Arial"/>
          <w:iCs/>
          <w:color w:val="000000" w:themeColor="text1"/>
          <w:sz w:val="18"/>
          <w:szCs w:val="18"/>
        </w:rPr>
        <w:t xml:space="preserve">el presente Convenio Marco de Interconexión en los términos </w:t>
      </w:r>
      <w:r w:rsidR="00606027" w:rsidRPr="008762D1">
        <w:rPr>
          <w:rFonts w:ascii="ITC Avant Garde" w:eastAsia="Times New Roman" w:hAnsi="ITC Avant Garde" w:cs="Arial"/>
          <w:iCs/>
          <w:color w:val="000000" w:themeColor="text1"/>
          <w:sz w:val="18"/>
          <w:szCs w:val="18"/>
        </w:rPr>
        <w:t xml:space="preserve">publicados </w:t>
      </w:r>
      <w:r w:rsidRPr="008762D1">
        <w:rPr>
          <w:rFonts w:ascii="ITC Avant Garde" w:eastAsia="Times New Roman" w:hAnsi="ITC Avant Garde" w:cs="Arial"/>
          <w:iCs/>
          <w:color w:val="000000" w:themeColor="text1"/>
          <w:sz w:val="18"/>
          <w:szCs w:val="18"/>
        </w:rPr>
        <w:t>por Telmex</w:t>
      </w:r>
      <w:r w:rsidR="00606027"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 xml:space="preserve"> acepta las tarifas publicadas por el Instituto con base en el artículo 137 de la Ley Federal de Telecomunicaciones y Radiodifusión, y no </w:t>
      </w:r>
      <w:r w:rsidR="00606027" w:rsidRPr="008762D1">
        <w:rPr>
          <w:rFonts w:ascii="ITC Avant Garde" w:eastAsia="Times New Roman" w:hAnsi="ITC Avant Garde" w:cs="Arial"/>
          <w:iCs/>
          <w:color w:val="000000" w:themeColor="text1"/>
          <w:sz w:val="18"/>
          <w:szCs w:val="18"/>
        </w:rPr>
        <w:t xml:space="preserve">solicita una </w:t>
      </w:r>
      <w:r w:rsidRPr="008762D1">
        <w:rPr>
          <w:rFonts w:ascii="ITC Avant Garde" w:eastAsia="Times New Roman" w:hAnsi="ITC Avant Garde" w:cs="Arial"/>
          <w:iCs/>
          <w:color w:val="000000" w:themeColor="text1"/>
          <w:sz w:val="18"/>
          <w:szCs w:val="18"/>
        </w:rPr>
        <w:t xml:space="preserve">condición adicional </w:t>
      </w:r>
      <w:r w:rsidR="00606027" w:rsidRPr="008762D1">
        <w:rPr>
          <w:rFonts w:ascii="ITC Avant Garde" w:eastAsia="Times New Roman" w:hAnsi="ITC Avant Garde" w:cs="Arial"/>
          <w:iCs/>
          <w:color w:val="000000" w:themeColor="text1"/>
          <w:sz w:val="18"/>
          <w:szCs w:val="18"/>
        </w:rPr>
        <w:t xml:space="preserve">a Telmex </w:t>
      </w:r>
      <w:r w:rsidRPr="008762D1">
        <w:rPr>
          <w:rFonts w:ascii="ITC Avant Garde" w:eastAsia="Times New Roman" w:hAnsi="ITC Avant Garde" w:cs="Arial"/>
          <w:iCs/>
          <w:color w:val="000000" w:themeColor="text1"/>
          <w:sz w:val="18"/>
          <w:szCs w:val="18"/>
        </w:rPr>
        <w:t xml:space="preserve">que </w:t>
      </w:r>
      <w:r w:rsidR="00606027" w:rsidRPr="008762D1">
        <w:rPr>
          <w:rFonts w:ascii="ITC Avant Garde" w:eastAsia="Times New Roman" w:hAnsi="ITC Avant Garde" w:cs="Arial"/>
          <w:iCs/>
          <w:color w:val="000000" w:themeColor="text1"/>
          <w:sz w:val="18"/>
          <w:szCs w:val="18"/>
        </w:rPr>
        <w:t>sea materia</w:t>
      </w:r>
      <w:r w:rsidR="004F09BE" w:rsidRPr="008762D1">
        <w:rPr>
          <w:rFonts w:ascii="ITC Avant Garde" w:eastAsia="Times New Roman" w:hAnsi="ITC Avant Garde" w:cs="Arial"/>
          <w:iCs/>
          <w:color w:val="000000" w:themeColor="text1"/>
          <w:sz w:val="18"/>
          <w:szCs w:val="18"/>
        </w:rPr>
        <w:t xml:space="preserve"> de un diferendo, Telmex</w:t>
      </w:r>
      <w:r w:rsidRPr="008762D1">
        <w:rPr>
          <w:rFonts w:ascii="ITC Avant Garde" w:eastAsia="Times New Roman" w:hAnsi="ITC Avant Garde" w:cs="Arial"/>
          <w:iCs/>
          <w:color w:val="000000" w:themeColor="text1"/>
          <w:sz w:val="18"/>
          <w:szCs w:val="18"/>
        </w:rPr>
        <w:t xml:space="preserve"> deberá suscribir</w:t>
      </w:r>
      <w:r w:rsidR="00606027" w:rsidRPr="008762D1">
        <w:rPr>
          <w:rFonts w:ascii="ITC Avant Garde" w:eastAsia="Times New Roman" w:hAnsi="ITC Avant Garde" w:cs="Arial"/>
          <w:iCs/>
          <w:color w:val="000000" w:themeColor="text1"/>
          <w:sz w:val="18"/>
          <w:szCs w:val="18"/>
        </w:rPr>
        <w:t xml:space="preserve"> el CMI</w:t>
      </w:r>
      <w:r w:rsidRPr="008762D1">
        <w:rPr>
          <w:rFonts w:ascii="ITC Avant Garde" w:eastAsia="Times New Roman" w:hAnsi="ITC Avant Garde" w:cs="Arial"/>
          <w:iCs/>
          <w:color w:val="000000" w:themeColor="text1"/>
          <w:sz w:val="18"/>
          <w:szCs w:val="18"/>
        </w:rPr>
        <w:t xml:space="preserve"> dentro de un plazo de 10 días hábiles contados a partir de la fecha de solicitud del Concesionario Solicitante a través del sistema electrónico al que se refiere el artículo 129 de la referida ley.</w:t>
      </w:r>
    </w:p>
    <w:p w14:paraId="65A53CD8" w14:textId="77777777" w:rsidR="000F0B9F" w:rsidRPr="008762D1" w:rsidRDefault="00BB4796"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p>
    <w:p w14:paraId="42E0A539" w14:textId="77777777" w:rsidR="000F0B9F" w:rsidRPr="008762D1" w:rsidRDefault="00BA76F1" w:rsidP="000F0B9F">
      <w:pPr>
        <w:pStyle w:val="IFT1"/>
        <w:numPr>
          <w:ilvl w:val="2"/>
          <w:numId w:val="9"/>
        </w:numPr>
        <w:tabs>
          <w:tab w:val="left" w:pos="426"/>
        </w:tabs>
        <w:spacing w:before="240" w:after="0"/>
        <w:ind w:left="567" w:hanging="567"/>
        <w:rPr>
          <w:b/>
          <w:color w:val="000000" w:themeColor="text1"/>
        </w:rPr>
      </w:pPr>
      <w:r w:rsidRPr="008762D1">
        <w:rPr>
          <w:b/>
          <w:color w:val="000000" w:themeColor="text1"/>
        </w:rPr>
        <w:t>OBJETO Y GENERALIDADES DEL CONVENIO</w:t>
      </w:r>
      <w:r w:rsidR="00060E5D" w:rsidRPr="008762D1">
        <w:rPr>
          <w:b/>
          <w:color w:val="000000" w:themeColor="text1"/>
        </w:rPr>
        <w:t>.</w:t>
      </w:r>
    </w:p>
    <w:p w14:paraId="36A0B952" w14:textId="0F1C11B9" w:rsidR="008F1090" w:rsidRPr="008762D1" w:rsidRDefault="008F1090"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Modificación del Instituto</w:t>
      </w:r>
    </w:p>
    <w:p w14:paraId="14901D71" w14:textId="77777777" w:rsidR="000F0B9F" w:rsidRPr="008762D1" w:rsidRDefault="00772BE7" w:rsidP="000F0B9F">
      <w:pPr>
        <w:pStyle w:val="IFT1"/>
        <w:tabs>
          <w:tab w:val="left" w:pos="4965"/>
        </w:tabs>
        <w:spacing w:before="240" w:after="0"/>
        <w:rPr>
          <w:bCs/>
          <w:color w:val="000000" w:themeColor="text1"/>
        </w:rPr>
      </w:pPr>
      <w:r w:rsidRPr="008762D1">
        <w:rPr>
          <w:color w:val="000000" w:themeColor="text1"/>
        </w:rPr>
        <w:t>Del análisis realizado a</w:t>
      </w:r>
      <w:r w:rsidR="00F303DB" w:rsidRPr="008762D1">
        <w:rPr>
          <w:color w:val="000000" w:themeColor="text1"/>
        </w:rPr>
        <w:t>l numeral 2.1 de</w:t>
      </w:r>
      <w:r w:rsidRPr="008762D1">
        <w:rPr>
          <w:color w:val="000000" w:themeColor="text1"/>
        </w:rPr>
        <w:t xml:space="preserve"> la Cláusula Segunda</w:t>
      </w:r>
      <w:r w:rsidR="00CA7B48" w:rsidRPr="008762D1">
        <w:rPr>
          <w:color w:val="000000" w:themeColor="text1"/>
        </w:rPr>
        <w:t>,</w:t>
      </w:r>
      <w:r w:rsidRPr="008762D1">
        <w:rPr>
          <w:color w:val="000000" w:themeColor="text1"/>
        </w:rPr>
        <w:t xml:space="preserve"> </w:t>
      </w:r>
      <w:r w:rsidR="00CA7B48" w:rsidRPr="008762D1">
        <w:rPr>
          <w:color w:val="000000" w:themeColor="text1"/>
        </w:rPr>
        <w:t xml:space="preserve">relativa a la interpretación del Convenio, </w:t>
      </w:r>
      <w:r w:rsidRPr="008762D1">
        <w:rPr>
          <w:color w:val="000000" w:themeColor="text1"/>
        </w:rPr>
        <w:t xml:space="preserve">de la Propuesta de CMI se observó que su contenido </w:t>
      </w:r>
      <w:r w:rsidRPr="008762D1">
        <w:rPr>
          <w:rFonts w:cs="Arial"/>
          <w:color w:val="000000" w:themeColor="text1"/>
        </w:rPr>
        <w:t>no se apegaba a</w:t>
      </w:r>
      <w:r w:rsidRPr="008762D1">
        <w:rPr>
          <w:color w:val="000000" w:themeColor="text1"/>
        </w:rPr>
        <w:t xml:space="preserve"> los términos y condiciones </w:t>
      </w:r>
      <w:r w:rsidRPr="008762D1">
        <w:rPr>
          <w:bCs/>
          <w:color w:val="000000" w:themeColor="text1"/>
        </w:rPr>
        <w:t xml:space="preserve">establecidos en el CMI 2017 </w:t>
      </w:r>
      <w:r w:rsidRPr="008762D1">
        <w:rPr>
          <w:color w:val="000000" w:themeColor="text1"/>
        </w:rPr>
        <w:t xml:space="preserve">autorizado mediante Acuerdo </w:t>
      </w:r>
      <w:r w:rsidRPr="008762D1">
        <w:rPr>
          <w:rFonts w:cs="Arial"/>
          <w:bCs/>
          <w:color w:val="000000" w:themeColor="text1"/>
          <w:lang w:eastAsia="es-ES"/>
        </w:rPr>
        <w:t>P/IFT/241116/4</w:t>
      </w:r>
      <w:r w:rsidR="00F74B5C" w:rsidRPr="008762D1">
        <w:rPr>
          <w:rFonts w:cs="Arial"/>
          <w:bCs/>
          <w:color w:val="000000" w:themeColor="text1"/>
          <w:lang w:eastAsia="es-ES"/>
        </w:rPr>
        <w:t>0</w:t>
      </w:r>
      <w:r w:rsidRPr="008762D1">
        <w:rPr>
          <w:rFonts w:cs="Arial"/>
          <w:bCs/>
          <w:color w:val="000000" w:themeColor="text1"/>
          <w:lang w:eastAsia="es-ES"/>
        </w:rPr>
        <w:t xml:space="preserve"> </w:t>
      </w:r>
      <w:r w:rsidRPr="008762D1">
        <w:rPr>
          <w:bCs/>
          <w:color w:val="000000" w:themeColor="text1"/>
        </w:rPr>
        <w:t xml:space="preserve">y, toda vez que el propósito de revisar anualmente el instrumento regulatorio es mejorar, o precisar las condiciones, así como ajustarse a la evolución tecnológica del sector, y de ninguna forma se justifica la existencia de retrocesos en la regulación; el Instituto no </w:t>
      </w:r>
      <w:r w:rsidR="00A12012" w:rsidRPr="008762D1">
        <w:rPr>
          <w:bCs/>
          <w:color w:val="000000" w:themeColor="text1"/>
        </w:rPr>
        <w:t>consideró</w:t>
      </w:r>
      <w:r w:rsidRPr="008762D1">
        <w:rPr>
          <w:bCs/>
          <w:color w:val="000000" w:themeColor="text1"/>
        </w:rPr>
        <w:t xml:space="preserve"> procedente que en una revisión posterior del convenio mar</w:t>
      </w:r>
      <w:r w:rsidR="00A12012" w:rsidRPr="008762D1">
        <w:rPr>
          <w:bCs/>
          <w:color w:val="000000" w:themeColor="text1"/>
        </w:rPr>
        <w:t>co de interconexión se plantearan</w:t>
      </w:r>
      <w:r w:rsidRPr="008762D1">
        <w:rPr>
          <w:bCs/>
          <w:color w:val="000000" w:themeColor="text1"/>
        </w:rPr>
        <w:t xml:space="preserve"> términos y condiciones menos favorables que los ya autorizados por el Instituto.</w:t>
      </w:r>
    </w:p>
    <w:p w14:paraId="61D866C5" w14:textId="3F2F4C55" w:rsidR="000D308A" w:rsidRPr="008762D1" w:rsidRDefault="00772BE7" w:rsidP="000F0B9F">
      <w:pPr>
        <w:pStyle w:val="IFT1"/>
        <w:tabs>
          <w:tab w:val="left" w:pos="4965"/>
        </w:tabs>
        <w:spacing w:before="240" w:after="0"/>
        <w:rPr>
          <w:color w:val="000000" w:themeColor="text1"/>
        </w:rPr>
      </w:pPr>
      <w:r w:rsidRPr="008762D1">
        <w:rPr>
          <w:iCs w:val="0"/>
          <w:color w:val="000000" w:themeColor="text1"/>
        </w:rPr>
        <w:t>De acuerdo a lo anterior, e</w:t>
      </w:r>
      <w:r w:rsidR="000D308A" w:rsidRPr="008762D1">
        <w:rPr>
          <w:iCs w:val="0"/>
          <w:color w:val="000000" w:themeColor="text1"/>
        </w:rPr>
        <w:t xml:space="preserve">l Instituto modificó el numeral 2.1 de la Cláusula Segunda a efecto de que </w:t>
      </w:r>
      <w:r w:rsidR="000D308A" w:rsidRPr="008762D1">
        <w:rPr>
          <w:color w:val="000000" w:themeColor="text1"/>
        </w:rPr>
        <w:t xml:space="preserve">en caso de existir cuestiones no previstas en el Convenio, que requieran una interpretación, ésta </w:t>
      </w:r>
      <w:r w:rsidR="00F303DB" w:rsidRPr="008762D1">
        <w:rPr>
          <w:color w:val="000000" w:themeColor="text1"/>
        </w:rPr>
        <w:t>se realice</w:t>
      </w:r>
      <w:r w:rsidR="000D308A" w:rsidRPr="008762D1">
        <w:rPr>
          <w:color w:val="000000" w:themeColor="text1"/>
        </w:rPr>
        <w:t xml:space="preserve"> de acuerdo al principio de</w:t>
      </w:r>
      <w:r w:rsidR="004438DC" w:rsidRPr="008762D1">
        <w:rPr>
          <w:color w:val="000000" w:themeColor="text1"/>
        </w:rPr>
        <w:t xml:space="preserve"> jerarquía en el orden jurídico</w:t>
      </w:r>
      <w:r w:rsidR="009807C9" w:rsidRPr="008762D1">
        <w:rPr>
          <w:color w:val="000000" w:themeColor="text1"/>
        </w:rPr>
        <w:t>, de acuerdo a lo siguiente:</w:t>
      </w:r>
    </w:p>
    <w:p w14:paraId="09A8BE66" w14:textId="77777777" w:rsidR="000F0B9F"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0709B1FF" w14:textId="77777777" w:rsidR="000F0B9F"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t>En primer lugar, a lo expresamente previsto en la Ley;</w:t>
      </w:r>
    </w:p>
    <w:p w14:paraId="48FCA08D" w14:textId="77777777" w:rsidR="000F0B9F"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u w:val="single"/>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r>
      <w:r w:rsidRPr="008762D1">
        <w:rPr>
          <w:rFonts w:ascii="ITC Avant Garde" w:eastAsia="Times New Roman" w:hAnsi="ITC Avant Garde" w:cs="Arial"/>
          <w:iCs/>
          <w:color w:val="000000" w:themeColor="text1"/>
          <w:sz w:val="18"/>
          <w:szCs w:val="18"/>
          <w:u w:val="single"/>
        </w:rPr>
        <w:t>En segundo lugar y en tanto estén vigentes, a lo expresamente previsto en las Medidas de Preponderancia;</w:t>
      </w:r>
    </w:p>
    <w:p w14:paraId="32D53E78" w14:textId="77777777" w:rsidR="000F0B9F"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lastRenderedPageBreak/>
        <w:t>•</w:t>
      </w:r>
      <w:r w:rsidRPr="008762D1">
        <w:rPr>
          <w:rFonts w:ascii="ITC Avant Garde" w:eastAsia="Times New Roman" w:hAnsi="ITC Avant Garde" w:cs="Arial"/>
          <w:iCs/>
          <w:color w:val="000000" w:themeColor="text1"/>
          <w:sz w:val="18"/>
          <w:szCs w:val="18"/>
        </w:rPr>
        <w:tab/>
        <w:t xml:space="preserve">En </w:t>
      </w:r>
      <w:r w:rsidRPr="008762D1">
        <w:rPr>
          <w:rFonts w:ascii="ITC Avant Garde" w:eastAsia="Times New Roman" w:hAnsi="ITC Avant Garde" w:cs="Arial"/>
          <w:iCs/>
          <w:color w:val="000000" w:themeColor="text1"/>
          <w:sz w:val="18"/>
          <w:szCs w:val="18"/>
          <w:u w:val="single"/>
        </w:rPr>
        <w:t>tercer</w:t>
      </w:r>
      <w:r w:rsidRPr="008762D1">
        <w:rPr>
          <w:rFonts w:ascii="ITC Avant Garde" w:eastAsia="Times New Roman" w:hAnsi="ITC Avant Garde" w:cs="Arial"/>
          <w:iCs/>
          <w:color w:val="000000" w:themeColor="text1"/>
          <w:sz w:val="18"/>
          <w:szCs w:val="18"/>
        </w:rPr>
        <w:t xml:space="preserve"> lugar, a lo expresamente previsto en el Acuerdo para la abstención de cargos de larga distancia nacional, el Acuerdo de Puntos de Interconexión y el Acuerdo de Condiciones Técnicas Mínimas de Interconexión;</w:t>
      </w:r>
    </w:p>
    <w:p w14:paraId="1F45AF7D" w14:textId="77777777" w:rsidR="000F0B9F"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u w:val="single"/>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r>
      <w:r w:rsidRPr="008762D1">
        <w:rPr>
          <w:rFonts w:ascii="ITC Avant Garde" w:eastAsia="Times New Roman" w:hAnsi="ITC Avant Garde" w:cs="Arial"/>
          <w:iCs/>
          <w:color w:val="000000" w:themeColor="text1"/>
          <w:sz w:val="18"/>
          <w:szCs w:val="18"/>
          <w:u w:val="single"/>
        </w:rPr>
        <w:t>En cuarto lugar, a lo expresamente previsto en el Plan de Interconexión;</w:t>
      </w:r>
    </w:p>
    <w:p w14:paraId="3080F705" w14:textId="788464CF" w:rsidR="000F0B9F"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u w:val="single"/>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t xml:space="preserve">En </w:t>
      </w:r>
      <w:r w:rsidRPr="008762D1">
        <w:rPr>
          <w:rFonts w:ascii="ITC Avant Garde" w:eastAsia="Times New Roman" w:hAnsi="ITC Avant Garde" w:cs="Arial"/>
          <w:iCs/>
          <w:color w:val="000000" w:themeColor="text1"/>
          <w:sz w:val="18"/>
          <w:szCs w:val="18"/>
          <w:u w:val="single"/>
        </w:rPr>
        <w:t>quinto</w:t>
      </w:r>
      <w:r w:rsidRPr="008762D1">
        <w:rPr>
          <w:rFonts w:ascii="ITC Avant Garde" w:eastAsia="Times New Roman" w:hAnsi="ITC Avant Garde" w:cs="Arial"/>
          <w:iCs/>
          <w:color w:val="000000" w:themeColor="text1"/>
          <w:sz w:val="18"/>
          <w:szCs w:val="18"/>
        </w:rPr>
        <w:t xml:space="preserve"> lugar, para Telmex, a lo expresamente previsto en su respectivo título de concesión o en las obligaciones adicionales que le sean impuestas por la autoridad competente, </w:t>
      </w:r>
      <w:r w:rsidRPr="008762D1">
        <w:rPr>
          <w:rFonts w:ascii="ITC Avant Garde" w:eastAsia="Times New Roman" w:hAnsi="ITC Avant Garde" w:cs="Arial"/>
          <w:iCs/>
          <w:color w:val="000000" w:themeColor="text1"/>
          <w:sz w:val="18"/>
          <w:szCs w:val="18"/>
          <w:u w:val="single"/>
        </w:rPr>
        <w:t xml:space="preserve">en su caso para </w:t>
      </w:r>
      <w:r w:rsidR="008762D1" w:rsidRPr="008762D1">
        <w:rPr>
          <w:rFonts w:cs="Arial"/>
          <w:b/>
          <w:color w:val="0000FF"/>
        </w:rPr>
        <w:t>(…)</w:t>
      </w:r>
      <w:r w:rsidR="008762D1" w:rsidRPr="008762D1">
        <w:rPr>
          <w:rFonts w:cs="Arial"/>
          <w:color w:val="000000" w:themeColor="text1"/>
          <w:u w:val="single"/>
        </w:rPr>
        <w:t xml:space="preserve">, </w:t>
      </w:r>
      <w:r w:rsidRPr="008762D1">
        <w:rPr>
          <w:rFonts w:ascii="ITC Avant Garde" w:eastAsia="Times New Roman" w:hAnsi="ITC Avant Garde" w:cs="Arial"/>
          <w:iCs/>
          <w:color w:val="000000" w:themeColor="text1"/>
          <w:sz w:val="18"/>
          <w:szCs w:val="18"/>
          <w:u w:val="single"/>
        </w:rPr>
        <w:t>lo expresamente previsto en su respectivo título de concesión;</w:t>
      </w:r>
    </w:p>
    <w:p w14:paraId="03E036F4" w14:textId="77777777" w:rsidR="000F0B9F"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t xml:space="preserve">En </w:t>
      </w:r>
      <w:r w:rsidRPr="008762D1">
        <w:rPr>
          <w:rFonts w:ascii="ITC Avant Garde" w:eastAsia="Times New Roman" w:hAnsi="ITC Avant Garde" w:cs="Arial"/>
          <w:iCs/>
          <w:color w:val="000000" w:themeColor="text1"/>
          <w:sz w:val="18"/>
          <w:szCs w:val="18"/>
          <w:u w:val="single"/>
        </w:rPr>
        <w:t>sexto</w:t>
      </w:r>
      <w:r w:rsidRPr="008762D1">
        <w:rPr>
          <w:rFonts w:ascii="ITC Avant Garde" w:eastAsia="Times New Roman" w:hAnsi="ITC Avant Garde" w:cs="Arial"/>
          <w:iCs/>
          <w:color w:val="000000" w:themeColor="text1"/>
          <w:sz w:val="18"/>
          <w:szCs w:val="18"/>
        </w:rPr>
        <w:t xml:space="preserve"> lugar, a la intención de no afectar la prestación de los servicios concesionados y, después de ésta la de no afectar a ninguna de las redes; y</w:t>
      </w:r>
    </w:p>
    <w:p w14:paraId="2B3090F7" w14:textId="77777777" w:rsidR="000F0B9F"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t xml:space="preserve">En </w:t>
      </w:r>
      <w:r w:rsidRPr="008762D1">
        <w:rPr>
          <w:rFonts w:ascii="ITC Avant Garde" w:eastAsia="Times New Roman" w:hAnsi="ITC Avant Garde" w:cs="Arial"/>
          <w:iCs/>
          <w:color w:val="000000" w:themeColor="text1"/>
          <w:sz w:val="18"/>
          <w:szCs w:val="18"/>
          <w:u w:val="single"/>
        </w:rPr>
        <w:t>séptimo</w:t>
      </w:r>
      <w:r w:rsidRPr="008762D1">
        <w:rPr>
          <w:rFonts w:ascii="ITC Avant Garde" w:eastAsia="Times New Roman" w:hAnsi="ITC Avant Garde" w:cs="Arial"/>
          <w:iCs/>
          <w:color w:val="000000" w:themeColor="text1"/>
          <w:sz w:val="18"/>
          <w:szCs w:val="18"/>
        </w:rPr>
        <w:t xml:space="preserve"> lugar, a los principios contenidos en los artículos 20, 1851 al 1857 del Código Civil Federal.</w:t>
      </w:r>
    </w:p>
    <w:p w14:paraId="0738E8B9" w14:textId="4BA8F0F4" w:rsidR="009807C9" w:rsidRPr="008762D1" w:rsidRDefault="009807C9"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El presente Convenio, sus anexos y cualquier modificación que cualquiera de estos sufran, forma parte integrante del mismo.”</w:t>
      </w:r>
    </w:p>
    <w:p w14:paraId="14E11E56" w14:textId="77777777" w:rsidR="000F0B9F" w:rsidRPr="008762D1" w:rsidRDefault="009807C9"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4D8B7CA8" w14:textId="013622C9" w:rsidR="008F1090" w:rsidRPr="008762D1" w:rsidRDefault="008F1090"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3C3F1DC1" w14:textId="77777777" w:rsidR="000F0B9F" w:rsidRPr="008762D1" w:rsidRDefault="0070283D"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presentó el numeral 2.1 de la Cláusula Segunda en los términos </w:t>
      </w:r>
      <w:r w:rsidR="00E23882" w:rsidRPr="008762D1">
        <w:rPr>
          <w:rFonts w:ascii="ITC Avant Garde" w:eastAsia="Times New Roman" w:hAnsi="ITC Avant Garde" w:cs="Arial"/>
          <w:iCs/>
          <w:color w:val="000000" w:themeColor="text1"/>
        </w:rPr>
        <w:t>señalados en el Acuerdo.</w:t>
      </w:r>
    </w:p>
    <w:p w14:paraId="755178DE" w14:textId="1B558E41" w:rsidR="008F1090" w:rsidRPr="008762D1" w:rsidRDefault="008F1090"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6EA38E5" w14:textId="77777777" w:rsidR="000F0B9F" w:rsidRPr="008762D1" w:rsidRDefault="00E23882"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Times New Roman"/>
          <w:iCs/>
          <w:color w:val="000000" w:themeColor="text1"/>
        </w:rPr>
        <w:t xml:space="preserve">La modificación del numeral 2.1 de la Cláusula Segunda permite que </w:t>
      </w:r>
      <w:r w:rsidR="00B422F1" w:rsidRPr="008762D1">
        <w:rPr>
          <w:rFonts w:ascii="ITC Avant Garde" w:hAnsi="ITC Avant Garde"/>
          <w:color w:val="000000" w:themeColor="text1"/>
        </w:rPr>
        <w:t xml:space="preserve">en caso de </w:t>
      </w:r>
      <w:r w:rsidRPr="008762D1">
        <w:rPr>
          <w:rFonts w:ascii="ITC Avant Garde" w:hAnsi="ITC Avant Garde"/>
          <w:color w:val="000000" w:themeColor="text1"/>
        </w:rPr>
        <w:t xml:space="preserve">requerirse una interpretación </w:t>
      </w:r>
      <w:r w:rsidR="00F303DB" w:rsidRPr="008762D1">
        <w:rPr>
          <w:rFonts w:ascii="ITC Avant Garde" w:hAnsi="ITC Avant Garde"/>
          <w:color w:val="000000" w:themeColor="text1"/>
        </w:rPr>
        <w:t>sobre cuestiones no previstas en el</w:t>
      </w:r>
      <w:r w:rsidRPr="008762D1">
        <w:rPr>
          <w:rFonts w:ascii="ITC Avant Garde" w:hAnsi="ITC Avant Garde"/>
          <w:color w:val="000000" w:themeColor="text1"/>
        </w:rPr>
        <w:t xml:space="preserve"> Convenio</w:t>
      </w:r>
      <w:r w:rsidR="00B422F1" w:rsidRPr="008762D1">
        <w:rPr>
          <w:rFonts w:ascii="ITC Avant Garde" w:hAnsi="ITC Avant Garde"/>
          <w:color w:val="000000" w:themeColor="text1"/>
        </w:rPr>
        <w:t xml:space="preserve">, ésta interpretación </w:t>
      </w:r>
      <w:r w:rsidRPr="008762D1">
        <w:rPr>
          <w:rFonts w:ascii="ITC Avant Garde" w:hAnsi="ITC Avant Garde"/>
          <w:color w:val="000000" w:themeColor="text1"/>
        </w:rPr>
        <w:t xml:space="preserve">se </w:t>
      </w:r>
      <w:r w:rsidR="0001654A" w:rsidRPr="008762D1">
        <w:rPr>
          <w:rFonts w:ascii="ITC Avant Garde" w:hAnsi="ITC Avant Garde"/>
          <w:color w:val="000000" w:themeColor="text1"/>
        </w:rPr>
        <w:t>realice</w:t>
      </w:r>
      <w:r w:rsidRPr="008762D1">
        <w:rPr>
          <w:rFonts w:ascii="ITC Avant Garde" w:hAnsi="ITC Avant Garde"/>
          <w:color w:val="000000" w:themeColor="text1"/>
        </w:rPr>
        <w:t xml:space="preserve"> basada</w:t>
      </w:r>
      <w:r w:rsidR="00B422F1" w:rsidRPr="008762D1">
        <w:rPr>
          <w:rFonts w:ascii="ITC Avant Garde" w:hAnsi="ITC Avant Garde"/>
          <w:color w:val="000000" w:themeColor="text1"/>
        </w:rPr>
        <w:t xml:space="preserve"> en el principio de jerarquía </w:t>
      </w:r>
      <w:r w:rsidR="00A10EED" w:rsidRPr="008762D1">
        <w:rPr>
          <w:rFonts w:ascii="ITC Avant Garde" w:hAnsi="ITC Avant Garde"/>
          <w:color w:val="000000" w:themeColor="text1"/>
        </w:rPr>
        <w:t xml:space="preserve">normativa </w:t>
      </w:r>
      <w:r w:rsidR="00B422F1" w:rsidRPr="008762D1">
        <w:rPr>
          <w:rFonts w:ascii="ITC Avant Garde" w:hAnsi="ITC Avant Garde"/>
          <w:color w:val="000000" w:themeColor="text1"/>
        </w:rPr>
        <w:t xml:space="preserve">en el orden jurídico, debido a que un orden jurídico </w:t>
      </w:r>
      <w:r w:rsidR="00C5335D" w:rsidRPr="008762D1">
        <w:rPr>
          <w:rFonts w:ascii="ITC Avant Garde" w:hAnsi="ITC Avant Garde"/>
          <w:color w:val="000000" w:themeColor="text1"/>
        </w:rPr>
        <w:t xml:space="preserve">se basa en la idea de que </w:t>
      </w:r>
      <w:r w:rsidR="00B422F1" w:rsidRPr="008762D1">
        <w:rPr>
          <w:rFonts w:ascii="ITC Avant Garde" w:hAnsi="ITC Avant Garde"/>
          <w:color w:val="000000" w:themeColor="text1"/>
        </w:rPr>
        <w:t>no es un sistema de normas de derecho situadas en un mismo plano, ordenadas equivalentemente, sino una construcción escalonada de diversos estratos de normas jurídicas. Su unidad está configurada por la relación resultante de que la validez de una norma, producida conforme a otra, reposa en esa otra norma, cuya producción a su vez está determinada p</w:t>
      </w:r>
      <w:r w:rsidRPr="008762D1">
        <w:rPr>
          <w:rFonts w:ascii="ITC Avant Garde" w:hAnsi="ITC Avant Garde"/>
          <w:color w:val="000000" w:themeColor="text1"/>
        </w:rPr>
        <w:t>or otra.</w:t>
      </w:r>
    </w:p>
    <w:p w14:paraId="4E350B8B" w14:textId="77777777" w:rsidR="000F0B9F" w:rsidRPr="008762D1" w:rsidRDefault="008745C6" w:rsidP="000F0B9F">
      <w:pPr>
        <w:pStyle w:val="IFT1"/>
        <w:tabs>
          <w:tab w:val="left" w:pos="426"/>
        </w:tabs>
        <w:spacing w:before="240" w:after="0"/>
        <w:rPr>
          <w:color w:val="000000" w:themeColor="text1"/>
          <w:lang w:val="es-ES"/>
        </w:rPr>
      </w:pPr>
      <w:r w:rsidRPr="008762D1">
        <w:rPr>
          <w:iCs w:val="0"/>
          <w:color w:val="000000" w:themeColor="text1"/>
          <w:lang w:val="es-ES"/>
        </w:rPr>
        <w:t xml:space="preserve">En este sentido, </w:t>
      </w:r>
      <w:r w:rsidR="007657C5" w:rsidRPr="008762D1">
        <w:rPr>
          <w:iCs w:val="0"/>
          <w:color w:val="000000" w:themeColor="text1"/>
          <w:lang w:val="es-ES"/>
        </w:rPr>
        <w:t xml:space="preserve">y toda vez que </w:t>
      </w:r>
      <w:r w:rsidR="007657C5" w:rsidRPr="008762D1">
        <w:rPr>
          <w:color w:val="000000" w:themeColor="text1"/>
        </w:rPr>
        <w:t xml:space="preserve">Telmex no realizó manifestaciones sobre la modificación realizada por el Instituto, al no existir mayores elementos de análisis se considera procedente la aprobación </w:t>
      </w:r>
      <w:r w:rsidRPr="008762D1">
        <w:rPr>
          <w:iCs w:val="0"/>
          <w:color w:val="000000" w:themeColor="text1"/>
          <w:lang w:val="es-ES"/>
        </w:rPr>
        <w:t>del numeral 2.1 de la Cláusula Segunda en los términos señalados.</w:t>
      </w:r>
    </w:p>
    <w:p w14:paraId="3A05E3E6" w14:textId="77777777" w:rsidR="000F0B9F" w:rsidRPr="008762D1" w:rsidRDefault="00AB3A6F" w:rsidP="000F0B9F">
      <w:pPr>
        <w:pStyle w:val="IFT1"/>
        <w:numPr>
          <w:ilvl w:val="2"/>
          <w:numId w:val="9"/>
        </w:numPr>
        <w:tabs>
          <w:tab w:val="left" w:pos="426"/>
        </w:tabs>
        <w:spacing w:before="240" w:after="0"/>
        <w:ind w:left="567" w:hanging="567"/>
        <w:rPr>
          <w:b/>
          <w:color w:val="000000" w:themeColor="text1"/>
        </w:rPr>
      </w:pPr>
      <w:r w:rsidRPr="008762D1">
        <w:rPr>
          <w:b/>
          <w:color w:val="000000" w:themeColor="text1"/>
        </w:rPr>
        <w:t>SOLICITUDES DE SERVICIO.</w:t>
      </w:r>
    </w:p>
    <w:p w14:paraId="07E6EBC3" w14:textId="6408A098" w:rsidR="00A4743A" w:rsidRPr="008762D1" w:rsidRDefault="00A4743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lastRenderedPageBreak/>
        <w:t>Análisis de la Propuesta de CMI</w:t>
      </w:r>
    </w:p>
    <w:p w14:paraId="46F88BCF" w14:textId="77777777" w:rsidR="000F0B9F" w:rsidRPr="008762D1" w:rsidRDefault="00A4743A" w:rsidP="000F0B9F">
      <w:pPr>
        <w:pStyle w:val="IFT1"/>
        <w:tabs>
          <w:tab w:val="left" w:pos="426"/>
        </w:tabs>
        <w:spacing w:before="240" w:after="0"/>
        <w:rPr>
          <w:color w:val="000000" w:themeColor="text1"/>
        </w:rPr>
      </w:pPr>
      <w:r w:rsidRPr="008762D1">
        <w:rPr>
          <w:color w:val="000000" w:themeColor="text1"/>
        </w:rPr>
        <w:t>Del análisis d</w:t>
      </w:r>
      <w:r w:rsidR="00B9461B" w:rsidRPr="008762D1">
        <w:rPr>
          <w:color w:val="000000" w:themeColor="text1"/>
        </w:rPr>
        <w:t>e la Propuesta de CMI se observó</w:t>
      </w:r>
      <w:r w:rsidRPr="008762D1">
        <w:rPr>
          <w:color w:val="000000" w:themeColor="text1"/>
        </w:rPr>
        <w:t xml:space="preserve"> que </w:t>
      </w:r>
      <w:r w:rsidR="00277E1B" w:rsidRPr="008762D1">
        <w:rPr>
          <w:color w:val="000000" w:themeColor="text1"/>
        </w:rPr>
        <w:t xml:space="preserve">el contenido del </w:t>
      </w:r>
      <w:r w:rsidRPr="008762D1">
        <w:rPr>
          <w:color w:val="000000" w:themeColor="text1"/>
        </w:rPr>
        <w:t>numeral 2.4 de la Cláusula Segunda</w:t>
      </w:r>
      <w:r w:rsidR="00277E1B" w:rsidRPr="008762D1">
        <w:rPr>
          <w:color w:val="000000" w:themeColor="text1"/>
        </w:rPr>
        <w:t xml:space="preserve"> </w:t>
      </w:r>
      <w:r w:rsidR="00277E1B" w:rsidRPr="008762D1">
        <w:rPr>
          <w:rFonts w:cs="Arial"/>
          <w:color w:val="000000" w:themeColor="text1"/>
        </w:rPr>
        <w:t>no se apega</w:t>
      </w:r>
      <w:r w:rsidR="004E5D45" w:rsidRPr="008762D1">
        <w:rPr>
          <w:rFonts w:cs="Arial"/>
          <w:color w:val="000000" w:themeColor="text1"/>
        </w:rPr>
        <w:t>ba</w:t>
      </w:r>
      <w:r w:rsidR="00277E1B" w:rsidRPr="008762D1">
        <w:rPr>
          <w:rFonts w:cs="Arial"/>
          <w:color w:val="000000" w:themeColor="text1"/>
        </w:rPr>
        <w:t xml:space="preserve"> a</w:t>
      </w:r>
      <w:r w:rsidR="00277E1B" w:rsidRPr="008762D1">
        <w:rPr>
          <w:color w:val="000000" w:themeColor="text1"/>
        </w:rPr>
        <w:t xml:space="preserve"> los términos y condiciones </w:t>
      </w:r>
      <w:r w:rsidR="00277E1B" w:rsidRPr="008762D1">
        <w:rPr>
          <w:bCs/>
          <w:color w:val="000000" w:themeColor="text1"/>
        </w:rPr>
        <w:t xml:space="preserve">establecidos en el CMI 2017 </w:t>
      </w:r>
      <w:r w:rsidR="00277E1B" w:rsidRPr="008762D1">
        <w:rPr>
          <w:color w:val="000000" w:themeColor="text1"/>
        </w:rPr>
        <w:t xml:space="preserve">autorizado mediante Acuerdo </w:t>
      </w:r>
      <w:r w:rsidR="00F86A43" w:rsidRPr="008762D1">
        <w:rPr>
          <w:rFonts w:cs="Arial"/>
          <w:bCs/>
          <w:color w:val="000000" w:themeColor="text1"/>
          <w:lang w:eastAsia="es-ES"/>
        </w:rPr>
        <w:t>P/IFT/EXT/241116/40</w:t>
      </w:r>
      <w:r w:rsidR="00277E1B" w:rsidRPr="008762D1">
        <w:rPr>
          <w:rFonts w:cs="Arial"/>
          <w:bCs/>
          <w:color w:val="000000" w:themeColor="text1"/>
          <w:lang w:eastAsia="es-ES"/>
        </w:rPr>
        <w:t xml:space="preserve"> </w:t>
      </w:r>
      <w:r w:rsidR="00277E1B" w:rsidRPr="008762D1">
        <w:rPr>
          <w:bCs/>
          <w:color w:val="000000" w:themeColor="text1"/>
        </w:rPr>
        <w:t xml:space="preserve">y, toda vez que el propósito de revisar anualmente el instrumento regulatorio es mejorar, o precisar las condiciones, así como ajustarse a la evolución tecnológica del sector, y de ninguna forma se justifica la existencia de retrocesos en la regulación; el Instituto no </w:t>
      </w:r>
      <w:r w:rsidR="004E5D45" w:rsidRPr="008762D1">
        <w:rPr>
          <w:bCs/>
          <w:color w:val="000000" w:themeColor="text1"/>
        </w:rPr>
        <w:t>consideró</w:t>
      </w:r>
      <w:r w:rsidR="00277E1B" w:rsidRPr="008762D1">
        <w:rPr>
          <w:bCs/>
          <w:color w:val="000000" w:themeColor="text1"/>
        </w:rPr>
        <w:t xml:space="preserve"> procedente que en una revisión posterior del convenio ma</w:t>
      </w:r>
      <w:r w:rsidR="004E5D45" w:rsidRPr="008762D1">
        <w:rPr>
          <w:bCs/>
          <w:color w:val="000000" w:themeColor="text1"/>
        </w:rPr>
        <w:t>rco de interconexión se plantearan</w:t>
      </w:r>
      <w:r w:rsidR="00277E1B" w:rsidRPr="008762D1">
        <w:rPr>
          <w:bCs/>
          <w:color w:val="000000" w:themeColor="text1"/>
        </w:rPr>
        <w:t xml:space="preserve"> términos y condiciones menos favorables que los ya autorizados por el Instituto.</w:t>
      </w:r>
    </w:p>
    <w:p w14:paraId="6B3B2786" w14:textId="77777777" w:rsidR="000F0B9F" w:rsidRPr="008762D1" w:rsidRDefault="00B9461B" w:rsidP="000F0B9F">
      <w:pPr>
        <w:pStyle w:val="IFT1"/>
        <w:tabs>
          <w:tab w:val="left" w:pos="426"/>
        </w:tabs>
        <w:spacing w:before="240" w:after="0"/>
        <w:rPr>
          <w:color w:val="000000" w:themeColor="text1"/>
        </w:rPr>
      </w:pPr>
      <w:r w:rsidRPr="008762D1">
        <w:rPr>
          <w:color w:val="000000" w:themeColor="text1"/>
        </w:rPr>
        <w:t>Es así que</w:t>
      </w:r>
      <w:r w:rsidR="00277E1B" w:rsidRPr="008762D1">
        <w:rPr>
          <w:color w:val="000000" w:themeColor="text1"/>
        </w:rPr>
        <w:t xml:space="preserve">, </w:t>
      </w:r>
      <w:r w:rsidRPr="008762D1">
        <w:rPr>
          <w:color w:val="000000" w:themeColor="text1"/>
        </w:rPr>
        <w:t xml:space="preserve">el Instituto eliminó el apartado referente a que </w:t>
      </w:r>
      <w:r w:rsidR="00A4743A" w:rsidRPr="008762D1">
        <w:rPr>
          <w:color w:val="000000" w:themeColor="text1"/>
        </w:rPr>
        <w:t xml:space="preserve">el </w:t>
      </w:r>
      <w:r w:rsidR="0080787F" w:rsidRPr="008762D1">
        <w:rPr>
          <w:color w:val="000000" w:themeColor="text1"/>
        </w:rPr>
        <w:t xml:space="preserve">CS </w:t>
      </w:r>
      <w:r w:rsidR="004E5D45" w:rsidRPr="008762D1">
        <w:rPr>
          <w:color w:val="000000" w:themeColor="text1"/>
        </w:rPr>
        <w:t>debería</w:t>
      </w:r>
      <w:r w:rsidR="00A4743A" w:rsidRPr="008762D1">
        <w:rPr>
          <w:color w:val="000000" w:themeColor="text1"/>
        </w:rPr>
        <w:t xml:space="preserve"> proveer los </w:t>
      </w:r>
      <w:r w:rsidR="00B5580E" w:rsidRPr="008762D1">
        <w:rPr>
          <w:color w:val="000000" w:themeColor="text1"/>
        </w:rPr>
        <w:t>servicios</w:t>
      </w:r>
      <w:r w:rsidR="00A4743A" w:rsidRPr="008762D1">
        <w:rPr>
          <w:color w:val="000000" w:themeColor="text1"/>
        </w:rPr>
        <w:t xml:space="preserve"> solicitados por Telmex en los</w:t>
      </w:r>
      <w:r w:rsidR="004E5D45" w:rsidRPr="008762D1">
        <w:rPr>
          <w:color w:val="000000" w:themeColor="text1"/>
        </w:rPr>
        <w:t xml:space="preserve"> mismos plazos que éste último</w:t>
      </w:r>
      <w:r w:rsidR="00AB3A6F" w:rsidRPr="008762D1">
        <w:rPr>
          <w:color w:val="000000" w:themeColor="text1"/>
        </w:rPr>
        <w:t>,</w:t>
      </w:r>
      <w:r w:rsidR="004E5D45" w:rsidRPr="008762D1">
        <w:rPr>
          <w:color w:val="000000" w:themeColor="text1"/>
        </w:rPr>
        <w:t xml:space="preserve"> </w:t>
      </w:r>
      <w:r w:rsidRPr="008762D1">
        <w:rPr>
          <w:color w:val="000000" w:themeColor="text1"/>
        </w:rPr>
        <w:t xml:space="preserve">lo anterior </w:t>
      </w:r>
      <w:r w:rsidR="004E5D45" w:rsidRPr="008762D1">
        <w:rPr>
          <w:color w:val="000000" w:themeColor="text1"/>
        </w:rPr>
        <w:t>en virtud de que existen servicios de interconexión que únicamente son prestados por el AEP de conformidad con el artículo 127 y 133 de la LFTR</w:t>
      </w:r>
      <w:r w:rsidR="0080787F" w:rsidRPr="008762D1">
        <w:rPr>
          <w:color w:val="000000" w:themeColor="text1"/>
        </w:rPr>
        <w:t>, por lo que no es procedente establecer los mismos plazos para Telmex y el CS</w:t>
      </w:r>
      <w:r w:rsidRPr="008762D1">
        <w:rPr>
          <w:color w:val="000000" w:themeColor="text1"/>
        </w:rPr>
        <w:t>.</w:t>
      </w:r>
    </w:p>
    <w:p w14:paraId="742D5799" w14:textId="4818672E" w:rsidR="00410B1A" w:rsidRPr="008762D1" w:rsidRDefault="00410B1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54BB1A9B" w14:textId="77777777" w:rsidR="000F0B9F" w:rsidRPr="008762D1" w:rsidRDefault="00EC295A"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En el Es</w:t>
      </w:r>
      <w:r w:rsidR="00C36B38" w:rsidRPr="008762D1">
        <w:rPr>
          <w:rFonts w:ascii="ITC Avant Garde" w:eastAsia="Times New Roman" w:hAnsi="ITC Avant Garde" w:cs="Arial"/>
          <w:iCs/>
          <w:color w:val="000000" w:themeColor="text1"/>
        </w:rPr>
        <w:t>crito de Respuesta Telmex señaló</w:t>
      </w:r>
      <w:r w:rsidRPr="008762D1">
        <w:rPr>
          <w:rFonts w:ascii="ITC Avant Garde" w:eastAsia="Times New Roman" w:hAnsi="ITC Avant Garde" w:cs="Arial"/>
          <w:iCs/>
          <w:color w:val="000000" w:themeColor="text1"/>
        </w:rPr>
        <w:t xml:space="preserve"> que </w:t>
      </w:r>
      <w:r w:rsidR="00D325ED" w:rsidRPr="008762D1">
        <w:rPr>
          <w:rFonts w:ascii="ITC Avant Garde" w:eastAsia="Times New Roman" w:hAnsi="ITC Avant Garde" w:cs="Arial"/>
          <w:iCs/>
          <w:color w:val="000000" w:themeColor="text1"/>
        </w:rPr>
        <w:t xml:space="preserve">los Convenios de </w:t>
      </w:r>
      <w:proofErr w:type="spellStart"/>
      <w:r w:rsidR="00D325ED" w:rsidRPr="008762D1">
        <w:rPr>
          <w:rFonts w:ascii="ITC Avant Garde" w:eastAsia="Times New Roman" w:hAnsi="ITC Avant Garde" w:cs="Arial"/>
          <w:iCs/>
          <w:color w:val="000000" w:themeColor="text1"/>
        </w:rPr>
        <w:t>lnterconexión</w:t>
      </w:r>
      <w:proofErr w:type="spellEnd"/>
      <w:r w:rsidR="00D325ED" w:rsidRPr="008762D1">
        <w:rPr>
          <w:rFonts w:ascii="ITC Avant Garde" w:eastAsia="Times New Roman" w:hAnsi="ITC Avant Garde" w:cs="Arial"/>
          <w:iCs/>
          <w:color w:val="000000" w:themeColor="text1"/>
        </w:rPr>
        <w:t xml:space="preserve"> establecen obligaciones bilat</w:t>
      </w:r>
      <w:r w:rsidR="001875D4" w:rsidRPr="008762D1">
        <w:rPr>
          <w:rFonts w:ascii="ITC Avant Garde" w:eastAsia="Times New Roman" w:hAnsi="ITC Avant Garde" w:cs="Arial"/>
          <w:iCs/>
          <w:color w:val="000000" w:themeColor="text1"/>
        </w:rPr>
        <w:t>erales o</w:t>
      </w:r>
      <w:r w:rsidR="00D325ED" w:rsidRPr="008762D1">
        <w:rPr>
          <w:rFonts w:ascii="ITC Avant Garde" w:eastAsia="Times New Roman" w:hAnsi="ITC Avant Garde" w:cs="Arial"/>
          <w:iCs/>
          <w:color w:val="000000" w:themeColor="text1"/>
        </w:rPr>
        <w:t xml:space="preserve"> recíprocas para </w:t>
      </w:r>
      <w:r w:rsidRPr="008762D1">
        <w:rPr>
          <w:rFonts w:ascii="ITC Avant Garde" w:eastAsia="Times New Roman" w:hAnsi="ITC Avant Garde" w:cs="Arial"/>
          <w:iCs/>
          <w:color w:val="000000" w:themeColor="text1"/>
        </w:rPr>
        <w:t>lo</w:t>
      </w:r>
      <w:r w:rsidR="00D325ED" w:rsidRPr="008762D1">
        <w:rPr>
          <w:rFonts w:ascii="ITC Avant Garde" w:eastAsia="Times New Roman" w:hAnsi="ITC Avant Garde" w:cs="Arial"/>
          <w:iCs/>
          <w:color w:val="000000" w:themeColor="text1"/>
        </w:rPr>
        <w:t xml:space="preserve">s </w:t>
      </w:r>
      <w:r w:rsidRPr="008762D1">
        <w:rPr>
          <w:rFonts w:ascii="ITC Avant Garde" w:eastAsia="Times New Roman" w:hAnsi="ITC Avant Garde" w:cs="Arial"/>
          <w:iCs/>
          <w:color w:val="000000" w:themeColor="text1"/>
        </w:rPr>
        <w:t>contratantes.</w:t>
      </w:r>
      <w:r w:rsidR="00D325ED" w:rsidRPr="008762D1">
        <w:rPr>
          <w:rFonts w:ascii="ITC Avant Garde" w:eastAsia="Times New Roman" w:hAnsi="ITC Avant Garde" w:cs="Arial"/>
          <w:iCs/>
          <w:color w:val="000000" w:themeColor="text1"/>
        </w:rPr>
        <w:t xml:space="preserve"> </w:t>
      </w:r>
      <w:r w:rsidR="001875D4" w:rsidRPr="008762D1">
        <w:rPr>
          <w:rFonts w:ascii="ITC Avant Garde" w:eastAsia="Times New Roman" w:hAnsi="ITC Avant Garde" w:cs="Arial"/>
          <w:iCs/>
          <w:color w:val="000000" w:themeColor="text1"/>
        </w:rPr>
        <w:t>De lo cual</w:t>
      </w:r>
      <w:r w:rsidR="00C36B38" w:rsidRPr="008762D1">
        <w:rPr>
          <w:rFonts w:ascii="ITC Avant Garde" w:eastAsia="Times New Roman" w:hAnsi="ITC Avant Garde" w:cs="Arial"/>
          <w:iCs/>
          <w:color w:val="000000" w:themeColor="text1"/>
        </w:rPr>
        <w:t>,</w:t>
      </w:r>
      <w:r w:rsidR="001875D4" w:rsidRPr="008762D1">
        <w:rPr>
          <w:rFonts w:ascii="ITC Avant Garde" w:eastAsia="Times New Roman" w:hAnsi="ITC Avant Garde" w:cs="Arial"/>
          <w:iCs/>
          <w:color w:val="000000" w:themeColor="text1"/>
        </w:rPr>
        <w:t xml:space="preserve"> señala que p</w:t>
      </w:r>
      <w:r w:rsidR="00D325ED" w:rsidRPr="008762D1">
        <w:rPr>
          <w:rFonts w:ascii="ITC Avant Garde" w:eastAsia="Times New Roman" w:hAnsi="ITC Avant Garde" w:cs="Arial"/>
          <w:iCs/>
          <w:color w:val="000000" w:themeColor="text1"/>
        </w:rPr>
        <w:t xml:space="preserve">ara </w:t>
      </w:r>
      <w:r w:rsidR="001875D4" w:rsidRPr="008762D1">
        <w:rPr>
          <w:rFonts w:ascii="ITC Avant Garde" w:eastAsia="Times New Roman" w:hAnsi="ITC Avant Garde" w:cs="Arial"/>
          <w:iCs/>
          <w:color w:val="000000" w:themeColor="text1"/>
        </w:rPr>
        <w:t xml:space="preserve">la interconexión de </w:t>
      </w:r>
      <w:r w:rsidR="00D325ED" w:rsidRPr="008762D1">
        <w:rPr>
          <w:rFonts w:ascii="ITC Avant Garde" w:eastAsia="Times New Roman" w:hAnsi="ITC Avant Garde" w:cs="Arial"/>
          <w:iCs/>
          <w:color w:val="000000" w:themeColor="text1"/>
        </w:rPr>
        <w:t>dos redes p</w:t>
      </w:r>
      <w:r w:rsidRPr="008762D1">
        <w:rPr>
          <w:rFonts w:ascii="ITC Avant Garde" w:eastAsia="Times New Roman" w:hAnsi="ITC Avant Garde" w:cs="Arial"/>
          <w:iCs/>
          <w:color w:val="000000" w:themeColor="text1"/>
        </w:rPr>
        <w:t xml:space="preserve">úblicas de telecomunicaciones </w:t>
      </w:r>
      <w:r w:rsidR="00D325ED" w:rsidRPr="008762D1">
        <w:rPr>
          <w:rFonts w:ascii="ITC Avant Garde" w:eastAsia="Times New Roman" w:hAnsi="ITC Avant Garde" w:cs="Arial"/>
          <w:iCs/>
          <w:color w:val="000000" w:themeColor="text1"/>
        </w:rPr>
        <w:t xml:space="preserve">es necesario que los concesionarios </w:t>
      </w:r>
      <w:r w:rsidR="001875D4" w:rsidRPr="008762D1">
        <w:rPr>
          <w:rFonts w:ascii="ITC Avant Garde" w:eastAsia="Times New Roman" w:hAnsi="ITC Avant Garde" w:cs="Arial"/>
          <w:iCs/>
          <w:color w:val="000000" w:themeColor="text1"/>
        </w:rPr>
        <w:t>involucrados</w:t>
      </w:r>
      <w:r w:rsidR="00D325ED" w:rsidRPr="008762D1">
        <w:rPr>
          <w:rFonts w:ascii="ITC Avant Garde" w:eastAsia="Times New Roman" w:hAnsi="ITC Avant Garde" w:cs="Arial"/>
          <w:iCs/>
          <w:color w:val="000000" w:themeColor="text1"/>
        </w:rPr>
        <w:t xml:space="preserve"> realicen los trabajos y las adecuaciones necesarias para posteriormente entregar los servicios y efectúen la puesta en operación de los mismos en idénticos plazos, ya que </w:t>
      </w:r>
      <w:r w:rsidR="001875D4" w:rsidRPr="008762D1">
        <w:rPr>
          <w:rFonts w:ascii="ITC Avant Garde" w:eastAsia="Times New Roman" w:hAnsi="ITC Avant Garde" w:cs="Arial"/>
          <w:iCs/>
          <w:color w:val="000000" w:themeColor="text1"/>
        </w:rPr>
        <w:t>no sirve que al AEP</w:t>
      </w:r>
      <w:r w:rsidR="00D325ED" w:rsidRPr="008762D1">
        <w:rPr>
          <w:rFonts w:ascii="ITC Avant Garde" w:eastAsia="Times New Roman" w:hAnsi="ITC Avant Garde" w:cs="Arial"/>
          <w:iCs/>
          <w:color w:val="000000" w:themeColor="text1"/>
        </w:rPr>
        <w:t xml:space="preserve"> se le imponga una obligación exclusiva si su contraparte no está lista para recibir o proporcionar los servicios de interconexión a su cargo y que </w:t>
      </w:r>
      <w:r w:rsidR="00B5580E" w:rsidRPr="008762D1">
        <w:rPr>
          <w:rFonts w:ascii="ITC Avant Garde" w:eastAsia="Times New Roman" w:hAnsi="ITC Avant Garde" w:cs="Arial"/>
          <w:iCs/>
          <w:color w:val="000000" w:themeColor="text1"/>
        </w:rPr>
        <w:t>igualmente</w:t>
      </w:r>
      <w:r w:rsidR="00D325ED" w:rsidRPr="008762D1">
        <w:rPr>
          <w:rFonts w:ascii="ITC Avant Garde" w:eastAsia="Times New Roman" w:hAnsi="ITC Avant Garde" w:cs="Arial"/>
          <w:iCs/>
          <w:color w:val="000000" w:themeColor="text1"/>
        </w:rPr>
        <w:t xml:space="preserve"> requiere Telmex para el correcto funcionamiento de los mismos.</w:t>
      </w:r>
    </w:p>
    <w:p w14:paraId="64C8A8BD" w14:textId="77777777" w:rsidR="000F0B9F" w:rsidRPr="008762D1" w:rsidRDefault="00D325ED"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Por </w:t>
      </w:r>
      <w:r w:rsidR="001E6AE4" w:rsidRPr="008762D1">
        <w:rPr>
          <w:rFonts w:ascii="ITC Avant Garde" w:eastAsia="Times New Roman" w:hAnsi="ITC Avant Garde" w:cs="Arial"/>
          <w:iCs/>
          <w:color w:val="000000" w:themeColor="text1"/>
        </w:rPr>
        <w:t>lo anterio</w:t>
      </w:r>
      <w:r w:rsidR="00313E28" w:rsidRPr="008762D1">
        <w:rPr>
          <w:rFonts w:ascii="ITC Avant Garde" w:eastAsia="Times New Roman" w:hAnsi="ITC Avant Garde" w:cs="Arial"/>
          <w:iCs/>
          <w:color w:val="000000" w:themeColor="text1"/>
        </w:rPr>
        <w:t>r, Telmex</w:t>
      </w:r>
      <w:r w:rsidR="001E6AE4" w:rsidRPr="008762D1">
        <w:rPr>
          <w:rFonts w:ascii="ITC Avant Garde" w:eastAsia="Times New Roman" w:hAnsi="ITC Avant Garde" w:cs="Arial"/>
          <w:iCs/>
          <w:color w:val="000000" w:themeColor="text1"/>
        </w:rPr>
        <w:t xml:space="preserve"> señala que</w:t>
      </w:r>
      <w:r w:rsidRPr="008762D1">
        <w:rPr>
          <w:rFonts w:ascii="ITC Avant Garde" w:eastAsia="Times New Roman" w:hAnsi="ITC Avant Garde" w:cs="Arial"/>
          <w:iCs/>
          <w:color w:val="000000" w:themeColor="text1"/>
        </w:rPr>
        <w:t xml:space="preserve"> debe mantenerse el párrafo eliminado por el </w:t>
      </w:r>
      <w:proofErr w:type="spellStart"/>
      <w:r w:rsidRPr="008762D1">
        <w:rPr>
          <w:rFonts w:ascii="ITC Avant Garde" w:eastAsia="Times New Roman" w:hAnsi="ITC Avant Garde" w:cs="Arial"/>
          <w:iCs/>
          <w:color w:val="000000" w:themeColor="text1"/>
        </w:rPr>
        <w:t>lnstituto</w:t>
      </w:r>
      <w:proofErr w:type="spellEnd"/>
      <w:r w:rsidRPr="008762D1">
        <w:rPr>
          <w:rFonts w:ascii="ITC Avant Garde" w:eastAsia="Times New Roman" w:hAnsi="ITC Avant Garde" w:cs="Arial"/>
          <w:iCs/>
          <w:color w:val="000000" w:themeColor="text1"/>
        </w:rPr>
        <w:t xml:space="preserve">, ya que en caso de que se establezcan distintos plazos para la entrega de servicios entre concesionarios, la afectación se verá reflejada directamente en la calidad de los </w:t>
      </w:r>
      <w:r w:rsidR="00B5580E" w:rsidRPr="008762D1">
        <w:rPr>
          <w:rFonts w:ascii="ITC Avant Garde" w:eastAsia="Times New Roman" w:hAnsi="ITC Avant Garde" w:cs="Arial"/>
          <w:iCs/>
          <w:color w:val="000000" w:themeColor="text1"/>
        </w:rPr>
        <w:t>servicios</w:t>
      </w:r>
      <w:r w:rsidRPr="008762D1">
        <w:rPr>
          <w:rFonts w:ascii="ITC Avant Garde" w:eastAsia="Times New Roman" w:hAnsi="ITC Avant Garde" w:cs="Arial"/>
          <w:iCs/>
          <w:color w:val="000000" w:themeColor="text1"/>
        </w:rPr>
        <w:t xml:space="preserve"> prestados a los clientes finales, tanto del </w:t>
      </w:r>
      <w:r w:rsidR="001E6AE4" w:rsidRPr="008762D1">
        <w:rPr>
          <w:rFonts w:ascii="ITC Avant Garde" w:eastAsia="Times New Roman" w:hAnsi="ITC Avant Garde" w:cs="Arial"/>
          <w:iCs/>
          <w:color w:val="000000" w:themeColor="text1"/>
        </w:rPr>
        <w:t>CS</w:t>
      </w:r>
      <w:r w:rsidRPr="008762D1">
        <w:rPr>
          <w:rFonts w:ascii="ITC Avant Garde" w:eastAsia="Times New Roman" w:hAnsi="ITC Avant Garde" w:cs="Arial"/>
          <w:iCs/>
          <w:color w:val="000000" w:themeColor="text1"/>
        </w:rPr>
        <w:t xml:space="preserve"> como de Telmex.</w:t>
      </w:r>
    </w:p>
    <w:p w14:paraId="340E3A37" w14:textId="77777777" w:rsidR="000F0B9F" w:rsidRPr="008762D1" w:rsidRDefault="00465D94"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Señala que la reciprocidad en la prestación de servicios de interconexión, incluyendo los pl</w:t>
      </w:r>
      <w:r w:rsidR="00D41031" w:rsidRPr="008762D1">
        <w:rPr>
          <w:rFonts w:ascii="ITC Avant Garde" w:eastAsia="Times New Roman" w:hAnsi="ITC Avant Garde" w:cs="Arial"/>
          <w:iCs/>
          <w:color w:val="000000" w:themeColor="text1"/>
        </w:rPr>
        <w:t>a</w:t>
      </w:r>
      <w:r w:rsidRPr="008762D1">
        <w:rPr>
          <w:rFonts w:ascii="ITC Avant Garde" w:eastAsia="Times New Roman" w:hAnsi="ITC Avant Garde" w:cs="Arial"/>
          <w:iCs/>
          <w:color w:val="000000" w:themeColor="text1"/>
        </w:rPr>
        <w:t>zos para la prestación de los mismos, es reconocida por el Instituto en el numeral 6.2 de la Cláusula Segunda del Convenio, en el cual se señala que Telmex y el Operador Solicitante se obligan a instalar la capacidad suficiente para satisfacer la demanda de los servicios de interconexión. De lo cual, señala Telmex</w:t>
      </w:r>
      <w:r w:rsidR="002A0140" w:rsidRPr="008762D1">
        <w:rPr>
          <w:rFonts w:ascii="ITC Avant Garde" w:eastAsia="Times New Roman" w:hAnsi="ITC Avant Garde" w:cs="Arial"/>
          <w:iCs/>
          <w:color w:val="000000" w:themeColor="text1"/>
        </w:rPr>
        <w:t>,</w:t>
      </w:r>
      <w:r w:rsidRPr="008762D1">
        <w:rPr>
          <w:rFonts w:ascii="ITC Avant Garde" w:eastAsia="Times New Roman" w:hAnsi="ITC Avant Garde" w:cs="Arial"/>
          <w:iCs/>
          <w:color w:val="000000" w:themeColor="text1"/>
        </w:rPr>
        <w:t xml:space="preserve"> queda de manifiesto el hecho de que los servicios de interconexión </w:t>
      </w:r>
      <w:r w:rsidRPr="008762D1">
        <w:rPr>
          <w:rFonts w:ascii="ITC Avant Garde" w:eastAsia="Times New Roman" w:hAnsi="ITC Avant Garde" w:cs="Arial"/>
          <w:iCs/>
          <w:color w:val="000000" w:themeColor="text1"/>
        </w:rPr>
        <w:lastRenderedPageBreak/>
        <w:t xml:space="preserve">deben ser </w:t>
      </w:r>
      <w:proofErr w:type="spellStart"/>
      <w:r w:rsidRPr="008762D1">
        <w:rPr>
          <w:rFonts w:ascii="ITC Avant Garde" w:eastAsia="Times New Roman" w:hAnsi="ITC Avant Garde" w:cs="Arial"/>
          <w:iCs/>
          <w:color w:val="000000" w:themeColor="text1"/>
        </w:rPr>
        <w:t>proprocionados</w:t>
      </w:r>
      <w:proofErr w:type="spellEnd"/>
      <w:r w:rsidRPr="008762D1">
        <w:rPr>
          <w:rFonts w:ascii="ITC Avant Garde" w:eastAsia="Times New Roman" w:hAnsi="ITC Avant Garde" w:cs="Arial"/>
          <w:iCs/>
          <w:color w:val="000000" w:themeColor="text1"/>
        </w:rPr>
        <w:t xml:space="preserve"> de manera recíproca, bajo los mismos plazos, tal y como se recono</w:t>
      </w:r>
      <w:r w:rsidR="00560DDB" w:rsidRPr="008762D1">
        <w:rPr>
          <w:rFonts w:ascii="ITC Avant Garde" w:eastAsia="Times New Roman" w:hAnsi="ITC Avant Garde" w:cs="Arial"/>
          <w:iCs/>
          <w:color w:val="000000" w:themeColor="text1"/>
        </w:rPr>
        <w:t>c</w:t>
      </w:r>
      <w:r w:rsidRPr="008762D1">
        <w:rPr>
          <w:rFonts w:ascii="ITC Avant Garde" w:eastAsia="Times New Roman" w:hAnsi="ITC Avant Garde" w:cs="Arial"/>
          <w:iCs/>
          <w:color w:val="000000" w:themeColor="text1"/>
        </w:rPr>
        <w:t xml:space="preserve">e para el incremento de capacidad requerida por cada concesionario, obligando al CS a proporcionarla en los mismos términos que Telmex. Por lo tanto, señala Telmex, la condición de AEP no debe ser limitante para que se obligue a la contraparte a </w:t>
      </w:r>
      <w:proofErr w:type="spellStart"/>
      <w:r w:rsidRPr="008762D1">
        <w:rPr>
          <w:rFonts w:ascii="ITC Avant Garde" w:eastAsia="Times New Roman" w:hAnsi="ITC Avant Garde" w:cs="Arial"/>
          <w:iCs/>
          <w:color w:val="000000" w:themeColor="text1"/>
        </w:rPr>
        <w:t>propocionar</w:t>
      </w:r>
      <w:proofErr w:type="spellEnd"/>
      <w:r w:rsidRPr="008762D1">
        <w:rPr>
          <w:rFonts w:ascii="ITC Avant Garde" w:eastAsia="Times New Roman" w:hAnsi="ITC Avant Garde" w:cs="Arial"/>
          <w:iCs/>
          <w:color w:val="000000" w:themeColor="text1"/>
        </w:rPr>
        <w:t xml:space="preserve"> servicios de interconexión en los mismos plazos que Telmex, toda vez que se trata de servicios recíprocos cuya interoperabilidad no podría lograrse de manera aislada, es decir, un servicio sin el otro.</w:t>
      </w:r>
    </w:p>
    <w:p w14:paraId="112E4D1C" w14:textId="00FE3A46" w:rsidR="00410B1A" w:rsidRPr="008762D1" w:rsidRDefault="00410B1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79C6D37" w14:textId="77777777" w:rsidR="000F0B9F" w:rsidRPr="008762D1" w:rsidRDefault="00CD2C64" w:rsidP="000F0B9F">
      <w:pPr>
        <w:pStyle w:val="IFT1"/>
        <w:tabs>
          <w:tab w:val="left" w:pos="426"/>
        </w:tabs>
        <w:spacing w:before="240" w:after="0"/>
        <w:rPr>
          <w:color w:val="000000" w:themeColor="text1"/>
        </w:rPr>
      </w:pPr>
      <w:r w:rsidRPr="008762D1">
        <w:rPr>
          <w:color w:val="000000" w:themeColor="text1"/>
        </w:rPr>
        <w:t>Un</w:t>
      </w:r>
      <w:r w:rsidR="00FB797F" w:rsidRPr="008762D1">
        <w:rPr>
          <w:color w:val="000000" w:themeColor="text1"/>
        </w:rPr>
        <w:t xml:space="preserve"> Convenio</w:t>
      </w:r>
      <w:r w:rsidR="00FD14D9" w:rsidRPr="008762D1">
        <w:rPr>
          <w:color w:val="000000" w:themeColor="text1"/>
        </w:rPr>
        <w:t xml:space="preserve"> </w:t>
      </w:r>
      <w:r w:rsidR="00EF7BE5" w:rsidRPr="008762D1">
        <w:rPr>
          <w:color w:val="000000" w:themeColor="text1"/>
        </w:rPr>
        <w:t>representa</w:t>
      </w:r>
      <w:r w:rsidR="00F0302D" w:rsidRPr="008762D1">
        <w:rPr>
          <w:color w:val="000000" w:themeColor="text1"/>
        </w:rPr>
        <w:t xml:space="preserve"> el acuerdo que se celebra con el </w:t>
      </w:r>
      <w:r w:rsidR="00FD14D9" w:rsidRPr="008762D1">
        <w:rPr>
          <w:color w:val="000000" w:themeColor="text1"/>
        </w:rPr>
        <w:t xml:space="preserve">objetivo </w:t>
      </w:r>
      <w:r w:rsidR="00F0302D" w:rsidRPr="008762D1">
        <w:rPr>
          <w:color w:val="000000" w:themeColor="text1"/>
        </w:rPr>
        <w:t xml:space="preserve">de </w:t>
      </w:r>
      <w:r w:rsidR="00FD14D9" w:rsidRPr="008762D1">
        <w:rPr>
          <w:color w:val="000000" w:themeColor="text1"/>
        </w:rPr>
        <w:t xml:space="preserve">establecer </w:t>
      </w:r>
      <w:r w:rsidR="00C5335D" w:rsidRPr="008762D1">
        <w:rPr>
          <w:color w:val="000000" w:themeColor="text1"/>
        </w:rPr>
        <w:t xml:space="preserve">derechos y </w:t>
      </w:r>
      <w:r w:rsidR="00FD14D9" w:rsidRPr="008762D1">
        <w:rPr>
          <w:color w:val="000000" w:themeColor="text1"/>
        </w:rPr>
        <w:t>obligaciones</w:t>
      </w:r>
      <w:r w:rsidR="00F0302D" w:rsidRPr="008762D1">
        <w:rPr>
          <w:color w:val="000000" w:themeColor="text1"/>
        </w:rPr>
        <w:t xml:space="preserve"> para las partes que lo suscriben</w:t>
      </w:r>
      <w:r w:rsidRPr="008762D1">
        <w:rPr>
          <w:color w:val="000000" w:themeColor="text1"/>
        </w:rPr>
        <w:t>, de tal forma que el Convenio de Interconexión establece los términos y condiciones bajo los cuales se prestarán los servicios objeto del mismo para las partes que lo suscriben.</w:t>
      </w:r>
      <w:r w:rsidR="00FB797F" w:rsidRPr="008762D1">
        <w:rPr>
          <w:color w:val="000000" w:themeColor="text1"/>
        </w:rPr>
        <w:t xml:space="preserve"> </w:t>
      </w:r>
    </w:p>
    <w:p w14:paraId="0C3B2D7C" w14:textId="77777777" w:rsidR="000F0B9F" w:rsidRPr="008762D1" w:rsidRDefault="00EF7BE5" w:rsidP="000F0B9F">
      <w:pPr>
        <w:pStyle w:val="IFT1"/>
        <w:tabs>
          <w:tab w:val="left" w:pos="426"/>
        </w:tabs>
        <w:spacing w:before="240" w:after="0"/>
        <w:rPr>
          <w:color w:val="000000" w:themeColor="text1"/>
        </w:rPr>
      </w:pPr>
      <w:r w:rsidRPr="008762D1">
        <w:rPr>
          <w:color w:val="000000" w:themeColor="text1"/>
        </w:rPr>
        <w:t xml:space="preserve">En este sentido, el artículo 127 de la LFTR señala los servicios que se considerarán de interconexión: </w:t>
      </w:r>
      <w:r w:rsidR="00374A6D" w:rsidRPr="008762D1">
        <w:rPr>
          <w:color w:val="000000" w:themeColor="text1"/>
        </w:rPr>
        <w:t>I</w:t>
      </w:r>
      <w:r w:rsidRPr="008762D1">
        <w:rPr>
          <w:color w:val="000000" w:themeColor="text1"/>
        </w:rPr>
        <w:t>) Conducción de tr</w:t>
      </w:r>
      <w:r w:rsidR="007A60A5" w:rsidRPr="008762D1">
        <w:rPr>
          <w:color w:val="000000" w:themeColor="text1"/>
        </w:rPr>
        <w:t>áfico;</w:t>
      </w:r>
      <w:r w:rsidR="00374A6D" w:rsidRPr="008762D1">
        <w:rPr>
          <w:color w:val="000000" w:themeColor="text1"/>
        </w:rPr>
        <w:t xml:space="preserve"> II</w:t>
      </w:r>
      <w:r w:rsidRPr="008762D1">
        <w:rPr>
          <w:color w:val="000000" w:themeColor="text1"/>
        </w:rPr>
        <w:t>) Enlaces de transmisi</w:t>
      </w:r>
      <w:r w:rsidR="007A60A5" w:rsidRPr="008762D1">
        <w:rPr>
          <w:color w:val="000000" w:themeColor="text1"/>
        </w:rPr>
        <w:t>ón;</w:t>
      </w:r>
      <w:r w:rsidR="00374A6D" w:rsidRPr="008762D1">
        <w:rPr>
          <w:color w:val="000000" w:themeColor="text1"/>
        </w:rPr>
        <w:t xml:space="preserve"> III</w:t>
      </w:r>
      <w:r w:rsidRPr="008762D1">
        <w:rPr>
          <w:color w:val="000000" w:themeColor="text1"/>
        </w:rPr>
        <w:t>) P</w:t>
      </w:r>
      <w:r w:rsidR="007A60A5" w:rsidRPr="008762D1">
        <w:rPr>
          <w:color w:val="000000" w:themeColor="text1"/>
        </w:rPr>
        <w:t>uertos de acceso;</w:t>
      </w:r>
      <w:r w:rsidR="00374A6D" w:rsidRPr="008762D1">
        <w:rPr>
          <w:color w:val="000000" w:themeColor="text1"/>
        </w:rPr>
        <w:t xml:space="preserve"> IV</w:t>
      </w:r>
      <w:r w:rsidRPr="008762D1">
        <w:rPr>
          <w:color w:val="000000" w:themeColor="text1"/>
        </w:rPr>
        <w:t>) S</w:t>
      </w:r>
      <w:r w:rsidR="00374A6D" w:rsidRPr="008762D1">
        <w:rPr>
          <w:color w:val="000000" w:themeColor="text1"/>
        </w:rPr>
        <w:t>e</w:t>
      </w:r>
      <w:r w:rsidRPr="008762D1">
        <w:rPr>
          <w:color w:val="000000" w:themeColor="text1"/>
        </w:rPr>
        <w:t>ñalizaci</w:t>
      </w:r>
      <w:r w:rsidR="007A60A5" w:rsidRPr="008762D1">
        <w:rPr>
          <w:color w:val="000000" w:themeColor="text1"/>
        </w:rPr>
        <w:t>ón;</w:t>
      </w:r>
      <w:r w:rsidR="00374A6D" w:rsidRPr="008762D1">
        <w:rPr>
          <w:color w:val="000000" w:themeColor="text1"/>
        </w:rPr>
        <w:t xml:space="preserve"> V</w:t>
      </w:r>
      <w:r w:rsidRPr="008762D1">
        <w:rPr>
          <w:color w:val="000000" w:themeColor="text1"/>
        </w:rPr>
        <w:t>) Tr</w:t>
      </w:r>
      <w:r w:rsidR="007A60A5" w:rsidRPr="008762D1">
        <w:rPr>
          <w:color w:val="000000" w:themeColor="text1"/>
        </w:rPr>
        <w:t>ánsito;</w:t>
      </w:r>
      <w:r w:rsidR="00374A6D" w:rsidRPr="008762D1">
        <w:rPr>
          <w:color w:val="000000" w:themeColor="text1"/>
        </w:rPr>
        <w:t xml:space="preserve"> VI</w:t>
      </w:r>
      <w:r w:rsidRPr="008762D1">
        <w:rPr>
          <w:color w:val="000000" w:themeColor="text1"/>
        </w:rPr>
        <w:t xml:space="preserve">) </w:t>
      </w:r>
      <w:proofErr w:type="spellStart"/>
      <w:r w:rsidRPr="008762D1">
        <w:rPr>
          <w:color w:val="000000" w:themeColor="text1"/>
        </w:rPr>
        <w:t>Coubicaci</w:t>
      </w:r>
      <w:r w:rsidR="007A60A5" w:rsidRPr="008762D1">
        <w:rPr>
          <w:color w:val="000000" w:themeColor="text1"/>
        </w:rPr>
        <w:t>ón</w:t>
      </w:r>
      <w:proofErr w:type="spellEnd"/>
      <w:r w:rsidR="007A60A5" w:rsidRPr="008762D1">
        <w:rPr>
          <w:color w:val="000000" w:themeColor="text1"/>
        </w:rPr>
        <w:t>;</w:t>
      </w:r>
      <w:r w:rsidR="00374A6D" w:rsidRPr="008762D1">
        <w:rPr>
          <w:color w:val="000000" w:themeColor="text1"/>
        </w:rPr>
        <w:t xml:space="preserve"> VII</w:t>
      </w:r>
      <w:r w:rsidRPr="008762D1">
        <w:rPr>
          <w:color w:val="000000" w:themeColor="text1"/>
        </w:rPr>
        <w:t>) Compartición de infraestructura</w:t>
      </w:r>
      <w:r w:rsidR="007A60A5" w:rsidRPr="008762D1">
        <w:rPr>
          <w:color w:val="000000" w:themeColor="text1"/>
        </w:rPr>
        <w:t xml:space="preserve">; </w:t>
      </w:r>
      <w:r w:rsidR="00374A6D" w:rsidRPr="008762D1">
        <w:rPr>
          <w:color w:val="000000" w:themeColor="text1"/>
        </w:rPr>
        <w:t>VIII) Auxiliares conexos, y IX</w:t>
      </w:r>
      <w:r w:rsidR="007A60A5" w:rsidRPr="008762D1">
        <w:rPr>
          <w:color w:val="000000" w:themeColor="text1"/>
        </w:rPr>
        <w:t>) Facturaci</w:t>
      </w:r>
      <w:r w:rsidR="00FC7796" w:rsidRPr="008762D1">
        <w:rPr>
          <w:color w:val="000000" w:themeColor="text1"/>
        </w:rPr>
        <w:t>ón y C</w:t>
      </w:r>
      <w:r w:rsidR="007A60A5" w:rsidRPr="008762D1">
        <w:rPr>
          <w:color w:val="000000" w:themeColor="text1"/>
        </w:rPr>
        <w:t>obranza.</w:t>
      </w:r>
    </w:p>
    <w:p w14:paraId="4A4D2781" w14:textId="0716AEC3" w:rsidR="00A40D1A" w:rsidRPr="008762D1" w:rsidRDefault="008709DC" w:rsidP="000F0B9F">
      <w:pPr>
        <w:pStyle w:val="IFT1"/>
        <w:tabs>
          <w:tab w:val="left" w:pos="426"/>
        </w:tabs>
        <w:spacing w:before="240" w:after="0"/>
        <w:rPr>
          <w:color w:val="000000" w:themeColor="text1"/>
        </w:rPr>
      </w:pPr>
      <w:r w:rsidRPr="008762D1">
        <w:rPr>
          <w:color w:val="000000" w:themeColor="text1"/>
        </w:rPr>
        <w:t>Asimismo, el artículo 133 de la LFTR señala que la prestación de dichos servicios será obligatoria para el AEP y los señalados en las fracciones I a IV serán obligatorios para el resto de los concesionarios, e</w:t>
      </w:r>
      <w:r w:rsidR="004C7BED" w:rsidRPr="008762D1">
        <w:rPr>
          <w:color w:val="000000" w:themeColor="text1"/>
        </w:rPr>
        <w:t>s así qu</w:t>
      </w:r>
      <w:r w:rsidR="007A5009" w:rsidRPr="008762D1">
        <w:rPr>
          <w:color w:val="000000" w:themeColor="text1"/>
        </w:rPr>
        <w:t>e e</w:t>
      </w:r>
      <w:r w:rsidR="004C7BED" w:rsidRPr="008762D1">
        <w:rPr>
          <w:color w:val="000000" w:themeColor="text1"/>
        </w:rPr>
        <w:t xml:space="preserve">l CMI debe </w:t>
      </w:r>
      <w:r w:rsidR="007A5009" w:rsidRPr="008762D1">
        <w:rPr>
          <w:color w:val="000000" w:themeColor="text1"/>
        </w:rPr>
        <w:t>contener</w:t>
      </w:r>
      <w:r w:rsidR="004C7BED" w:rsidRPr="008762D1">
        <w:rPr>
          <w:color w:val="000000" w:themeColor="text1"/>
        </w:rPr>
        <w:t xml:space="preserve"> los términos y condiciones </w:t>
      </w:r>
      <w:r w:rsidR="00FE1CDE" w:rsidRPr="008762D1">
        <w:rPr>
          <w:color w:val="000000" w:themeColor="text1"/>
        </w:rPr>
        <w:t xml:space="preserve">de los servicios </w:t>
      </w:r>
      <w:r w:rsidRPr="008762D1">
        <w:rPr>
          <w:color w:val="000000" w:themeColor="text1"/>
        </w:rPr>
        <w:t>que se prestar</w:t>
      </w:r>
      <w:r w:rsidR="00FE1CDE" w:rsidRPr="008762D1">
        <w:rPr>
          <w:color w:val="000000" w:themeColor="text1"/>
        </w:rPr>
        <w:t xml:space="preserve">án ambas partes, </w:t>
      </w:r>
      <w:r w:rsidR="0083442E" w:rsidRPr="008762D1">
        <w:rPr>
          <w:color w:val="000000" w:themeColor="text1"/>
        </w:rPr>
        <w:t xml:space="preserve">incluyendo </w:t>
      </w:r>
      <w:r w:rsidRPr="008762D1">
        <w:rPr>
          <w:color w:val="000000" w:themeColor="text1"/>
        </w:rPr>
        <w:t xml:space="preserve">los </w:t>
      </w:r>
      <w:r w:rsidR="00FE1CDE" w:rsidRPr="008762D1">
        <w:rPr>
          <w:color w:val="000000" w:themeColor="text1"/>
        </w:rPr>
        <w:t xml:space="preserve">correspondientes a los </w:t>
      </w:r>
      <w:r w:rsidR="004C7BED" w:rsidRPr="008762D1">
        <w:rPr>
          <w:color w:val="000000" w:themeColor="text1"/>
        </w:rPr>
        <w:t>servicios</w:t>
      </w:r>
      <w:r w:rsidR="0083442E" w:rsidRPr="008762D1">
        <w:rPr>
          <w:color w:val="000000" w:themeColor="text1"/>
        </w:rPr>
        <w:t xml:space="preserve"> de</w:t>
      </w:r>
      <w:r w:rsidR="00A40D1A" w:rsidRPr="008762D1">
        <w:rPr>
          <w:color w:val="000000" w:themeColor="text1"/>
        </w:rPr>
        <w:t xml:space="preserve"> </w:t>
      </w:r>
      <w:r w:rsidR="0083442E" w:rsidRPr="008762D1">
        <w:rPr>
          <w:color w:val="000000" w:themeColor="text1"/>
        </w:rPr>
        <w:t>conducción de tráfico, enlaces de transmisión, puertos de acceso y señalización que el CS, a solicitud de Telmex debe proporcionarle</w:t>
      </w:r>
      <w:r w:rsidRPr="008762D1">
        <w:rPr>
          <w:color w:val="000000" w:themeColor="text1"/>
        </w:rPr>
        <w:t>.</w:t>
      </w:r>
    </w:p>
    <w:p w14:paraId="7702ED2D" w14:textId="77777777" w:rsidR="000F0B9F" w:rsidRPr="008762D1" w:rsidRDefault="00A40D1A" w:rsidP="000F0B9F">
      <w:pPr>
        <w:pStyle w:val="IFT1"/>
        <w:tabs>
          <w:tab w:val="left" w:pos="426"/>
        </w:tabs>
        <w:spacing w:before="240" w:after="0"/>
        <w:rPr>
          <w:color w:val="000000" w:themeColor="text1"/>
        </w:rPr>
      </w:pPr>
      <w:r w:rsidRPr="008762D1">
        <w:rPr>
          <w:color w:val="000000" w:themeColor="text1"/>
        </w:rPr>
        <w:t>Es</w:t>
      </w:r>
      <w:r w:rsidR="008709DC" w:rsidRPr="008762D1">
        <w:rPr>
          <w:color w:val="000000" w:themeColor="text1"/>
        </w:rPr>
        <w:t xml:space="preserve"> así </w:t>
      </w:r>
      <w:r w:rsidR="00EB5BBF" w:rsidRPr="008762D1">
        <w:rPr>
          <w:color w:val="000000" w:themeColor="text1"/>
        </w:rPr>
        <w:t xml:space="preserve">que </w:t>
      </w:r>
      <w:r w:rsidR="009545E6" w:rsidRPr="008762D1">
        <w:rPr>
          <w:color w:val="000000" w:themeColor="text1"/>
        </w:rPr>
        <w:t>el CMI debe inclui</w:t>
      </w:r>
      <w:r w:rsidR="00EB5BBF" w:rsidRPr="008762D1">
        <w:rPr>
          <w:color w:val="000000" w:themeColor="text1"/>
        </w:rPr>
        <w:t xml:space="preserve">r las obligaciones de </w:t>
      </w:r>
      <w:r w:rsidR="00FE1CDE" w:rsidRPr="008762D1">
        <w:rPr>
          <w:color w:val="000000" w:themeColor="text1"/>
        </w:rPr>
        <w:t xml:space="preserve">cada una de </w:t>
      </w:r>
      <w:r w:rsidR="00EB5BBF" w:rsidRPr="008762D1">
        <w:rPr>
          <w:color w:val="000000" w:themeColor="text1"/>
        </w:rPr>
        <w:t xml:space="preserve">las partes </w:t>
      </w:r>
      <w:r w:rsidR="009545E6" w:rsidRPr="008762D1">
        <w:rPr>
          <w:color w:val="000000" w:themeColor="text1"/>
        </w:rPr>
        <w:t>que favorezcan la prestación de los servicios</w:t>
      </w:r>
      <w:r w:rsidR="000C10AE" w:rsidRPr="008762D1">
        <w:rPr>
          <w:color w:val="000000" w:themeColor="text1"/>
        </w:rPr>
        <w:t xml:space="preserve"> señalados, mismos que en su conjunto permiten </w:t>
      </w:r>
      <w:r w:rsidR="00112794" w:rsidRPr="008762D1">
        <w:rPr>
          <w:color w:val="000000" w:themeColor="text1"/>
        </w:rPr>
        <w:t>el intercambio de tráfico entre las redes de telecomunicaciones que se interconectan.</w:t>
      </w:r>
      <w:r w:rsidR="00654867" w:rsidRPr="008762D1">
        <w:rPr>
          <w:color w:val="000000" w:themeColor="text1"/>
        </w:rPr>
        <w:t xml:space="preserve"> </w:t>
      </w:r>
    </w:p>
    <w:p w14:paraId="4DA743E2" w14:textId="77777777" w:rsidR="000F0B9F" w:rsidRPr="008762D1" w:rsidRDefault="009545E6" w:rsidP="000F0B9F">
      <w:pPr>
        <w:pStyle w:val="IFT1"/>
        <w:tabs>
          <w:tab w:val="left" w:pos="426"/>
        </w:tabs>
        <w:spacing w:before="240" w:after="0"/>
        <w:rPr>
          <w:color w:val="000000" w:themeColor="text1"/>
        </w:rPr>
      </w:pPr>
      <w:r w:rsidRPr="008762D1">
        <w:rPr>
          <w:color w:val="000000" w:themeColor="text1"/>
        </w:rPr>
        <w:t xml:space="preserve">En este sentido, </w:t>
      </w:r>
      <w:r w:rsidR="000C10AE" w:rsidRPr="008762D1">
        <w:rPr>
          <w:color w:val="000000" w:themeColor="text1"/>
        </w:rPr>
        <w:t>los servicios de conducción de tráfico, enlaces de transmisión, puertos de acceso y señalización</w:t>
      </w:r>
      <w:r w:rsidR="00622EE5" w:rsidRPr="008762D1">
        <w:rPr>
          <w:color w:val="000000" w:themeColor="text1"/>
        </w:rPr>
        <w:t xml:space="preserve"> se debe</w:t>
      </w:r>
      <w:r w:rsidR="000C10AE" w:rsidRPr="008762D1">
        <w:rPr>
          <w:color w:val="000000" w:themeColor="text1"/>
        </w:rPr>
        <w:t>n</w:t>
      </w:r>
      <w:r w:rsidR="00622EE5" w:rsidRPr="008762D1">
        <w:rPr>
          <w:color w:val="000000" w:themeColor="text1"/>
        </w:rPr>
        <w:t xml:space="preserve"> prestar de manera recíproca entre la red de Telmex y la red del CS</w:t>
      </w:r>
      <w:r w:rsidR="00956933" w:rsidRPr="008762D1">
        <w:rPr>
          <w:color w:val="000000" w:themeColor="text1"/>
        </w:rPr>
        <w:t xml:space="preserve"> de acuerdo a las condiciones establecidas en el CMI, incluyendo los plazos para la prestación de</w:t>
      </w:r>
      <w:r w:rsidR="000C10AE" w:rsidRPr="008762D1">
        <w:rPr>
          <w:color w:val="000000" w:themeColor="text1"/>
        </w:rPr>
        <w:t xml:space="preserve"> </w:t>
      </w:r>
      <w:r w:rsidR="00956933" w:rsidRPr="008762D1">
        <w:rPr>
          <w:color w:val="000000" w:themeColor="text1"/>
        </w:rPr>
        <w:t>l</w:t>
      </w:r>
      <w:r w:rsidR="000C10AE" w:rsidRPr="008762D1">
        <w:rPr>
          <w:color w:val="000000" w:themeColor="text1"/>
        </w:rPr>
        <w:t>os</w:t>
      </w:r>
      <w:r w:rsidR="00956933" w:rsidRPr="008762D1">
        <w:rPr>
          <w:color w:val="000000" w:themeColor="text1"/>
        </w:rPr>
        <w:t xml:space="preserve"> mismo</w:t>
      </w:r>
      <w:r w:rsidR="000C10AE" w:rsidRPr="008762D1">
        <w:rPr>
          <w:color w:val="000000" w:themeColor="text1"/>
        </w:rPr>
        <w:t>s</w:t>
      </w:r>
      <w:r w:rsidR="00956933" w:rsidRPr="008762D1">
        <w:rPr>
          <w:color w:val="000000" w:themeColor="text1"/>
        </w:rPr>
        <w:t xml:space="preserve">. </w:t>
      </w:r>
    </w:p>
    <w:p w14:paraId="5AEA730F" w14:textId="77777777" w:rsidR="000F0B9F" w:rsidRPr="008762D1" w:rsidRDefault="0034341B" w:rsidP="000F0B9F">
      <w:pPr>
        <w:pStyle w:val="IFT1"/>
        <w:tabs>
          <w:tab w:val="left" w:pos="426"/>
        </w:tabs>
        <w:spacing w:before="240" w:after="0"/>
        <w:rPr>
          <w:color w:val="000000" w:themeColor="text1"/>
        </w:rPr>
      </w:pPr>
      <w:r w:rsidRPr="008762D1">
        <w:rPr>
          <w:color w:val="000000" w:themeColor="text1"/>
        </w:rPr>
        <w:t xml:space="preserve">En este sentido, los servicios de conducción de tráfico, enlaces de transmisión, puertos de acceso y señalización se deben prestar de manera recíproca entre la red de Telmex y la red del CS de acuerdo a las condiciones establecidas en el CMI, </w:t>
      </w:r>
      <w:r w:rsidR="00471C08" w:rsidRPr="008762D1">
        <w:rPr>
          <w:color w:val="000000" w:themeColor="text1"/>
        </w:rPr>
        <w:lastRenderedPageBreak/>
        <w:t xml:space="preserve">no obstante, y considerando que los plazos con los cuales Telmex presta los servicios devienen de la regulación asimétrica a la cual se encuentra sujeto, se considera que </w:t>
      </w:r>
      <w:r w:rsidRPr="008762D1">
        <w:rPr>
          <w:color w:val="000000" w:themeColor="text1"/>
        </w:rPr>
        <w:t>los plazos para la prestación de los mismos</w:t>
      </w:r>
      <w:r w:rsidR="00471C08" w:rsidRPr="008762D1">
        <w:rPr>
          <w:color w:val="000000" w:themeColor="text1"/>
        </w:rPr>
        <w:t xml:space="preserve"> por parte del CS deben ser </w:t>
      </w:r>
      <w:r w:rsidR="004B5B33" w:rsidRPr="008762D1">
        <w:rPr>
          <w:color w:val="000000" w:themeColor="text1"/>
        </w:rPr>
        <w:t xml:space="preserve">los establecidos en el Plan de Interconexión o en su defecto </w:t>
      </w:r>
      <w:r w:rsidR="00471C08" w:rsidRPr="008762D1">
        <w:rPr>
          <w:color w:val="000000" w:themeColor="text1"/>
        </w:rPr>
        <w:t>los que las partes al efecto convenga</w:t>
      </w:r>
      <w:r w:rsidR="004B5B33" w:rsidRPr="008762D1">
        <w:rPr>
          <w:color w:val="000000" w:themeColor="text1"/>
        </w:rPr>
        <w:t>n</w:t>
      </w:r>
      <w:r w:rsidRPr="008762D1">
        <w:rPr>
          <w:color w:val="000000" w:themeColor="text1"/>
        </w:rPr>
        <w:t xml:space="preserve">. </w:t>
      </w:r>
    </w:p>
    <w:p w14:paraId="760B489C" w14:textId="77777777" w:rsidR="000F0B9F" w:rsidRPr="008762D1" w:rsidRDefault="00DE44AE" w:rsidP="000F0B9F">
      <w:pPr>
        <w:pStyle w:val="IFT1"/>
        <w:tabs>
          <w:tab w:val="left" w:pos="426"/>
        </w:tabs>
        <w:spacing w:before="240" w:after="0"/>
        <w:rPr>
          <w:color w:val="000000" w:themeColor="text1"/>
        </w:rPr>
      </w:pPr>
      <w:r w:rsidRPr="008762D1">
        <w:rPr>
          <w:color w:val="000000" w:themeColor="text1"/>
        </w:rPr>
        <w:t>Ahora bien</w:t>
      </w:r>
      <w:r w:rsidR="00FF1D15" w:rsidRPr="008762D1">
        <w:rPr>
          <w:color w:val="000000" w:themeColor="text1"/>
        </w:rPr>
        <w:t>,</w:t>
      </w:r>
      <w:r w:rsidR="0034341B" w:rsidRPr="008762D1">
        <w:rPr>
          <w:color w:val="000000" w:themeColor="text1"/>
        </w:rPr>
        <w:t xml:space="preserve"> respecto al servicio de enlaces de transmisión</w:t>
      </w:r>
      <w:r w:rsidR="00FF1D15" w:rsidRPr="008762D1">
        <w:rPr>
          <w:color w:val="000000" w:themeColor="text1"/>
        </w:rPr>
        <w:t xml:space="preserve"> </w:t>
      </w:r>
      <w:proofErr w:type="gramStart"/>
      <w:r w:rsidR="00FF1D15" w:rsidRPr="008762D1">
        <w:rPr>
          <w:color w:val="000000" w:themeColor="text1"/>
        </w:rPr>
        <w:t>el</w:t>
      </w:r>
      <w:proofErr w:type="gramEnd"/>
      <w:r w:rsidR="00FF1D15" w:rsidRPr="008762D1">
        <w:rPr>
          <w:color w:val="000000" w:themeColor="text1"/>
        </w:rPr>
        <w:t xml:space="preserve"> numeral 5.7.2 Realización Física del CMI establece lo siguiente:</w:t>
      </w:r>
    </w:p>
    <w:p w14:paraId="1589AF14" w14:textId="77777777" w:rsidR="000F0B9F" w:rsidRPr="008762D1" w:rsidRDefault="00FF1D15"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b/>
          <w:iCs/>
          <w:color w:val="000000" w:themeColor="text1"/>
          <w:sz w:val="18"/>
          <w:szCs w:val="18"/>
        </w:rPr>
        <w:t>5.7.2 Realización Física.</w:t>
      </w:r>
      <w:r w:rsidRPr="008762D1">
        <w:rPr>
          <w:rFonts w:ascii="ITC Avant Garde" w:eastAsia="Times New Roman" w:hAnsi="ITC Avant Garde" w:cs="Arial"/>
          <w:iCs/>
          <w:color w:val="000000" w:themeColor="text1"/>
          <w:sz w:val="18"/>
          <w:szCs w:val="18"/>
        </w:rPr>
        <w:t xml:space="preserve"> </w:t>
      </w:r>
      <w:r w:rsidRPr="008762D1">
        <w:rPr>
          <w:rFonts w:ascii="ITC Avant Garde" w:eastAsia="Times New Roman" w:hAnsi="ITC Avant Garde" w:cs="Arial"/>
          <w:iCs/>
          <w:color w:val="000000" w:themeColor="text1"/>
          <w:sz w:val="18"/>
          <w:szCs w:val="18"/>
          <w:u w:val="single"/>
        </w:rPr>
        <w:t>Las Partes aceptan y se obligan a que los enlaces dedicados de interconexión entre sus respectivas redes sean realizados físicamente de acuerdo con una de las siguientes opciones</w:t>
      </w:r>
      <w:r w:rsidRPr="008762D1">
        <w:rPr>
          <w:rFonts w:ascii="ITC Avant Garde" w:eastAsia="Times New Roman" w:hAnsi="ITC Avant Garde" w:cs="Arial"/>
          <w:iCs/>
          <w:color w:val="000000" w:themeColor="text1"/>
          <w:sz w:val="18"/>
          <w:szCs w:val="18"/>
        </w:rPr>
        <w:t>:</w:t>
      </w:r>
    </w:p>
    <w:p w14:paraId="64C7397F" w14:textId="77777777" w:rsidR="000F0B9F" w:rsidRPr="008762D1" w:rsidRDefault="00FF1D15"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(i) Opción 1 Enlace Dedicado de Interconexión Unidireccional/Bidireccional:</w:t>
      </w:r>
    </w:p>
    <w:p w14:paraId="6E9C5BC1" w14:textId="77777777" w:rsidR="000F0B9F" w:rsidRPr="008762D1" w:rsidRDefault="00FF1D15"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xml:space="preserve">(a) </w:t>
      </w:r>
      <w:r w:rsidRPr="008762D1">
        <w:rPr>
          <w:rFonts w:ascii="ITC Avant Garde" w:eastAsia="Times New Roman" w:hAnsi="ITC Avant Garde" w:cs="Arial"/>
          <w:iCs/>
          <w:color w:val="000000" w:themeColor="text1"/>
          <w:sz w:val="18"/>
          <w:szCs w:val="18"/>
          <w:u w:val="single"/>
        </w:rPr>
        <w:t>Enlace Dedicado de Interconexión Propio</w:t>
      </w:r>
      <w:r w:rsidRPr="008762D1">
        <w:rPr>
          <w:rFonts w:ascii="ITC Avant Garde" w:eastAsia="Times New Roman" w:hAnsi="ITC Avant Garde" w:cs="Arial"/>
          <w:iCs/>
          <w:color w:val="000000" w:themeColor="text1"/>
          <w:sz w:val="18"/>
          <w:szCs w:val="18"/>
        </w:rPr>
        <w:t xml:space="preserve">. </w:t>
      </w:r>
      <w:r w:rsidRPr="008762D1">
        <w:rPr>
          <w:rFonts w:ascii="ITC Avant Garde" w:eastAsia="Times New Roman" w:hAnsi="ITC Avant Garde" w:cs="Arial"/>
          <w:iCs/>
          <w:color w:val="000000" w:themeColor="text1"/>
          <w:sz w:val="18"/>
          <w:szCs w:val="18"/>
          <w:u w:val="single"/>
        </w:rPr>
        <w:t>Cada una de las Partes instalará su propio Enlace Dedicado de Interconexión</w:t>
      </w:r>
      <w:r w:rsidRPr="008762D1">
        <w:rPr>
          <w:rFonts w:ascii="ITC Avant Garde" w:eastAsia="Times New Roman" w:hAnsi="ITC Avant Garde" w:cs="Arial"/>
          <w:iCs/>
          <w:color w:val="000000" w:themeColor="text1"/>
          <w:sz w:val="18"/>
          <w:szCs w:val="18"/>
        </w:rPr>
        <w:t xml:space="preserve">, mismo que terminará en una </w:t>
      </w:r>
      <w:proofErr w:type="spellStart"/>
      <w:r w:rsidRPr="008762D1">
        <w:rPr>
          <w:rFonts w:ascii="ITC Avant Garde" w:eastAsia="Times New Roman" w:hAnsi="ITC Avant Garde" w:cs="Arial"/>
          <w:iCs/>
          <w:color w:val="000000" w:themeColor="text1"/>
          <w:sz w:val="18"/>
          <w:szCs w:val="18"/>
        </w:rPr>
        <w:t>Coubicación</w:t>
      </w:r>
      <w:proofErr w:type="spellEnd"/>
      <w:r w:rsidRPr="008762D1">
        <w:rPr>
          <w:rFonts w:ascii="ITC Avant Garde" w:eastAsia="Times New Roman" w:hAnsi="ITC Avant Garde" w:cs="Arial"/>
          <w:iCs/>
          <w:color w:val="000000" w:themeColor="text1"/>
          <w:sz w:val="18"/>
          <w:szCs w:val="18"/>
        </w:rPr>
        <w:t xml:space="preserve"> de la otra Parte y, por tanto, la primera de ellas solicitará Servicios de </w:t>
      </w:r>
      <w:proofErr w:type="spellStart"/>
      <w:r w:rsidRPr="008762D1">
        <w:rPr>
          <w:rFonts w:ascii="ITC Avant Garde" w:eastAsia="Times New Roman" w:hAnsi="ITC Avant Garde" w:cs="Arial"/>
          <w:iCs/>
          <w:color w:val="000000" w:themeColor="text1"/>
          <w:sz w:val="18"/>
          <w:szCs w:val="18"/>
        </w:rPr>
        <w:t>Coubicación</w:t>
      </w:r>
      <w:proofErr w:type="spellEnd"/>
      <w:r w:rsidRPr="008762D1">
        <w:rPr>
          <w:rFonts w:ascii="ITC Avant Garde" w:eastAsia="Times New Roman" w:hAnsi="ITC Avant Garde" w:cs="Arial"/>
          <w:iCs/>
          <w:color w:val="000000" w:themeColor="text1"/>
          <w:sz w:val="18"/>
          <w:szCs w:val="18"/>
        </w:rPr>
        <w:t>, en el entendido de que el Enlace dedicado de Interconexión será unidireccional.</w:t>
      </w:r>
    </w:p>
    <w:p w14:paraId="5FB87F50" w14:textId="77777777" w:rsidR="000F0B9F" w:rsidRPr="008762D1" w:rsidRDefault="00FF1D15"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xml:space="preserve">(b) </w:t>
      </w:r>
      <w:r w:rsidRPr="008762D1">
        <w:rPr>
          <w:rFonts w:ascii="ITC Avant Garde" w:eastAsia="Times New Roman" w:hAnsi="ITC Avant Garde" w:cs="Arial"/>
          <w:iCs/>
          <w:color w:val="000000" w:themeColor="text1"/>
          <w:sz w:val="18"/>
          <w:szCs w:val="18"/>
          <w:u w:val="single"/>
        </w:rPr>
        <w:t>Enlace Dedicado de Interconexión bidireccional propio o arrendado</w:t>
      </w:r>
      <w:r w:rsidRPr="008762D1">
        <w:rPr>
          <w:rFonts w:ascii="ITC Avant Garde" w:eastAsia="Times New Roman" w:hAnsi="ITC Avant Garde" w:cs="Arial"/>
          <w:iCs/>
          <w:color w:val="000000" w:themeColor="text1"/>
          <w:sz w:val="18"/>
          <w:szCs w:val="18"/>
        </w:rPr>
        <w:t xml:space="preserve">. </w:t>
      </w:r>
      <w:r w:rsidRPr="008762D1">
        <w:rPr>
          <w:rFonts w:ascii="ITC Avant Garde" w:eastAsia="Times New Roman" w:hAnsi="ITC Avant Garde" w:cs="Arial"/>
          <w:iCs/>
          <w:color w:val="000000" w:themeColor="text1"/>
          <w:sz w:val="18"/>
          <w:szCs w:val="18"/>
          <w:u w:val="single"/>
        </w:rPr>
        <w:t xml:space="preserve">Cada una de las Partes podrá instalar un enlace dedicado de interconexión ya sea propio o arrendado </w:t>
      </w:r>
      <w:r w:rsidRPr="008762D1">
        <w:rPr>
          <w:rFonts w:ascii="ITC Avant Garde" w:eastAsia="Times New Roman" w:hAnsi="ITC Avant Garde" w:cs="Arial"/>
          <w:iCs/>
          <w:color w:val="000000" w:themeColor="text1"/>
          <w:sz w:val="18"/>
          <w:szCs w:val="18"/>
        </w:rPr>
        <w:t xml:space="preserve">mismo que terminará en una </w:t>
      </w:r>
      <w:proofErr w:type="spellStart"/>
      <w:r w:rsidRPr="008762D1">
        <w:rPr>
          <w:rFonts w:ascii="ITC Avant Garde" w:eastAsia="Times New Roman" w:hAnsi="ITC Avant Garde" w:cs="Arial"/>
          <w:iCs/>
          <w:color w:val="000000" w:themeColor="text1"/>
          <w:sz w:val="18"/>
          <w:szCs w:val="18"/>
        </w:rPr>
        <w:t>Coubicación</w:t>
      </w:r>
      <w:proofErr w:type="spellEnd"/>
      <w:r w:rsidRPr="008762D1">
        <w:rPr>
          <w:rFonts w:ascii="ITC Avant Garde" w:eastAsia="Times New Roman" w:hAnsi="ITC Avant Garde" w:cs="Arial"/>
          <w:iCs/>
          <w:color w:val="000000" w:themeColor="text1"/>
          <w:sz w:val="18"/>
          <w:szCs w:val="18"/>
        </w:rPr>
        <w:t xml:space="preserve"> de la otra Parte y, por tanto, la primera de ellas solicitará Servicios de </w:t>
      </w:r>
      <w:proofErr w:type="spellStart"/>
      <w:r w:rsidRPr="008762D1">
        <w:rPr>
          <w:rFonts w:ascii="ITC Avant Garde" w:eastAsia="Times New Roman" w:hAnsi="ITC Avant Garde" w:cs="Arial"/>
          <w:iCs/>
          <w:color w:val="000000" w:themeColor="text1"/>
          <w:sz w:val="18"/>
          <w:szCs w:val="18"/>
        </w:rPr>
        <w:t>Coubicación</w:t>
      </w:r>
      <w:proofErr w:type="spellEnd"/>
      <w:r w:rsidRPr="008762D1">
        <w:rPr>
          <w:rFonts w:ascii="ITC Avant Garde" w:eastAsia="Times New Roman" w:hAnsi="ITC Avant Garde" w:cs="Arial"/>
          <w:iCs/>
          <w:color w:val="000000" w:themeColor="text1"/>
          <w:sz w:val="18"/>
          <w:szCs w:val="18"/>
        </w:rPr>
        <w:t>, en el entendido de que el enlace dedicado de interconexión podrá ser bidireccional.</w:t>
      </w:r>
    </w:p>
    <w:p w14:paraId="4D9D5FAF" w14:textId="7F78FE16" w:rsidR="00FF1D15" w:rsidRPr="008762D1" w:rsidRDefault="00FF1D15"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xml:space="preserve">(c) </w:t>
      </w:r>
      <w:r w:rsidRPr="008762D1">
        <w:rPr>
          <w:rFonts w:ascii="ITC Avant Garde" w:eastAsia="Times New Roman" w:hAnsi="ITC Avant Garde" w:cs="Arial"/>
          <w:iCs/>
          <w:color w:val="000000" w:themeColor="text1"/>
          <w:sz w:val="18"/>
          <w:szCs w:val="18"/>
          <w:u w:val="single"/>
        </w:rPr>
        <w:t>Enlace Dedicado de Interconexión proporcionado por un Tercero</w:t>
      </w:r>
      <w:r w:rsidRPr="008762D1">
        <w:rPr>
          <w:rFonts w:ascii="ITC Avant Garde" w:eastAsia="Times New Roman" w:hAnsi="ITC Avant Garde" w:cs="Arial"/>
          <w:iCs/>
          <w:color w:val="000000" w:themeColor="text1"/>
          <w:sz w:val="18"/>
          <w:szCs w:val="18"/>
        </w:rPr>
        <w:t xml:space="preserve">. </w:t>
      </w:r>
      <w:r w:rsidRPr="008762D1">
        <w:rPr>
          <w:rFonts w:ascii="ITC Avant Garde" w:eastAsia="Times New Roman" w:hAnsi="ITC Avant Garde" w:cs="Arial"/>
          <w:iCs/>
          <w:color w:val="000000" w:themeColor="text1"/>
          <w:sz w:val="18"/>
          <w:szCs w:val="18"/>
          <w:u w:val="single"/>
        </w:rPr>
        <w:t>Cada una de las Partes podrá solicitar a un tercero que le proporcione el enlace dedicado de interconexión</w:t>
      </w:r>
      <w:r w:rsidRPr="008762D1">
        <w:rPr>
          <w:rFonts w:ascii="ITC Avant Garde" w:eastAsia="Times New Roman" w:hAnsi="ITC Avant Garde" w:cs="Arial"/>
          <w:iCs/>
          <w:color w:val="000000" w:themeColor="text1"/>
          <w:sz w:val="18"/>
          <w:szCs w:val="18"/>
        </w:rPr>
        <w:t xml:space="preserve">. </w:t>
      </w:r>
    </w:p>
    <w:p w14:paraId="296C9990" w14:textId="77777777" w:rsidR="00FF1D15" w:rsidRPr="008762D1" w:rsidRDefault="00FF1D15"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p>
    <w:p w14:paraId="69C64782" w14:textId="7AF24982" w:rsidR="00FF1D15" w:rsidRPr="008762D1" w:rsidRDefault="00FF1D15"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xml:space="preserve">(ii) Opción 2 Servicios de Enlace Dedicado de Interconexión Entre las Partes. </w:t>
      </w:r>
      <w:r w:rsidR="008762D1" w:rsidRPr="008762D1">
        <w:rPr>
          <w:rFonts w:cs="Arial"/>
          <w:b/>
          <w:color w:val="0000FF"/>
        </w:rPr>
        <w:t>(…)</w:t>
      </w:r>
      <w:r w:rsidRPr="008762D1">
        <w:rPr>
          <w:rFonts w:ascii="ITC Avant Garde" w:eastAsia="Times New Roman" w:hAnsi="ITC Avant Garde" w:cs="Arial"/>
          <w:iCs/>
          <w:color w:val="000000" w:themeColor="text1"/>
          <w:sz w:val="18"/>
          <w:szCs w:val="18"/>
        </w:rPr>
        <w:t xml:space="preserve"> </w:t>
      </w:r>
      <w:r w:rsidRPr="008762D1">
        <w:rPr>
          <w:rFonts w:ascii="ITC Avant Garde" w:eastAsia="Times New Roman" w:hAnsi="ITC Avant Garde" w:cs="Arial"/>
          <w:iCs/>
          <w:color w:val="000000" w:themeColor="text1"/>
          <w:sz w:val="18"/>
          <w:szCs w:val="18"/>
          <w:u w:val="single"/>
        </w:rPr>
        <w:t>podrá solicitar a Telmex</w:t>
      </w:r>
      <w:r w:rsidRPr="008762D1">
        <w:rPr>
          <w:rFonts w:ascii="ITC Avant Garde" w:eastAsia="Times New Roman" w:hAnsi="ITC Avant Garde" w:cs="Arial"/>
          <w:iCs/>
          <w:color w:val="000000" w:themeColor="text1"/>
          <w:sz w:val="18"/>
          <w:szCs w:val="18"/>
        </w:rPr>
        <w:t xml:space="preserve">, en los términos del presente Convenio y sus Anexos, los Enlaces Dedicados de Interconexión que forman parte de los Servicios de Interconexión para lo cual no se requerirá solicitar Servicios de </w:t>
      </w:r>
      <w:proofErr w:type="spellStart"/>
      <w:r w:rsidRPr="008762D1">
        <w:rPr>
          <w:rFonts w:ascii="ITC Avant Garde" w:eastAsia="Times New Roman" w:hAnsi="ITC Avant Garde" w:cs="Arial"/>
          <w:iCs/>
          <w:color w:val="000000" w:themeColor="text1"/>
          <w:sz w:val="18"/>
          <w:szCs w:val="18"/>
        </w:rPr>
        <w:t>Coubicación</w:t>
      </w:r>
      <w:proofErr w:type="spellEnd"/>
      <w:r w:rsidRPr="008762D1">
        <w:rPr>
          <w:rFonts w:ascii="ITC Avant Garde" w:eastAsia="Times New Roman" w:hAnsi="ITC Avant Garde" w:cs="Arial"/>
          <w:iCs/>
          <w:color w:val="000000" w:themeColor="text1"/>
          <w:sz w:val="18"/>
          <w:szCs w:val="18"/>
        </w:rPr>
        <w:t>.”</w:t>
      </w:r>
    </w:p>
    <w:p w14:paraId="41AEE38E" w14:textId="77777777" w:rsidR="000F0B9F" w:rsidRPr="008762D1" w:rsidRDefault="00FF1D15"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150E16BD" w14:textId="77777777" w:rsidR="000F0B9F" w:rsidRPr="008762D1" w:rsidRDefault="00FF1D15" w:rsidP="000F0B9F">
      <w:pPr>
        <w:pStyle w:val="IFT1"/>
        <w:tabs>
          <w:tab w:val="left" w:pos="426"/>
        </w:tabs>
        <w:spacing w:before="240" w:after="0"/>
        <w:rPr>
          <w:color w:val="000000" w:themeColor="text1"/>
        </w:rPr>
      </w:pPr>
      <w:r w:rsidRPr="008762D1">
        <w:rPr>
          <w:color w:val="000000" w:themeColor="text1"/>
        </w:rPr>
        <w:t xml:space="preserve">De lo cual se observa que </w:t>
      </w:r>
      <w:r w:rsidR="0034341B" w:rsidRPr="008762D1">
        <w:rPr>
          <w:color w:val="000000" w:themeColor="text1"/>
        </w:rPr>
        <w:t>en</w:t>
      </w:r>
      <w:r w:rsidRPr="008762D1">
        <w:rPr>
          <w:color w:val="000000" w:themeColor="text1"/>
        </w:rPr>
        <w:t xml:space="preserve"> la opción consistente en un Enlace Dedicado de Interconexión Unidireccional/Bidireccional cada Parte deberá instalar su propio Enlace Dedicado de Interconexión ya sea propio o proporcionado por un tercero. </w:t>
      </w:r>
    </w:p>
    <w:p w14:paraId="67950B1C" w14:textId="77777777" w:rsidR="000F0B9F" w:rsidRPr="008762D1" w:rsidRDefault="00FF1D15" w:rsidP="000F0B9F">
      <w:pPr>
        <w:pStyle w:val="IFT1"/>
        <w:tabs>
          <w:tab w:val="left" w:pos="426"/>
        </w:tabs>
        <w:spacing w:before="240" w:after="0"/>
        <w:rPr>
          <w:color w:val="000000" w:themeColor="text1"/>
        </w:rPr>
      </w:pPr>
      <w:r w:rsidRPr="008762D1">
        <w:rPr>
          <w:color w:val="000000" w:themeColor="text1"/>
        </w:rPr>
        <w:t xml:space="preserve">Asimismo, de acuerdo a lo señalado en la opción 2, el CS podrá solicitar a Telmex los Enlaces Dedicados que requiera para el intercambio de tráfico con la red de Telmex en términos del Anexo G. </w:t>
      </w:r>
    </w:p>
    <w:p w14:paraId="0D785DBE" w14:textId="77777777" w:rsidR="000F0B9F" w:rsidRPr="008762D1" w:rsidRDefault="00FF1D15" w:rsidP="000F0B9F">
      <w:pPr>
        <w:pStyle w:val="IFT1"/>
        <w:tabs>
          <w:tab w:val="left" w:pos="426"/>
        </w:tabs>
        <w:spacing w:before="240" w:after="0"/>
        <w:rPr>
          <w:color w:val="000000" w:themeColor="text1"/>
        </w:rPr>
      </w:pPr>
      <w:r w:rsidRPr="008762D1">
        <w:rPr>
          <w:color w:val="000000" w:themeColor="text1"/>
        </w:rPr>
        <w:lastRenderedPageBreak/>
        <w:t xml:space="preserve">Es así que, de las condiciones señaladas en la realización física de la interconexión, el CS podrá solicitar a Telmex o a un tercero la provisión del enlace dedicado de interconexión necesario para el intercambio de tráfico con la red de Telmex, y a su vez Telmex podrá solicitar la provisión del enlace dedicado </w:t>
      </w:r>
      <w:r w:rsidR="0034341B" w:rsidRPr="008762D1">
        <w:rPr>
          <w:color w:val="000000" w:themeColor="text1"/>
        </w:rPr>
        <w:t>para e</w:t>
      </w:r>
      <w:r w:rsidRPr="008762D1">
        <w:rPr>
          <w:color w:val="000000" w:themeColor="text1"/>
        </w:rPr>
        <w:t>l</w:t>
      </w:r>
      <w:r w:rsidR="0034341B" w:rsidRPr="008762D1">
        <w:rPr>
          <w:color w:val="000000" w:themeColor="text1"/>
        </w:rPr>
        <w:t xml:space="preserve"> </w:t>
      </w:r>
      <w:r w:rsidRPr="008762D1">
        <w:rPr>
          <w:color w:val="000000" w:themeColor="text1"/>
        </w:rPr>
        <w:t>intercambio de tráfico con dicho concesionarios a un tercero y no así al CS.</w:t>
      </w:r>
    </w:p>
    <w:p w14:paraId="6B1CE645" w14:textId="77777777" w:rsidR="000F0B9F" w:rsidRPr="008762D1" w:rsidRDefault="00FF1D15" w:rsidP="000F0B9F">
      <w:pPr>
        <w:pStyle w:val="IFT1"/>
        <w:tabs>
          <w:tab w:val="left" w:pos="426"/>
        </w:tabs>
        <w:spacing w:before="240" w:after="0"/>
        <w:rPr>
          <w:color w:val="000000" w:themeColor="text1"/>
        </w:rPr>
      </w:pPr>
      <w:r w:rsidRPr="008762D1">
        <w:rPr>
          <w:color w:val="000000" w:themeColor="text1"/>
        </w:rPr>
        <w:t xml:space="preserve">En este sentido, </w:t>
      </w:r>
      <w:r w:rsidR="00714F80" w:rsidRPr="008762D1">
        <w:rPr>
          <w:color w:val="000000" w:themeColor="text1"/>
        </w:rPr>
        <w:t>no es posible establecer los mismos plazos para la prestación del servicio de enlaces de transmisión ya que, dicho servicio no será proporcionado por el CS al AEP.</w:t>
      </w:r>
    </w:p>
    <w:p w14:paraId="70EF3159" w14:textId="77777777" w:rsidR="000F0B9F" w:rsidRPr="008762D1" w:rsidRDefault="008B4F3D" w:rsidP="000F0B9F">
      <w:pPr>
        <w:pStyle w:val="IFT1"/>
        <w:tabs>
          <w:tab w:val="left" w:pos="426"/>
        </w:tabs>
        <w:spacing w:before="240" w:after="0"/>
        <w:rPr>
          <w:color w:val="000000" w:themeColor="text1"/>
        </w:rPr>
      </w:pPr>
      <w:r w:rsidRPr="008762D1">
        <w:rPr>
          <w:color w:val="000000" w:themeColor="text1"/>
        </w:rPr>
        <w:t>C</w:t>
      </w:r>
      <w:r w:rsidR="00714F80" w:rsidRPr="008762D1">
        <w:rPr>
          <w:color w:val="000000" w:themeColor="text1"/>
        </w:rPr>
        <w:t xml:space="preserve">onsiderando lo establecido en el numeral 5.7.2 Realización Física así como las manifestaciones realizadas por Telmex se </w:t>
      </w:r>
      <w:r w:rsidR="00493912" w:rsidRPr="008762D1">
        <w:rPr>
          <w:color w:val="000000" w:themeColor="text1"/>
        </w:rPr>
        <w:t xml:space="preserve">modifica </w:t>
      </w:r>
      <w:r w:rsidR="00714F80" w:rsidRPr="008762D1">
        <w:rPr>
          <w:color w:val="000000" w:themeColor="text1"/>
        </w:rPr>
        <w:t>el párrafo en comento en el siguiente sentido:</w:t>
      </w:r>
    </w:p>
    <w:p w14:paraId="305683EF" w14:textId="4EBAD7A2" w:rsidR="00714F80" w:rsidRPr="008762D1" w:rsidRDefault="00714F80" w:rsidP="000F0B9F">
      <w:pPr>
        <w:autoSpaceDE w:val="0"/>
        <w:autoSpaceDN w:val="0"/>
        <w:adjustRightInd w:val="0"/>
        <w:spacing w:before="240"/>
        <w:ind w:left="567" w:right="567"/>
        <w:jc w:val="both"/>
        <w:rPr>
          <w:rFonts w:cs="Arial"/>
          <w:color w:val="000000" w:themeColor="text1"/>
          <w:sz w:val="18"/>
          <w:szCs w:val="18"/>
        </w:rPr>
      </w:pPr>
      <w:r w:rsidRPr="008762D1">
        <w:rPr>
          <w:rFonts w:ascii="ITC Avant Garde" w:hAnsi="ITC Avant Garde" w:cs="Arial"/>
          <w:color w:val="000000" w:themeColor="text1"/>
          <w:sz w:val="18"/>
          <w:szCs w:val="18"/>
        </w:rPr>
        <w:t xml:space="preserve">“El concesionario solicitante deberá proveer los servicios de Interconexión </w:t>
      </w:r>
      <w:r w:rsidRPr="008762D1">
        <w:rPr>
          <w:rFonts w:ascii="ITC Avant Garde" w:hAnsi="ITC Avant Garde" w:cs="Arial"/>
          <w:color w:val="000000" w:themeColor="text1"/>
          <w:sz w:val="18"/>
          <w:szCs w:val="18"/>
          <w:u w:val="single"/>
        </w:rPr>
        <w:t xml:space="preserve">de conducción de tráfico, puertos de acceso y señalización </w:t>
      </w:r>
      <w:r w:rsidRPr="008762D1">
        <w:rPr>
          <w:rFonts w:ascii="ITC Avant Garde" w:hAnsi="ITC Avant Garde" w:cs="Arial"/>
          <w:color w:val="000000" w:themeColor="text1"/>
          <w:sz w:val="18"/>
          <w:szCs w:val="18"/>
        </w:rPr>
        <w:t xml:space="preserve">solicitados por Telmex, en los plazos establecidos en el </w:t>
      </w:r>
      <w:r w:rsidR="008B4F3D" w:rsidRPr="008762D1">
        <w:rPr>
          <w:rFonts w:ascii="ITC Avant Garde" w:hAnsi="ITC Avant Garde" w:cs="Arial"/>
          <w:color w:val="000000" w:themeColor="text1"/>
          <w:sz w:val="18"/>
          <w:szCs w:val="18"/>
        </w:rPr>
        <w:t xml:space="preserve">Plan de Interconexión o los que las partes convengan en el </w:t>
      </w:r>
      <w:r w:rsidRPr="008762D1">
        <w:rPr>
          <w:rFonts w:ascii="ITC Avant Garde" w:hAnsi="ITC Avant Garde" w:cs="Arial"/>
          <w:color w:val="000000" w:themeColor="text1"/>
          <w:sz w:val="18"/>
          <w:szCs w:val="18"/>
        </w:rPr>
        <w:t>presente Convenio, a fin de poder establecer la interconexión e interoperabilidad entre las redes.”</w:t>
      </w:r>
    </w:p>
    <w:p w14:paraId="2CD602F0" w14:textId="77777777" w:rsidR="000F0B9F" w:rsidRPr="008762D1" w:rsidRDefault="00714F80"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68942847" w14:textId="77777777" w:rsidR="000F0B9F" w:rsidRPr="008762D1" w:rsidRDefault="003A3F4F" w:rsidP="000F0B9F">
      <w:pPr>
        <w:pStyle w:val="IFT1"/>
        <w:numPr>
          <w:ilvl w:val="2"/>
          <w:numId w:val="9"/>
        </w:numPr>
        <w:tabs>
          <w:tab w:val="left" w:pos="426"/>
        </w:tabs>
        <w:spacing w:before="240" w:after="0"/>
        <w:ind w:left="567" w:hanging="567"/>
        <w:rPr>
          <w:b/>
          <w:color w:val="000000" w:themeColor="text1"/>
        </w:rPr>
      </w:pPr>
      <w:r w:rsidRPr="008762D1">
        <w:rPr>
          <w:rFonts w:cs="Arial"/>
          <w:b/>
          <w:color w:val="000000" w:themeColor="text1"/>
        </w:rPr>
        <w:t>SOLICITUDES DE SERVICIO</w:t>
      </w:r>
      <w:r w:rsidR="00BB3F9C" w:rsidRPr="008762D1">
        <w:rPr>
          <w:rFonts w:cs="Arial"/>
          <w:b/>
          <w:color w:val="000000" w:themeColor="text1"/>
        </w:rPr>
        <w:t>.</w:t>
      </w:r>
    </w:p>
    <w:p w14:paraId="0902F5F2" w14:textId="293B7214" w:rsidR="00A4743A" w:rsidRPr="008762D1" w:rsidRDefault="00A4743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49751737" w14:textId="77777777" w:rsidR="000F0B9F" w:rsidRPr="008762D1" w:rsidRDefault="0003085A" w:rsidP="000F0B9F">
      <w:pPr>
        <w:pStyle w:val="IFT1"/>
        <w:tabs>
          <w:tab w:val="left" w:pos="426"/>
        </w:tabs>
        <w:spacing w:before="240" w:after="0"/>
        <w:rPr>
          <w:color w:val="000000" w:themeColor="text1"/>
        </w:rPr>
      </w:pPr>
      <w:r w:rsidRPr="008762D1">
        <w:rPr>
          <w:color w:val="000000" w:themeColor="text1"/>
        </w:rPr>
        <w:t xml:space="preserve">Del análisis de la Cláusula 2.4 de la Propuesta de CMI se observó que el contenido de la misma </w:t>
      </w:r>
      <w:r w:rsidRPr="008762D1">
        <w:rPr>
          <w:rFonts w:cs="Arial"/>
          <w:color w:val="000000" w:themeColor="text1"/>
        </w:rPr>
        <w:t>no se apegaba a</w:t>
      </w:r>
      <w:r w:rsidRPr="008762D1">
        <w:rPr>
          <w:color w:val="000000" w:themeColor="text1"/>
        </w:rPr>
        <w:t xml:space="preserve"> los términos y condiciones </w:t>
      </w:r>
      <w:r w:rsidR="00B8702D" w:rsidRPr="008762D1">
        <w:rPr>
          <w:bCs/>
          <w:color w:val="000000" w:themeColor="text1"/>
        </w:rPr>
        <w:t>establecidos en el CMI 2017</w:t>
      </w:r>
      <w:r w:rsidR="00493912" w:rsidRPr="008762D1">
        <w:rPr>
          <w:bCs/>
          <w:color w:val="000000" w:themeColor="text1"/>
        </w:rPr>
        <w:t xml:space="preserve"> </w:t>
      </w:r>
      <w:r w:rsidRPr="008762D1">
        <w:rPr>
          <w:color w:val="000000" w:themeColor="text1"/>
        </w:rPr>
        <w:t xml:space="preserve">autorizado mediante Acuerdo </w:t>
      </w:r>
      <w:r w:rsidRPr="008762D1">
        <w:rPr>
          <w:rFonts w:cs="Arial"/>
          <w:bCs/>
          <w:color w:val="000000" w:themeColor="text1"/>
          <w:lang w:eastAsia="es-ES"/>
        </w:rPr>
        <w:t xml:space="preserve">P/IFT/EXT/241116/40 </w:t>
      </w:r>
      <w:r w:rsidRPr="008762D1">
        <w:rPr>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regulación; el Instituto no consideró procedente que en una revisión posterior del convenio marco de interconexión se plantearan términos y condiciones menos favorables que los ya autorizados por el Instituto.</w:t>
      </w:r>
    </w:p>
    <w:p w14:paraId="5C51C6A4" w14:textId="77777777" w:rsidR="000F0B9F" w:rsidRPr="008762D1" w:rsidRDefault="00410B1A"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Es así que el Instituto </w:t>
      </w:r>
      <w:r w:rsidR="0003085A" w:rsidRPr="008762D1">
        <w:rPr>
          <w:rFonts w:ascii="ITC Avant Garde" w:hAnsi="ITC Avant Garde"/>
          <w:color w:val="000000" w:themeColor="text1"/>
        </w:rPr>
        <w:t>modificó la redacción de</w:t>
      </w:r>
      <w:r w:rsidR="00B8702D" w:rsidRPr="008762D1">
        <w:rPr>
          <w:rFonts w:ascii="ITC Avant Garde" w:hAnsi="ITC Avant Garde"/>
          <w:color w:val="000000" w:themeColor="text1"/>
        </w:rPr>
        <w:t xml:space="preserve"> la Cláusula 2.4</w:t>
      </w:r>
      <w:r w:rsidR="0003085A" w:rsidRPr="008762D1">
        <w:rPr>
          <w:rFonts w:ascii="ITC Avant Garde" w:hAnsi="ITC Avant Garde"/>
          <w:color w:val="000000" w:themeColor="text1"/>
        </w:rPr>
        <w:t xml:space="preserve"> a efecto de precisar que la alternativa de interconexión que el AEP proporcione en casos de que la </w:t>
      </w:r>
      <w:r w:rsidR="00B5580E" w:rsidRPr="008762D1">
        <w:rPr>
          <w:rFonts w:ascii="ITC Avant Garde" w:hAnsi="ITC Avant Garde"/>
          <w:color w:val="000000" w:themeColor="text1"/>
        </w:rPr>
        <w:t>solicitud</w:t>
      </w:r>
      <w:r w:rsidR="0003085A" w:rsidRPr="008762D1">
        <w:rPr>
          <w:rFonts w:ascii="ITC Avant Garde" w:hAnsi="ITC Avant Garde"/>
          <w:color w:val="000000" w:themeColor="text1"/>
        </w:rPr>
        <w:t xml:space="preserve"> de servicio de interconexión no pueda ser atendida por falta de capacidad, </w:t>
      </w:r>
      <w:r w:rsidR="00B8702D" w:rsidRPr="008762D1">
        <w:rPr>
          <w:rFonts w:ascii="ITC Avant Garde" w:hAnsi="ITC Avant Garde"/>
          <w:color w:val="000000" w:themeColor="text1"/>
        </w:rPr>
        <w:t>la misma debe</w:t>
      </w:r>
      <w:r w:rsidR="0003085A" w:rsidRPr="008762D1">
        <w:rPr>
          <w:rFonts w:ascii="ITC Avant Garde" w:hAnsi="ITC Avant Garde"/>
          <w:color w:val="000000" w:themeColor="text1"/>
        </w:rPr>
        <w:t xml:space="preserve"> ser viable y en condiciones de ser utilizada en el plazo máximo de 20 días hábiles a efecto de evitar retrasos en la realización de la interconexión proporcionando el servicio de interconexión en plazos ciertos incluso en aquellos casos en los que existe saturación o falta de capacidad en un punto de interconexión, lo anterior máxime que el AEP está obligado a ofrecer los </w:t>
      </w:r>
      <w:r w:rsidR="0003085A" w:rsidRPr="008762D1">
        <w:rPr>
          <w:rFonts w:ascii="ITC Avant Garde" w:hAnsi="ITC Avant Garde"/>
          <w:color w:val="000000" w:themeColor="text1"/>
        </w:rPr>
        <w:lastRenderedPageBreak/>
        <w:t>servicios de interconexión de conformidad con el Anexo E Calidad</w:t>
      </w:r>
      <w:r w:rsidR="002D6A72" w:rsidRPr="008762D1">
        <w:rPr>
          <w:rFonts w:ascii="ITC Avant Garde" w:hAnsi="ITC Avant Garde"/>
          <w:color w:val="000000" w:themeColor="text1"/>
        </w:rPr>
        <w:t xml:space="preserve">, </w:t>
      </w:r>
      <w:r w:rsidR="0080787F" w:rsidRPr="008762D1">
        <w:rPr>
          <w:rFonts w:ascii="ITC Avant Garde" w:hAnsi="ITC Avant Garde"/>
          <w:color w:val="000000" w:themeColor="text1"/>
        </w:rPr>
        <w:t xml:space="preserve">lo </w:t>
      </w:r>
      <w:r w:rsidR="00B8702D" w:rsidRPr="008762D1">
        <w:rPr>
          <w:rFonts w:ascii="ITC Avant Garde" w:hAnsi="ITC Avant Garde"/>
          <w:color w:val="000000" w:themeColor="text1"/>
        </w:rPr>
        <w:t>cual</w:t>
      </w:r>
      <w:r w:rsidR="0080787F" w:rsidRPr="008762D1">
        <w:rPr>
          <w:rFonts w:ascii="ITC Avant Garde" w:hAnsi="ITC Avant Garde"/>
          <w:color w:val="000000" w:themeColor="text1"/>
        </w:rPr>
        <w:t xml:space="preserve"> quedó reflejado </w:t>
      </w:r>
      <w:r w:rsidR="002D6A72" w:rsidRPr="008762D1">
        <w:rPr>
          <w:rFonts w:ascii="ITC Avant Garde" w:hAnsi="ITC Avant Garde"/>
          <w:color w:val="000000" w:themeColor="text1"/>
        </w:rPr>
        <w:t>en los siguientes términos:</w:t>
      </w:r>
    </w:p>
    <w:p w14:paraId="6CFA88B0" w14:textId="006A283F" w:rsidR="002D6A72" w:rsidRPr="008762D1" w:rsidRDefault="002D6A72"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xml:space="preserve">“(…) Cuando una Solicitud de Servicio de Interconexión que no pueda ser atendida en un Punto de Interconexión solicitado por </w:t>
      </w:r>
      <w:r w:rsidR="008762D1" w:rsidRPr="008762D1">
        <w:rPr>
          <w:rFonts w:cs="Arial"/>
          <w:b/>
          <w:color w:val="0000FF"/>
        </w:rPr>
        <w:t>(…)</w:t>
      </w:r>
      <w:r w:rsidR="008762D1">
        <w:rPr>
          <w:rFonts w:cs="Arial"/>
          <w:b/>
          <w:color w:val="0000FF"/>
        </w:rPr>
        <w:t xml:space="preserve"> </w:t>
      </w:r>
      <w:r w:rsidRPr="008762D1">
        <w:rPr>
          <w:rFonts w:ascii="ITC Avant Garde" w:eastAsia="Times New Roman" w:hAnsi="ITC Avant Garde" w:cs="Arial"/>
          <w:iCs/>
          <w:color w:val="000000" w:themeColor="text1"/>
          <w:sz w:val="18"/>
          <w:szCs w:val="18"/>
        </w:rPr>
        <w:t xml:space="preserve">por falta de capacidad, será responsabilidad de Telmex ofrecer a </w:t>
      </w:r>
      <w:r w:rsidR="008762D1" w:rsidRPr="008762D1">
        <w:rPr>
          <w:rFonts w:cs="Arial"/>
          <w:b/>
          <w:color w:val="0000FF"/>
        </w:rPr>
        <w:t>(…)</w:t>
      </w:r>
      <w:r w:rsidR="008762D1">
        <w:rPr>
          <w:rFonts w:cs="Arial"/>
          <w:b/>
          <w:color w:val="0000FF"/>
        </w:rPr>
        <w:t xml:space="preserve"> </w:t>
      </w:r>
      <w:r w:rsidRPr="008762D1">
        <w:rPr>
          <w:rFonts w:ascii="ITC Avant Garde" w:eastAsia="Times New Roman" w:hAnsi="ITC Avant Garde" w:cs="Arial"/>
          <w:iCs/>
          <w:color w:val="000000" w:themeColor="text1"/>
          <w:sz w:val="18"/>
          <w:szCs w:val="18"/>
        </w:rPr>
        <w:t xml:space="preserve">en un plazo no mayor a 20 días hábiles contados a partir de la fecha de recepción de la solicitud respectiva, una alternativa de Interconexión viable, </w:t>
      </w:r>
      <w:r w:rsidRPr="008762D1">
        <w:rPr>
          <w:rFonts w:ascii="ITC Avant Garde" w:eastAsia="Times New Roman" w:hAnsi="ITC Avant Garde" w:cs="Arial"/>
          <w:iCs/>
          <w:color w:val="000000" w:themeColor="text1"/>
          <w:sz w:val="18"/>
          <w:szCs w:val="18"/>
          <w:u w:val="single"/>
        </w:rPr>
        <w:t>es decir que la infraestructura se encuentre lista y en operación</w:t>
      </w:r>
      <w:r w:rsidRPr="008762D1">
        <w:rPr>
          <w:rFonts w:ascii="ITC Avant Garde" w:eastAsia="Times New Roman" w:hAnsi="ITC Avant Garde" w:cs="Arial"/>
          <w:iCs/>
          <w:color w:val="000000" w:themeColor="text1"/>
          <w:sz w:val="18"/>
          <w:szCs w:val="18"/>
        </w:rPr>
        <w:t xml:space="preserve"> y que cumpla con las obligaciones previstas en el presente Convenio sin que esto resulte en un costo adicional o diferenciado para su establecimiento, ya sea en la instalación de enlaces o en la prestación de los Servicios de Interconexión, es decir, no implicará ningún tipo de proyecto especial, acondicionamiento o cargo adicional a </w:t>
      </w:r>
      <w:r w:rsidR="008762D1" w:rsidRPr="008762D1">
        <w:rPr>
          <w:rFonts w:cs="Arial"/>
          <w:b/>
          <w:color w:val="0000FF"/>
        </w:rPr>
        <w:t>(…)</w:t>
      </w:r>
      <w:r w:rsidR="008762D1">
        <w:rPr>
          <w:rFonts w:cs="Arial"/>
          <w:b/>
          <w:color w:val="0000FF"/>
        </w:rPr>
        <w:t xml:space="preserve"> </w:t>
      </w:r>
      <w:r w:rsidRPr="008762D1">
        <w:rPr>
          <w:rFonts w:ascii="ITC Avant Garde" w:eastAsia="Times New Roman" w:hAnsi="ITC Avant Garde" w:cs="Arial"/>
          <w:iCs/>
          <w:color w:val="000000" w:themeColor="text1"/>
          <w:sz w:val="18"/>
          <w:szCs w:val="18"/>
        </w:rPr>
        <w:t>al momento de acceder por sus medios propios o arrendados al punto de interconexión alternativo, lo anterior, en el entendido de que:</w:t>
      </w:r>
    </w:p>
    <w:p w14:paraId="625AB9E7" w14:textId="239A9855" w:rsidR="002D6A72" w:rsidRPr="008762D1" w:rsidRDefault="008762D1" w:rsidP="000F0B9F">
      <w:pPr>
        <w:tabs>
          <w:tab w:val="right" w:pos="8222"/>
        </w:tabs>
        <w:spacing w:before="240" w:after="0" w:line="276" w:lineRule="auto"/>
        <w:ind w:left="567" w:right="567"/>
        <w:jc w:val="both"/>
        <w:rPr>
          <w:rFonts w:ascii="ITC Avant Garde" w:eastAsia="Times New Roman" w:hAnsi="ITC Avant Garde" w:cs="Arial"/>
          <w:iCs/>
          <w:color w:val="000000" w:themeColor="text1"/>
          <w:sz w:val="18"/>
          <w:szCs w:val="18"/>
        </w:rPr>
      </w:pPr>
      <w:r>
        <w:rPr>
          <w:rFonts w:ascii="ITC Avant Garde" w:eastAsia="Times New Roman" w:hAnsi="ITC Avant Garde" w:cs="Arial"/>
          <w:iCs/>
          <w:color w:val="000000" w:themeColor="text1"/>
          <w:sz w:val="18"/>
          <w:szCs w:val="18"/>
        </w:rPr>
        <w:t>(…)”</w:t>
      </w:r>
    </w:p>
    <w:p w14:paraId="1AD5CE97" w14:textId="77777777" w:rsidR="000F0B9F" w:rsidRPr="008762D1" w:rsidRDefault="002D6A72"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4F9E27AB" w14:textId="483E587F" w:rsidR="007B2362" w:rsidRPr="008762D1" w:rsidRDefault="007B236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536164C8" w14:textId="77777777" w:rsidR="000F0B9F" w:rsidRPr="008762D1" w:rsidRDefault="00722C2E"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presentó el numeral 2.4 de la Cláusula Segunda en los términos </w:t>
      </w:r>
      <w:r w:rsidR="002D6A72" w:rsidRPr="008762D1">
        <w:rPr>
          <w:rFonts w:ascii="ITC Avant Garde" w:eastAsia="Times New Roman" w:hAnsi="ITC Avant Garde" w:cs="Arial"/>
          <w:iCs/>
          <w:color w:val="000000" w:themeColor="text1"/>
        </w:rPr>
        <w:t>señalados en el Acuerdo.</w:t>
      </w:r>
    </w:p>
    <w:p w14:paraId="23017953" w14:textId="17633127" w:rsidR="007B2362" w:rsidRPr="008762D1" w:rsidRDefault="007B236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A9828A1" w14:textId="77777777" w:rsidR="002D6A72" w:rsidRPr="008762D1" w:rsidRDefault="002D6A72"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Al respecto se señala que la precisión realizada es acorde al plazo establecido en la </w:t>
      </w:r>
      <w:r w:rsidR="00722C2E" w:rsidRPr="008762D1">
        <w:rPr>
          <w:rFonts w:ascii="ITC Avant Garde" w:hAnsi="ITC Avant Garde"/>
          <w:color w:val="000000" w:themeColor="text1"/>
        </w:rPr>
        <w:t>Medida Undécima de las Medidas Fijas</w:t>
      </w:r>
      <w:r w:rsidRPr="008762D1">
        <w:rPr>
          <w:rFonts w:ascii="ITC Avant Garde" w:hAnsi="ITC Avant Garde"/>
          <w:color w:val="000000" w:themeColor="text1"/>
        </w:rPr>
        <w:t xml:space="preserve">, asimismo es congruente con los plazos </w:t>
      </w:r>
      <w:r w:rsidR="0080787F" w:rsidRPr="008762D1">
        <w:rPr>
          <w:rFonts w:ascii="ITC Avant Garde" w:hAnsi="ITC Avant Garde"/>
          <w:color w:val="000000" w:themeColor="text1"/>
        </w:rPr>
        <w:t xml:space="preserve">para la prestación de los servicios de interconexión </w:t>
      </w:r>
      <w:r w:rsidR="00EB6342" w:rsidRPr="008762D1">
        <w:rPr>
          <w:rFonts w:ascii="ITC Avant Garde" w:hAnsi="ITC Avant Garde"/>
          <w:color w:val="000000" w:themeColor="text1"/>
        </w:rPr>
        <w:t>señalados</w:t>
      </w:r>
      <w:r w:rsidR="0080787F" w:rsidRPr="008762D1">
        <w:rPr>
          <w:rFonts w:ascii="ITC Avant Garde" w:hAnsi="ITC Avant Garde"/>
          <w:color w:val="000000" w:themeColor="text1"/>
        </w:rPr>
        <w:t xml:space="preserve"> en el Anexo E Calidad</w:t>
      </w:r>
      <w:r w:rsidRPr="008762D1">
        <w:rPr>
          <w:rFonts w:ascii="ITC Avant Garde" w:hAnsi="ITC Avant Garde"/>
          <w:color w:val="000000" w:themeColor="text1"/>
        </w:rPr>
        <w:t>:</w:t>
      </w:r>
    </w:p>
    <w:tbl>
      <w:tblPr>
        <w:tblStyle w:val="Cuadrculadetablaclara"/>
        <w:tblW w:w="0" w:type="auto"/>
        <w:jc w:val="center"/>
        <w:tblLook w:val="01E0" w:firstRow="1" w:lastRow="1" w:firstColumn="1" w:lastColumn="1" w:noHBand="0" w:noVBand="0"/>
        <w:tblCaption w:val="Tabla"/>
        <w:tblDescription w:val="Análisis del CMI modificado"/>
      </w:tblPr>
      <w:tblGrid>
        <w:gridCol w:w="3490"/>
        <w:gridCol w:w="1715"/>
        <w:gridCol w:w="1882"/>
      </w:tblGrid>
      <w:tr w:rsidR="008762D1" w:rsidRPr="008762D1" w14:paraId="3D46B5E4" w14:textId="77777777" w:rsidTr="005D18CA">
        <w:trPr>
          <w:tblHeader/>
          <w:jc w:val="center"/>
        </w:trPr>
        <w:tc>
          <w:tcPr>
            <w:tcW w:w="3490" w:type="dxa"/>
          </w:tcPr>
          <w:p w14:paraId="6E470FF0" w14:textId="77777777" w:rsidR="002D6A72" w:rsidRPr="008762D1" w:rsidRDefault="002D6A72" w:rsidP="000F0B9F">
            <w:pPr>
              <w:pStyle w:val="Textosinformato"/>
              <w:jc w:val="both"/>
              <w:rPr>
                <w:rFonts w:ascii="ITC Avant Garde" w:hAnsi="ITC Avant Garde" w:cs="Arial"/>
                <w:color w:val="000000" w:themeColor="text1"/>
                <w:sz w:val="18"/>
                <w:szCs w:val="18"/>
              </w:rPr>
            </w:pPr>
          </w:p>
        </w:tc>
        <w:tc>
          <w:tcPr>
            <w:tcW w:w="1715" w:type="dxa"/>
          </w:tcPr>
          <w:p w14:paraId="373B6209"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Facilidad nueva</w:t>
            </w:r>
          </w:p>
          <w:p w14:paraId="7C2CCE74"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(Días hábiles)</w:t>
            </w:r>
          </w:p>
        </w:tc>
        <w:tc>
          <w:tcPr>
            <w:tcW w:w="1882" w:type="dxa"/>
          </w:tcPr>
          <w:p w14:paraId="5DF93A84"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Facilidad existente (ampliación días hábiles)</w:t>
            </w:r>
          </w:p>
        </w:tc>
      </w:tr>
      <w:tr w:rsidR="008762D1" w:rsidRPr="008762D1" w14:paraId="39DB52C3" w14:textId="77777777" w:rsidTr="005D18CA">
        <w:trPr>
          <w:jc w:val="center"/>
        </w:trPr>
        <w:tc>
          <w:tcPr>
            <w:tcW w:w="3490" w:type="dxa"/>
          </w:tcPr>
          <w:p w14:paraId="5CBCC0CC" w14:textId="77777777" w:rsidR="002D6A72" w:rsidRPr="008762D1" w:rsidRDefault="002D6A72" w:rsidP="000F0B9F">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Señalización (PAUSI-MX)</w:t>
            </w:r>
          </w:p>
        </w:tc>
        <w:tc>
          <w:tcPr>
            <w:tcW w:w="1715" w:type="dxa"/>
          </w:tcPr>
          <w:p w14:paraId="503D2B33"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882" w:type="dxa"/>
          </w:tcPr>
          <w:p w14:paraId="55AF1C3E"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7</w:t>
            </w:r>
          </w:p>
        </w:tc>
      </w:tr>
      <w:tr w:rsidR="008762D1" w:rsidRPr="008762D1" w14:paraId="5FF1416E" w14:textId="77777777" w:rsidTr="005D18CA">
        <w:trPr>
          <w:jc w:val="center"/>
        </w:trPr>
        <w:tc>
          <w:tcPr>
            <w:tcW w:w="3490" w:type="dxa"/>
          </w:tcPr>
          <w:p w14:paraId="2E02CD52" w14:textId="77777777" w:rsidR="002D6A72" w:rsidRPr="008762D1" w:rsidRDefault="002D6A72" w:rsidP="000F0B9F">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Señalización IP</w:t>
            </w:r>
          </w:p>
        </w:tc>
        <w:tc>
          <w:tcPr>
            <w:tcW w:w="1715" w:type="dxa"/>
          </w:tcPr>
          <w:p w14:paraId="3C8B8B65"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882" w:type="dxa"/>
          </w:tcPr>
          <w:p w14:paraId="506F7BE8"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7</w:t>
            </w:r>
          </w:p>
        </w:tc>
      </w:tr>
      <w:tr w:rsidR="008762D1" w:rsidRPr="008762D1" w14:paraId="1BB88072" w14:textId="77777777" w:rsidTr="005D18CA">
        <w:trPr>
          <w:jc w:val="center"/>
        </w:trPr>
        <w:tc>
          <w:tcPr>
            <w:tcW w:w="3490" w:type="dxa"/>
          </w:tcPr>
          <w:p w14:paraId="4568041C" w14:textId="77777777" w:rsidR="002D6A72" w:rsidRPr="008762D1" w:rsidRDefault="002D6A72" w:rsidP="000F0B9F">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Acceso</w:t>
            </w:r>
          </w:p>
        </w:tc>
        <w:tc>
          <w:tcPr>
            <w:tcW w:w="1715" w:type="dxa"/>
          </w:tcPr>
          <w:p w14:paraId="42727645"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882" w:type="dxa"/>
          </w:tcPr>
          <w:p w14:paraId="3C301593"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7</w:t>
            </w:r>
          </w:p>
        </w:tc>
      </w:tr>
      <w:tr w:rsidR="008762D1" w:rsidRPr="008762D1" w14:paraId="16096476" w14:textId="77777777" w:rsidTr="005D18CA">
        <w:trPr>
          <w:jc w:val="center"/>
        </w:trPr>
        <w:tc>
          <w:tcPr>
            <w:tcW w:w="3490" w:type="dxa"/>
          </w:tcPr>
          <w:p w14:paraId="1024594D" w14:textId="77777777" w:rsidR="002D6A72" w:rsidRPr="008762D1" w:rsidRDefault="002D6A72" w:rsidP="000F0B9F">
            <w:pPr>
              <w:pStyle w:val="Textosinformato"/>
              <w:jc w:val="both"/>
              <w:rPr>
                <w:rFonts w:ascii="ITC Avant Garde" w:hAnsi="ITC Avant Garde" w:cs="Arial"/>
                <w:color w:val="000000" w:themeColor="text1"/>
                <w:sz w:val="18"/>
                <w:szCs w:val="18"/>
              </w:rPr>
            </w:pPr>
            <w:proofErr w:type="spellStart"/>
            <w:r w:rsidRPr="008762D1">
              <w:rPr>
                <w:rFonts w:ascii="ITC Avant Garde" w:hAnsi="ITC Avant Garde" w:cs="Arial"/>
                <w:color w:val="000000" w:themeColor="text1"/>
                <w:sz w:val="18"/>
                <w:szCs w:val="18"/>
              </w:rPr>
              <w:t>Coubicación</w:t>
            </w:r>
            <w:proofErr w:type="spellEnd"/>
          </w:p>
        </w:tc>
        <w:tc>
          <w:tcPr>
            <w:tcW w:w="1715" w:type="dxa"/>
          </w:tcPr>
          <w:p w14:paraId="5D82A82D"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882" w:type="dxa"/>
          </w:tcPr>
          <w:p w14:paraId="787AB1F1"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No aplica</w:t>
            </w:r>
          </w:p>
        </w:tc>
      </w:tr>
      <w:tr w:rsidR="008762D1" w:rsidRPr="008762D1" w14:paraId="0F1DCDF0" w14:textId="77777777" w:rsidTr="005D18CA">
        <w:trPr>
          <w:jc w:val="center"/>
        </w:trPr>
        <w:tc>
          <w:tcPr>
            <w:tcW w:w="3490" w:type="dxa"/>
          </w:tcPr>
          <w:p w14:paraId="015FCABA" w14:textId="77777777" w:rsidR="002D6A72" w:rsidRPr="008762D1" w:rsidRDefault="002D6A72" w:rsidP="000F0B9F">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Facturación</w:t>
            </w:r>
          </w:p>
        </w:tc>
        <w:tc>
          <w:tcPr>
            <w:tcW w:w="1715" w:type="dxa"/>
          </w:tcPr>
          <w:p w14:paraId="52F0FC77"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882" w:type="dxa"/>
          </w:tcPr>
          <w:p w14:paraId="0212323C"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10</w:t>
            </w:r>
          </w:p>
        </w:tc>
      </w:tr>
      <w:tr w:rsidR="008762D1" w:rsidRPr="008762D1" w14:paraId="3948B999" w14:textId="77777777" w:rsidTr="005D18CA">
        <w:trPr>
          <w:jc w:val="center"/>
        </w:trPr>
        <w:tc>
          <w:tcPr>
            <w:tcW w:w="3490" w:type="dxa"/>
          </w:tcPr>
          <w:p w14:paraId="05723521" w14:textId="77777777" w:rsidR="002D6A72" w:rsidRPr="008762D1" w:rsidRDefault="002D6A72" w:rsidP="000F0B9F">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Tránsito</w:t>
            </w:r>
          </w:p>
        </w:tc>
        <w:tc>
          <w:tcPr>
            <w:tcW w:w="1715" w:type="dxa"/>
          </w:tcPr>
          <w:p w14:paraId="096CDB4E"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7</w:t>
            </w:r>
          </w:p>
        </w:tc>
        <w:tc>
          <w:tcPr>
            <w:tcW w:w="1882" w:type="dxa"/>
          </w:tcPr>
          <w:p w14:paraId="3025E82C" w14:textId="77777777" w:rsidR="002D6A72" w:rsidRPr="008762D1" w:rsidDel="001B4B67"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3</w:t>
            </w:r>
          </w:p>
        </w:tc>
      </w:tr>
      <w:tr w:rsidR="002D6A72" w:rsidRPr="008762D1" w14:paraId="7F7562ED" w14:textId="77777777" w:rsidTr="005D18CA">
        <w:trPr>
          <w:jc w:val="center"/>
        </w:trPr>
        <w:tc>
          <w:tcPr>
            <w:tcW w:w="3490" w:type="dxa"/>
          </w:tcPr>
          <w:p w14:paraId="360505B7" w14:textId="77777777" w:rsidR="002D6A72" w:rsidRPr="008762D1" w:rsidRDefault="002D6A72" w:rsidP="000F0B9F">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Enlace de Transmisión entre </w:t>
            </w:r>
            <w:proofErr w:type="spellStart"/>
            <w:r w:rsidRPr="008762D1">
              <w:rPr>
                <w:rFonts w:ascii="ITC Avant Garde" w:hAnsi="ITC Avant Garde" w:cs="Arial"/>
                <w:color w:val="000000" w:themeColor="text1"/>
                <w:sz w:val="18"/>
                <w:szCs w:val="18"/>
              </w:rPr>
              <w:t>coubicaciones</w:t>
            </w:r>
            <w:proofErr w:type="spellEnd"/>
            <w:r w:rsidRPr="008762D1">
              <w:rPr>
                <w:rFonts w:ascii="ITC Avant Garde" w:hAnsi="ITC Avant Garde" w:cs="Arial"/>
                <w:color w:val="000000" w:themeColor="text1"/>
                <w:sz w:val="18"/>
                <w:szCs w:val="18"/>
              </w:rPr>
              <w:t xml:space="preserve"> no gestionado</w:t>
            </w:r>
          </w:p>
        </w:tc>
        <w:tc>
          <w:tcPr>
            <w:tcW w:w="1715" w:type="dxa"/>
          </w:tcPr>
          <w:p w14:paraId="79B8FCDE" w14:textId="77777777" w:rsidR="002D6A72" w:rsidRPr="008762D1" w:rsidDel="001B4B67"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882" w:type="dxa"/>
          </w:tcPr>
          <w:p w14:paraId="48C9C41D" w14:textId="77777777" w:rsidR="002D6A72" w:rsidRPr="008762D1" w:rsidRDefault="002D6A72" w:rsidP="000F0B9F">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No aplica</w:t>
            </w:r>
          </w:p>
        </w:tc>
      </w:tr>
    </w:tbl>
    <w:p w14:paraId="505EF9B6" w14:textId="77777777" w:rsidR="000F0B9F" w:rsidRPr="008762D1" w:rsidRDefault="00EB6342" w:rsidP="000F0B9F">
      <w:pPr>
        <w:pStyle w:val="IFT1"/>
        <w:tabs>
          <w:tab w:val="left" w:pos="426"/>
        </w:tabs>
        <w:spacing w:before="240" w:after="0"/>
        <w:rPr>
          <w:color w:val="000000" w:themeColor="text1"/>
        </w:rPr>
      </w:pPr>
      <w:r w:rsidRPr="008762D1">
        <w:rPr>
          <w:color w:val="000000" w:themeColor="text1"/>
        </w:rPr>
        <w:t xml:space="preserve">De lo cual se sigue que el plazo de 20 días hábiles para ofrecer una alternativa de interconexión viable en caso de falta de capacidad en alguno de los puntos de interconexión en los que el CS requiera la interconexión, permite determinar la viabilidad para la interconexión en otro punto de interconexión así como la </w:t>
      </w:r>
      <w:r w:rsidRPr="008762D1">
        <w:rPr>
          <w:color w:val="000000" w:themeColor="text1"/>
        </w:rPr>
        <w:lastRenderedPageBreak/>
        <w:t>adecuación de la infraestructura que permita la prestación del servicio en dicho punto.</w:t>
      </w:r>
    </w:p>
    <w:p w14:paraId="6E605A2E" w14:textId="77777777" w:rsidR="000F0B9F" w:rsidRPr="008762D1" w:rsidRDefault="00EB6342" w:rsidP="000F0B9F">
      <w:pPr>
        <w:pStyle w:val="IFT1"/>
        <w:tabs>
          <w:tab w:val="left" w:pos="426"/>
        </w:tabs>
        <w:spacing w:before="240" w:after="0"/>
        <w:rPr>
          <w:color w:val="000000" w:themeColor="text1"/>
        </w:rPr>
      </w:pPr>
      <w:r w:rsidRPr="008762D1">
        <w:rPr>
          <w:color w:val="000000" w:themeColor="text1"/>
        </w:rPr>
        <w:t xml:space="preserve">Por lo anterior, </w:t>
      </w:r>
      <w:r w:rsidR="00560DDB" w:rsidRPr="008762D1">
        <w:rPr>
          <w:color w:val="000000" w:themeColor="text1"/>
        </w:rPr>
        <w:t xml:space="preserve">y toda vez que Telmex no realizó manifestaciones sobre la modificación realizada por el Instituto, </w:t>
      </w:r>
      <w:r w:rsidRPr="008762D1">
        <w:rPr>
          <w:color w:val="000000" w:themeColor="text1"/>
        </w:rPr>
        <w:t xml:space="preserve">se considera procedente la </w:t>
      </w:r>
      <w:r w:rsidR="00560DDB" w:rsidRPr="008762D1">
        <w:rPr>
          <w:color w:val="000000" w:themeColor="text1"/>
        </w:rPr>
        <w:t xml:space="preserve">aprobación </w:t>
      </w:r>
      <w:r w:rsidRPr="008762D1">
        <w:rPr>
          <w:color w:val="000000" w:themeColor="text1"/>
        </w:rPr>
        <w:t xml:space="preserve">del numeral </w:t>
      </w:r>
      <w:r w:rsidRPr="008762D1">
        <w:rPr>
          <w:rFonts w:cs="Arial"/>
          <w:iCs w:val="0"/>
          <w:color w:val="000000" w:themeColor="text1"/>
        </w:rPr>
        <w:t>2.4 de la Cláusula Segunda en los términos señalados.</w:t>
      </w:r>
    </w:p>
    <w:p w14:paraId="55355961" w14:textId="77777777" w:rsidR="000F0B9F" w:rsidRPr="008762D1" w:rsidRDefault="00F16206" w:rsidP="000F0B9F">
      <w:pPr>
        <w:pStyle w:val="IFT1"/>
        <w:numPr>
          <w:ilvl w:val="2"/>
          <w:numId w:val="9"/>
        </w:numPr>
        <w:tabs>
          <w:tab w:val="left" w:pos="426"/>
        </w:tabs>
        <w:spacing w:before="240" w:after="0"/>
        <w:ind w:left="567" w:hanging="567"/>
        <w:rPr>
          <w:b/>
          <w:color w:val="000000" w:themeColor="text1"/>
        </w:rPr>
      </w:pPr>
      <w:r w:rsidRPr="008762D1">
        <w:rPr>
          <w:b/>
          <w:color w:val="000000" w:themeColor="text1"/>
        </w:rPr>
        <w:t>REDUNDANCIA Y BALANCEO DE TRÁFICO.</w:t>
      </w:r>
    </w:p>
    <w:p w14:paraId="7BEFDC19" w14:textId="0170889B" w:rsidR="000C3C7B" w:rsidRPr="008762D1" w:rsidRDefault="000C3C7B"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383532E8" w14:textId="77777777" w:rsidR="000F0B9F" w:rsidRPr="008762D1" w:rsidRDefault="00364BE0" w:rsidP="000F0B9F">
      <w:pPr>
        <w:pStyle w:val="IFTnormal"/>
        <w:spacing w:before="240" w:after="0"/>
        <w:rPr>
          <w:rFonts w:eastAsiaTheme="minorHAnsi" w:cstheme="minorBidi"/>
          <w:color w:val="000000" w:themeColor="text1"/>
          <w:lang w:val="es-MX" w:eastAsia="en-US"/>
        </w:rPr>
      </w:pPr>
      <w:r w:rsidRPr="008762D1">
        <w:rPr>
          <w:rFonts w:eastAsiaTheme="minorHAnsi" w:cstheme="minorBidi"/>
          <w:color w:val="000000" w:themeColor="text1"/>
          <w:lang w:val="es-MX" w:eastAsia="en-US"/>
        </w:rPr>
        <w:t xml:space="preserve">Respecto al esquema de redundancia y balanceo de tráfico para los servicios de terminación, </w:t>
      </w:r>
      <w:proofErr w:type="spellStart"/>
      <w:r w:rsidRPr="008762D1">
        <w:rPr>
          <w:rFonts w:eastAsiaTheme="minorHAnsi" w:cstheme="minorBidi"/>
          <w:color w:val="000000" w:themeColor="text1"/>
          <w:lang w:val="es-MX" w:eastAsia="en-US"/>
        </w:rPr>
        <w:t>originación</w:t>
      </w:r>
      <w:proofErr w:type="spellEnd"/>
      <w:r w:rsidRPr="008762D1">
        <w:rPr>
          <w:rFonts w:eastAsiaTheme="minorHAnsi" w:cstheme="minorBidi"/>
          <w:color w:val="000000" w:themeColor="text1"/>
          <w:lang w:val="es-MX" w:eastAsia="en-US"/>
        </w:rPr>
        <w:t xml:space="preserve"> y tránsito el Instituto consideró necesario </w:t>
      </w:r>
      <w:r w:rsidR="00C81FB8" w:rsidRPr="008762D1">
        <w:rPr>
          <w:rFonts w:eastAsiaTheme="minorHAnsi" w:cstheme="minorBidi"/>
          <w:color w:val="000000" w:themeColor="text1"/>
          <w:lang w:val="es-MX" w:eastAsia="en-US"/>
        </w:rPr>
        <w:t xml:space="preserve">establecer términos claros para efecto de llevar a cabo la redundancia y el balanceo de tráfico </w:t>
      </w:r>
      <w:r w:rsidR="0080787F" w:rsidRPr="008762D1">
        <w:rPr>
          <w:rFonts w:eastAsiaTheme="minorHAnsi" w:cstheme="minorBidi"/>
          <w:color w:val="000000" w:themeColor="text1"/>
          <w:lang w:val="es-MX" w:eastAsia="en-US"/>
        </w:rPr>
        <w:t>en la interconexión entre redes</w:t>
      </w:r>
      <w:r w:rsidR="00C81FB8" w:rsidRPr="008762D1">
        <w:rPr>
          <w:rFonts w:eastAsiaTheme="minorHAnsi" w:cstheme="minorBidi"/>
          <w:color w:val="000000" w:themeColor="text1"/>
          <w:lang w:val="es-MX" w:eastAsia="en-US"/>
        </w:rPr>
        <w:t xml:space="preserve">; para lo cual </w:t>
      </w:r>
      <w:r w:rsidRPr="008762D1">
        <w:rPr>
          <w:rFonts w:eastAsiaTheme="minorHAnsi" w:cstheme="minorBidi"/>
          <w:color w:val="000000" w:themeColor="text1"/>
          <w:lang w:val="es-MX" w:eastAsia="en-US"/>
        </w:rPr>
        <w:t>el Instituto</w:t>
      </w:r>
      <w:r w:rsidR="00C81FB8" w:rsidRPr="008762D1">
        <w:rPr>
          <w:rFonts w:eastAsiaTheme="minorHAnsi" w:cstheme="minorBidi"/>
          <w:color w:val="000000" w:themeColor="text1"/>
          <w:lang w:val="es-MX" w:eastAsia="en-US"/>
        </w:rPr>
        <w:t xml:space="preserve"> </w:t>
      </w:r>
      <w:r w:rsidRPr="008762D1">
        <w:rPr>
          <w:rFonts w:eastAsiaTheme="minorHAnsi" w:cstheme="minorBidi"/>
          <w:color w:val="000000" w:themeColor="text1"/>
          <w:lang w:val="es-MX" w:eastAsia="en-US"/>
        </w:rPr>
        <w:t xml:space="preserve">agregó </w:t>
      </w:r>
      <w:r w:rsidR="00C81FB8" w:rsidRPr="008762D1">
        <w:rPr>
          <w:rFonts w:eastAsiaTheme="minorHAnsi" w:cstheme="minorBidi"/>
          <w:color w:val="000000" w:themeColor="text1"/>
          <w:lang w:val="es-MX" w:eastAsia="en-US"/>
        </w:rPr>
        <w:t xml:space="preserve">en el numeral 2.4 </w:t>
      </w:r>
      <w:r w:rsidR="0080787F" w:rsidRPr="008762D1">
        <w:rPr>
          <w:rFonts w:eastAsiaTheme="minorHAnsi" w:cstheme="minorBidi"/>
          <w:color w:val="000000" w:themeColor="text1"/>
          <w:lang w:val="es-MX" w:eastAsia="en-US"/>
        </w:rPr>
        <w:t xml:space="preserve">en los siguientes términos, </w:t>
      </w:r>
      <w:r w:rsidR="00FC2270" w:rsidRPr="008762D1">
        <w:rPr>
          <w:rFonts w:eastAsiaTheme="minorHAnsi" w:cstheme="minorBidi"/>
          <w:color w:val="000000" w:themeColor="text1"/>
          <w:lang w:val="es-MX" w:eastAsia="en-US"/>
        </w:rPr>
        <w:t xml:space="preserve">las reglas </w:t>
      </w:r>
      <w:r w:rsidR="0080787F" w:rsidRPr="008762D1">
        <w:rPr>
          <w:rFonts w:eastAsiaTheme="minorHAnsi" w:cstheme="minorBidi"/>
          <w:color w:val="000000" w:themeColor="text1"/>
          <w:lang w:val="es-MX" w:eastAsia="en-US"/>
        </w:rPr>
        <w:t>en la materia</w:t>
      </w:r>
      <w:r w:rsidR="00FC2270" w:rsidRPr="008762D1">
        <w:rPr>
          <w:rFonts w:eastAsiaTheme="minorHAnsi" w:cstheme="minorBidi"/>
          <w:color w:val="000000" w:themeColor="text1"/>
          <w:lang w:val="es-MX" w:eastAsia="en-US"/>
        </w:rPr>
        <w:t>:</w:t>
      </w:r>
    </w:p>
    <w:p w14:paraId="0A95A2A3" w14:textId="7AB2CB7B" w:rsidR="003C04EA" w:rsidRPr="008762D1" w:rsidRDefault="00CE726F" w:rsidP="000F0B9F">
      <w:pPr>
        <w:pStyle w:val="IFTnormal"/>
        <w:spacing w:before="240" w:after="0"/>
        <w:ind w:left="567" w:right="567"/>
        <w:rPr>
          <w:rFonts w:eastAsiaTheme="minorHAnsi" w:cstheme="minorBidi"/>
          <w:color w:val="000000" w:themeColor="text1"/>
          <w:sz w:val="18"/>
          <w:szCs w:val="18"/>
          <w:lang w:val="es-MX" w:eastAsia="en-US"/>
        </w:rPr>
      </w:pPr>
      <w:r w:rsidRPr="008762D1">
        <w:rPr>
          <w:rFonts w:eastAsiaTheme="minorHAnsi" w:cstheme="minorBidi"/>
          <w:color w:val="000000" w:themeColor="text1"/>
          <w:sz w:val="18"/>
          <w:szCs w:val="18"/>
          <w:lang w:val="es-MX" w:eastAsia="en-US"/>
        </w:rPr>
        <w:t>“</w:t>
      </w:r>
      <w:r w:rsidR="003C04EA" w:rsidRPr="008762D1">
        <w:rPr>
          <w:rFonts w:eastAsiaTheme="minorHAnsi" w:cstheme="minorBidi"/>
          <w:color w:val="000000" w:themeColor="text1"/>
          <w:sz w:val="18"/>
          <w:szCs w:val="18"/>
          <w:u w:val="single"/>
          <w:lang w:val="es-MX" w:eastAsia="en-US"/>
        </w:rPr>
        <w:t>Redundancia y balanceo de Tráfico</w:t>
      </w:r>
      <w:r w:rsidR="003C04EA" w:rsidRPr="008762D1">
        <w:rPr>
          <w:rFonts w:eastAsiaTheme="minorHAnsi" w:cstheme="minorBidi"/>
          <w:color w:val="000000" w:themeColor="text1"/>
          <w:sz w:val="18"/>
          <w:szCs w:val="18"/>
          <w:lang w:val="es-MX" w:eastAsia="en-US"/>
        </w:rPr>
        <w:t>.</w:t>
      </w:r>
    </w:p>
    <w:p w14:paraId="4246A185" w14:textId="77777777" w:rsidR="000F0B9F" w:rsidRPr="008762D1" w:rsidRDefault="003C04EA" w:rsidP="000F0B9F">
      <w:pPr>
        <w:pStyle w:val="IFTnormal"/>
        <w:spacing w:before="240" w:after="0"/>
        <w:ind w:left="567" w:right="567"/>
        <w:rPr>
          <w:rFonts w:eastAsiaTheme="minorHAnsi" w:cstheme="minorBidi"/>
          <w:color w:val="000000" w:themeColor="text1"/>
          <w:sz w:val="18"/>
          <w:szCs w:val="18"/>
          <w:lang w:val="es-MX" w:eastAsia="en-US"/>
        </w:rPr>
      </w:pPr>
      <w:r w:rsidRPr="008762D1">
        <w:rPr>
          <w:rFonts w:eastAsiaTheme="minorHAnsi" w:cstheme="minorBidi"/>
          <w:color w:val="000000" w:themeColor="text1"/>
          <w:sz w:val="18"/>
          <w:szCs w:val="18"/>
          <w:lang w:val="es-MX" w:eastAsia="en-US"/>
        </w:rPr>
        <w:t xml:space="preserve">Las Partes están de acuerdo en implementar Servicios de Interconexión directa en al menos 2 (dos) </w:t>
      </w:r>
      <w:proofErr w:type="spellStart"/>
      <w:r w:rsidRPr="008762D1">
        <w:rPr>
          <w:rFonts w:eastAsiaTheme="minorHAnsi" w:cstheme="minorBidi"/>
          <w:color w:val="000000" w:themeColor="text1"/>
          <w:sz w:val="18"/>
          <w:szCs w:val="18"/>
          <w:lang w:val="es-MX" w:eastAsia="en-US"/>
        </w:rPr>
        <w:t>PDICs</w:t>
      </w:r>
      <w:proofErr w:type="spellEnd"/>
      <w:r w:rsidRPr="008762D1">
        <w:rPr>
          <w:rFonts w:eastAsiaTheme="minorHAnsi" w:cstheme="minorBidi"/>
          <w:color w:val="000000" w:themeColor="text1"/>
          <w:sz w:val="18"/>
          <w:szCs w:val="18"/>
          <w:lang w:val="es-MX" w:eastAsia="en-US"/>
        </w:rPr>
        <w:t xml:space="preserve"> por cada Parte, para efectos de redundancia. </w:t>
      </w:r>
    </w:p>
    <w:p w14:paraId="21CBD7E5" w14:textId="77777777" w:rsidR="000F0B9F" w:rsidRPr="008762D1" w:rsidRDefault="003C04EA" w:rsidP="000F0B9F">
      <w:pPr>
        <w:pStyle w:val="IFTnormal"/>
        <w:spacing w:before="240" w:after="0"/>
        <w:ind w:left="567" w:right="567"/>
        <w:rPr>
          <w:rFonts w:eastAsiaTheme="minorHAnsi" w:cstheme="minorBidi"/>
          <w:color w:val="000000" w:themeColor="text1"/>
          <w:sz w:val="18"/>
          <w:szCs w:val="18"/>
          <w:lang w:val="es-MX" w:eastAsia="en-US"/>
        </w:rPr>
      </w:pPr>
      <w:r w:rsidRPr="008762D1">
        <w:rPr>
          <w:rFonts w:eastAsiaTheme="minorHAnsi" w:cstheme="minorBidi"/>
          <w:color w:val="000000" w:themeColor="text1"/>
          <w:sz w:val="18"/>
          <w:szCs w:val="18"/>
          <w:lang w:val="es-MX" w:eastAsia="en-US"/>
        </w:rPr>
        <w:t>Para efectos de redundancia local (misma ciudad) o geográfica (distinta ciudad), las partes están de acuerdo en implementar Servicios de Interconexión directa entre 2 sitios distintos de modo que entre dichos sitios siempre se habilitará un balanceo de tráfico entre TELMEX y el CONCESIONARIO. Dicho balanceo permitirá realizar el desborde sobre el sitio redundante disminuyendo la afectación a los servicios cursantes.</w:t>
      </w:r>
    </w:p>
    <w:p w14:paraId="670F63FA" w14:textId="77777777" w:rsidR="000F0B9F" w:rsidRPr="008762D1" w:rsidRDefault="003C04EA" w:rsidP="000F0B9F">
      <w:pPr>
        <w:pStyle w:val="IFTnormal"/>
        <w:spacing w:before="240" w:after="0"/>
        <w:ind w:left="567" w:right="567"/>
        <w:rPr>
          <w:rFonts w:eastAsiaTheme="minorHAnsi" w:cstheme="minorBidi"/>
          <w:color w:val="000000" w:themeColor="text1"/>
          <w:sz w:val="18"/>
          <w:szCs w:val="18"/>
          <w:lang w:val="es-MX" w:eastAsia="en-US"/>
        </w:rPr>
      </w:pPr>
      <w:r w:rsidRPr="008762D1">
        <w:rPr>
          <w:rFonts w:eastAsiaTheme="minorHAnsi" w:cstheme="minorBidi"/>
          <w:color w:val="000000" w:themeColor="text1"/>
          <w:sz w:val="18"/>
          <w:szCs w:val="18"/>
          <w:lang w:val="es-MX" w:eastAsia="en-US"/>
        </w:rPr>
        <w:t xml:space="preserve">De tal manera, de presentarse fallas en los Servicios de Interconexión en uno de los </w:t>
      </w:r>
      <w:proofErr w:type="spellStart"/>
      <w:r w:rsidRPr="008762D1">
        <w:rPr>
          <w:rFonts w:eastAsiaTheme="minorHAnsi" w:cstheme="minorBidi"/>
          <w:color w:val="000000" w:themeColor="text1"/>
          <w:sz w:val="18"/>
          <w:szCs w:val="18"/>
          <w:lang w:val="es-MX" w:eastAsia="en-US"/>
        </w:rPr>
        <w:t>PDICs</w:t>
      </w:r>
      <w:proofErr w:type="spellEnd"/>
      <w:r w:rsidRPr="008762D1">
        <w:rPr>
          <w:rFonts w:eastAsiaTheme="minorHAnsi" w:cstheme="minorBidi"/>
          <w:color w:val="000000" w:themeColor="text1"/>
          <w:sz w:val="18"/>
          <w:szCs w:val="18"/>
          <w:lang w:val="es-MX" w:eastAsia="en-US"/>
        </w:rPr>
        <w:t xml:space="preserve">, que pudieren ocasionar mala calidad u otras afectaciones en la Terminación de Tráfico, las Partes deberán </w:t>
      </w:r>
      <w:proofErr w:type="spellStart"/>
      <w:r w:rsidRPr="008762D1">
        <w:rPr>
          <w:rFonts w:eastAsiaTheme="minorHAnsi" w:cstheme="minorBidi"/>
          <w:color w:val="000000" w:themeColor="text1"/>
          <w:sz w:val="18"/>
          <w:szCs w:val="18"/>
          <w:lang w:val="es-MX" w:eastAsia="en-US"/>
        </w:rPr>
        <w:t>enrutar</w:t>
      </w:r>
      <w:proofErr w:type="spellEnd"/>
      <w:r w:rsidRPr="008762D1">
        <w:rPr>
          <w:rFonts w:eastAsiaTheme="minorHAnsi" w:cstheme="minorBidi"/>
          <w:color w:val="000000" w:themeColor="text1"/>
          <w:sz w:val="18"/>
          <w:szCs w:val="18"/>
          <w:lang w:val="es-MX" w:eastAsia="en-US"/>
        </w:rPr>
        <w:t xml:space="preserve"> dicho Tráfico de manera temporal hacia el otro PDIC que se encuentre en servicio. Una vez reestablecida la conectividad en el PDIC afectado, el Tráfico se deberá balancear nuevamente sobre los </w:t>
      </w:r>
      <w:proofErr w:type="spellStart"/>
      <w:r w:rsidRPr="008762D1">
        <w:rPr>
          <w:rFonts w:eastAsiaTheme="minorHAnsi" w:cstheme="minorBidi"/>
          <w:color w:val="000000" w:themeColor="text1"/>
          <w:sz w:val="18"/>
          <w:szCs w:val="18"/>
          <w:lang w:val="es-MX" w:eastAsia="en-US"/>
        </w:rPr>
        <w:t>PDICs</w:t>
      </w:r>
      <w:proofErr w:type="spellEnd"/>
      <w:r w:rsidRPr="008762D1">
        <w:rPr>
          <w:rFonts w:eastAsiaTheme="minorHAnsi" w:cstheme="minorBidi"/>
          <w:color w:val="000000" w:themeColor="text1"/>
          <w:sz w:val="18"/>
          <w:szCs w:val="18"/>
          <w:lang w:val="es-MX" w:eastAsia="en-US"/>
        </w:rPr>
        <w:t xml:space="preserve"> entre los que se establece la interconexión.</w:t>
      </w:r>
    </w:p>
    <w:p w14:paraId="299BABB1" w14:textId="44D84F0C" w:rsidR="003C04EA" w:rsidRPr="008762D1" w:rsidRDefault="00131515" w:rsidP="008762D1">
      <w:pPr>
        <w:pStyle w:val="IFTnormal"/>
        <w:spacing w:before="240" w:after="0"/>
        <w:ind w:left="567" w:right="567"/>
        <w:rPr>
          <w:rFonts w:eastAsiaTheme="minorHAnsi" w:cstheme="minorBidi"/>
          <w:color w:val="000000" w:themeColor="text1"/>
          <w:sz w:val="18"/>
          <w:szCs w:val="18"/>
          <w:lang w:val="es-MX" w:eastAsia="en-US"/>
        </w:rPr>
      </w:pPr>
      <w:r w:rsidRPr="008762D1">
        <w:rPr>
          <w:rFonts w:eastAsiaTheme="minorHAnsi" w:cstheme="minorBidi"/>
          <w:color w:val="000000" w:themeColor="text1"/>
          <w:sz w:val="18"/>
          <w:szCs w:val="18"/>
          <w:lang w:val="es-MX" w:eastAsia="en-US"/>
        </w:rPr>
        <w:t xml:space="preserve">Los </w:t>
      </w:r>
      <w:proofErr w:type="spellStart"/>
      <w:r w:rsidRPr="008762D1">
        <w:rPr>
          <w:rFonts w:eastAsiaTheme="minorHAnsi" w:cstheme="minorBidi"/>
          <w:color w:val="000000" w:themeColor="text1"/>
          <w:sz w:val="18"/>
          <w:szCs w:val="18"/>
          <w:lang w:val="es-MX" w:eastAsia="en-US"/>
        </w:rPr>
        <w:t>PDICs</w:t>
      </w:r>
      <w:proofErr w:type="spellEnd"/>
      <w:r w:rsidRPr="008762D1">
        <w:rPr>
          <w:rFonts w:eastAsiaTheme="minorHAnsi" w:cstheme="minorBidi"/>
          <w:color w:val="000000" w:themeColor="text1"/>
          <w:sz w:val="18"/>
          <w:szCs w:val="18"/>
          <w:lang w:val="es-MX" w:eastAsia="en-US"/>
        </w:rPr>
        <w:t xml:space="preserve"> podrán ubicarse en los mismos o en diferentes Puntos de Interconexión (de los previstos en el Acuerdo de Puntos de Interconexión).</w:t>
      </w:r>
    </w:p>
    <w:p w14:paraId="54166C8F" w14:textId="77777777" w:rsidR="00CE726F" w:rsidRPr="008762D1" w:rsidRDefault="003C04EA" w:rsidP="000F0B9F">
      <w:pPr>
        <w:pStyle w:val="IFTnormal"/>
        <w:spacing w:before="240" w:after="0"/>
        <w:ind w:left="567" w:right="567"/>
        <w:rPr>
          <w:rFonts w:eastAsiaTheme="minorHAnsi" w:cstheme="minorBidi"/>
          <w:color w:val="000000" w:themeColor="text1"/>
          <w:sz w:val="18"/>
          <w:szCs w:val="18"/>
          <w:lang w:val="es-MX" w:eastAsia="en-US"/>
        </w:rPr>
      </w:pPr>
      <w:r w:rsidRPr="008762D1">
        <w:rPr>
          <w:rFonts w:eastAsiaTheme="minorHAnsi" w:cstheme="minorBidi"/>
          <w:color w:val="000000" w:themeColor="text1"/>
          <w:sz w:val="18"/>
          <w:szCs w:val="18"/>
          <w:lang w:val="es-MX" w:eastAsia="en-US"/>
        </w:rPr>
        <w:t>En caso de habilitarse redundancia entre sitios, los enlaces por sitio deberán estar dimensionados para soportar la carga del otro sitio de modo que, en caso de falla de uno de los sitios, la ocupación de los enlaces de cada sitio no deberá rebasar el 80% (ochenta por ciento) al soportar el tráfico del otro sitio, en cuyo caso se deberá incrementar la capacidad de los enlaces de los sitios redundados para soportar la carga total en caso de falla.</w:t>
      </w:r>
    </w:p>
    <w:p w14:paraId="1E5B2C4D" w14:textId="77777777" w:rsidR="000F0B9F" w:rsidRPr="008762D1" w:rsidRDefault="00CE726F" w:rsidP="000F0B9F">
      <w:pPr>
        <w:pStyle w:val="IFTnormal"/>
        <w:spacing w:before="240" w:after="0"/>
        <w:ind w:left="567" w:right="567"/>
        <w:rPr>
          <w:rFonts w:eastAsiaTheme="minorHAnsi" w:cstheme="minorBidi"/>
          <w:color w:val="000000" w:themeColor="text1"/>
          <w:sz w:val="18"/>
          <w:szCs w:val="18"/>
          <w:lang w:val="es-MX" w:eastAsia="en-US"/>
        </w:rPr>
      </w:pPr>
      <w:r w:rsidRPr="008762D1">
        <w:rPr>
          <w:rFonts w:eastAsiaTheme="minorHAnsi" w:cstheme="minorBidi"/>
          <w:color w:val="000000" w:themeColor="text1"/>
          <w:sz w:val="18"/>
          <w:szCs w:val="18"/>
          <w:lang w:val="es-MX" w:eastAsia="en-US"/>
        </w:rPr>
        <w:t>(…) ”</w:t>
      </w:r>
    </w:p>
    <w:p w14:paraId="56B02517" w14:textId="547B6EEC" w:rsidR="00C81FB8" w:rsidRPr="008762D1" w:rsidRDefault="00C81FB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0910D427" w14:textId="77777777" w:rsidR="000F0B9F" w:rsidRPr="008762D1" w:rsidRDefault="00032FC1"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lastRenderedPageBreak/>
        <w:t xml:space="preserve">Telmex </w:t>
      </w:r>
      <w:r w:rsidR="00D046BC" w:rsidRPr="008762D1">
        <w:rPr>
          <w:rFonts w:ascii="ITC Avant Garde" w:hAnsi="ITC Avant Garde"/>
          <w:color w:val="000000" w:themeColor="text1"/>
        </w:rPr>
        <w:t xml:space="preserve">en el Escrito de Respuesta señala que </w:t>
      </w:r>
      <w:r w:rsidRPr="008762D1">
        <w:rPr>
          <w:rFonts w:ascii="ITC Avant Garde" w:hAnsi="ITC Avant Garde"/>
          <w:color w:val="000000" w:themeColor="text1"/>
        </w:rPr>
        <w:t xml:space="preserve">no tiene inconveniente en que se maneje la redundancia y el balanceo del tráfico, </w:t>
      </w:r>
      <w:r w:rsidR="00A0433C" w:rsidRPr="008762D1">
        <w:rPr>
          <w:rFonts w:ascii="ITC Avant Garde" w:hAnsi="ITC Avant Garde"/>
          <w:color w:val="000000" w:themeColor="text1"/>
        </w:rPr>
        <w:t>en</w:t>
      </w:r>
      <w:r w:rsidRPr="008762D1">
        <w:rPr>
          <w:rFonts w:ascii="ITC Avant Garde" w:hAnsi="ITC Avant Garde"/>
          <w:color w:val="000000" w:themeColor="text1"/>
        </w:rPr>
        <w:t xml:space="preserve"> al menos 2</w:t>
      </w:r>
      <w:r w:rsidR="00A0433C" w:rsidRPr="008762D1">
        <w:rPr>
          <w:rFonts w:ascii="ITC Avant Garde" w:hAnsi="ITC Avant Garde"/>
          <w:color w:val="000000" w:themeColor="text1"/>
        </w:rPr>
        <w:t xml:space="preserve"> (dos)</w:t>
      </w:r>
      <w:r w:rsidRPr="008762D1">
        <w:rPr>
          <w:rFonts w:ascii="ITC Avant Garde" w:hAnsi="ITC Avant Garde"/>
          <w:color w:val="000000" w:themeColor="text1"/>
        </w:rPr>
        <w:t xml:space="preserve"> Puntos de </w:t>
      </w:r>
      <w:proofErr w:type="spellStart"/>
      <w:r w:rsidRPr="008762D1">
        <w:rPr>
          <w:rFonts w:ascii="ITC Avant Garde" w:hAnsi="ITC Avant Garde"/>
          <w:color w:val="000000" w:themeColor="text1"/>
        </w:rPr>
        <w:t>lnterconexión</w:t>
      </w:r>
      <w:proofErr w:type="spellEnd"/>
      <w:r w:rsidRPr="008762D1">
        <w:rPr>
          <w:rFonts w:ascii="ITC Avant Garde" w:hAnsi="ITC Avant Garde"/>
          <w:color w:val="000000" w:themeColor="text1"/>
        </w:rPr>
        <w:t xml:space="preserve"> (PDIC) </w:t>
      </w:r>
      <w:r w:rsidR="00A0433C" w:rsidRPr="008762D1">
        <w:rPr>
          <w:rFonts w:ascii="ITC Avant Garde" w:hAnsi="ITC Avant Garde"/>
          <w:color w:val="000000" w:themeColor="text1"/>
        </w:rPr>
        <w:t>de forma que</w:t>
      </w:r>
      <w:r w:rsidRPr="008762D1">
        <w:rPr>
          <w:rFonts w:ascii="ITC Avant Garde" w:hAnsi="ITC Avant Garde"/>
          <w:color w:val="000000" w:themeColor="text1"/>
        </w:rPr>
        <w:t xml:space="preserve"> en caso de falla de uno de los enlaces el tráfico </w:t>
      </w:r>
      <w:r w:rsidR="00933EA0" w:rsidRPr="008762D1">
        <w:rPr>
          <w:rFonts w:ascii="ITC Avant Garde" w:hAnsi="ITC Avant Garde"/>
          <w:color w:val="000000" w:themeColor="text1"/>
        </w:rPr>
        <w:t xml:space="preserve">se direccione </w:t>
      </w:r>
      <w:r w:rsidRPr="008762D1">
        <w:rPr>
          <w:rFonts w:ascii="ITC Avant Garde" w:hAnsi="ITC Avant Garde"/>
          <w:color w:val="000000" w:themeColor="text1"/>
        </w:rPr>
        <w:t xml:space="preserve">de manera temporal hacia el enlace que se mantenga en operación y disminuir </w:t>
      </w:r>
      <w:r w:rsidR="00933EA0" w:rsidRPr="008762D1">
        <w:rPr>
          <w:rFonts w:ascii="ITC Avant Garde" w:hAnsi="ITC Avant Garde"/>
          <w:color w:val="000000" w:themeColor="text1"/>
        </w:rPr>
        <w:t xml:space="preserve">con ello </w:t>
      </w:r>
      <w:r w:rsidRPr="008762D1">
        <w:rPr>
          <w:rFonts w:ascii="ITC Avant Garde" w:hAnsi="ITC Avant Garde"/>
          <w:color w:val="000000" w:themeColor="text1"/>
        </w:rPr>
        <w:t>la afectación de los servicios durante el tiempo de reparación.</w:t>
      </w:r>
    </w:p>
    <w:p w14:paraId="6B4C5B6F" w14:textId="77777777" w:rsidR="000F0B9F" w:rsidRPr="008762D1" w:rsidRDefault="00032FC1"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Sin embargo, sobre la forma en la cual </w:t>
      </w:r>
      <w:r w:rsidR="00F51572" w:rsidRPr="008762D1">
        <w:rPr>
          <w:rFonts w:ascii="ITC Avant Garde" w:hAnsi="ITC Avant Garde"/>
          <w:color w:val="000000" w:themeColor="text1"/>
        </w:rPr>
        <w:t>se</w:t>
      </w:r>
      <w:r w:rsidRPr="008762D1">
        <w:rPr>
          <w:rFonts w:ascii="ITC Avant Garde" w:hAnsi="ITC Avant Garde"/>
          <w:color w:val="000000" w:themeColor="text1"/>
        </w:rPr>
        <w:t xml:space="preserve"> pretende realizar la redundancia y balanceo de tráfico, </w:t>
      </w:r>
      <w:r w:rsidR="00F51572" w:rsidRPr="008762D1">
        <w:rPr>
          <w:rFonts w:ascii="ITC Avant Garde" w:hAnsi="ITC Avant Garde"/>
          <w:color w:val="000000" w:themeColor="text1"/>
        </w:rPr>
        <w:t xml:space="preserve">señala que </w:t>
      </w:r>
      <w:r w:rsidRPr="008762D1">
        <w:rPr>
          <w:rFonts w:ascii="ITC Avant Garde" w:hAnsi="ITC Avant Garde"/>
          <w:color w:val="000000" w:themeColor="text1"/>
        </w:rPr>
        <w:t>no es lógico lo establecido en el párrafo final del apartado correspondiente, en el cual se infiere que cada uno de los enlaces deben ser dimensionados para soportar el 1</w:t>
      </w:r>
      <w:r w:rsidR="00005D13" w:rsidRPr="008762D1">
        <w:rPr>
          <w:rFonts w:ascii="ITC Avant Garde" w:hAnsi="ITC Avant Garde"/>
          <w:color w:val="000000" w:themeColor="text1"/>
        </w:rPr>
        <w:t>00</w:t>
      </w:r>
      <w:r w:rsidRPr="008762D1">
        <w:rPr>
          <w:rFonts w:ascii="ITC Avant Garde" w:hAnsi="ITC Avant Garde"/>
          <w:color w:val="000000" w:themeColor="text1"/>
        </w:rPr>
        <w:t>% del tráfico de ambos enlaces en caso de falla y además tener una ocupación del 80%. Lo anterior, por las siguientes razones:</w:t>
      </w:r>
    </w:p>
    <w:p w14:paraId="0962BF1D" w14:textId="65A7A406" w:rsidR="00032FC1" w:rsidRPr="008762D1" w:rsidRDefault="00032FC1" w:rsidP="000F0B9F">
      <w:pPr>
        <w:pStyle w:val="Prrafodelista"/>
        <w:numPr>
          <w:ilvl w:val="0"/>
          <w:numId w:val="15"/>
        </w:numPr>
        <w:spacing w:before="240"/>
        <w:jc w:val="both"/>
        <w:rPr>
          <w:rFonts w:ascii="ITC Avant Garde" w:hAnsi="ITC Avant Garde"/>
          <w:color w:val="000000" w:themeColor="text1"/>
        </w:rPr>
      </w:pPr>
      <w:r w:rsidRPr="008762D1">
        <w:rPr>
          <w:rFonts w:ascii="ITC Avant Garde" w:hAnsi="ITC Avant Garde"/>
          <w:color w:val="000000" w:themeColor="text1"/>
        </w:rPr>
        <w:t xml:space="preserve">No tiene congruencia con la propuesta de crecimiento de los enlaces, manejada en los numerales 5.7 y 6.2 de las </w:t>
      </w:r>
      <w:r w:rsidR="00C30EB0" w:rsidRPr="008762D1">
        <w:rPr>
          <w:rFonts w:ascii="ITC Avant Garde" w:hAnsi="ITC Avant Garde"/>
          <w:color w:val="000000" w:themeColor="text1"/>
        </w:rPr>
        <w:t>Clá</w:t>
      </w:r>
      <w:r w:rsidR="00B5580E" w:rsidRPr="008762D1">
        <w:rPr>
          <w:rFonts w:ascii="ITC Avant Garde" w:hAnsi="ITC Avant Garde"/>
          <w:color w:val="000000" w:themeColor="text1"/>
        </w:rPr>
        <w:t>usulas</w:t>
      </w:r>
      <w:r w:rsidRPr="008762D1">
        <w:rPr>
          <w:rFonts w:ascii="ITC Avant Garde" w:hAnsi="ITC Avant Garde"/>
          <w:color w:val="000000" w:themeColor="text1"/>
        </w:rPr>
        <w:t xml:space="preserve"> Quinta y Sexta respectivamente del CMI.</w:t>
      </w:r>
    </w:p>
    <w:p w14:paraId="2C4A7382" w14:textId="77777777" w:rsidR="00032FC1" w:rsidRPr="008762D1" w:rsidRDefault="00032FC1" w:rsidP="000F0B9F">
      <w:pPr>
        <w:pStyle w:val="Prrafodelista"/>
        <w:numPr>
          <w:ilvl w:val="0"/>
          <w:numId w:val="15"/>
        </w:numPr>
        <w:spacing w:before="240"/>
        <w:jc w:val="both"/>
        <w:rPr>
          <w:rFonts w:ascii="ITC Avant Garde" w:hAnsi="ITC Avant Garde"/>
          <w:color w:val="000000" w:themeColor="text1"/>
        </w:rPr>
      </w:pPr>
      <w:r w:rsidRPr="008762D1">
        <w:rPr>
          <w:rFonts w:ascii="ITC Avant Garde" w:hAnsi="ITC Avant Garde"/>
          <w:color w:val="000000" w:themeColor="text1"/>
        </w:rPr>
        <w:t xml:space="preserve">No es viable dimensionar una red bajo los porcentajes de ocupación propuestos, ya que sería una red costosa y subutilizada en la mayor parte del tiempo. </w:t>
      </w:r>
    </w:p>
    <w:p w14:paraId="3F3E1001" w14:textId="77777777" w:rsidR="00032FC1" w:rsidRPr="008762D1" w:rsidRDefault="00032FC1" w:rsidP="000F0B9F">
      <w:pPr>
        <w:pStyle w:val="Prrafodelista"/>
        <w:numPr>
          <w:ilvl w:val="0"/>
          <w:numId w:val="15"/>
        </w:numPr>
        <w:spacing w:before="240"/>
        <w:jc w:val="both"/>
        <w:rPr>
          <w:rFonts w:ascii="ITC Avant Garde" w:hAnsi="ITC Avant Garde"/>
          <w:color w:val="000000" w:themeColor="text1"/>
        </w:rPr>
      </w:pPr>
      <w:r w:rsidRPr="008762D1">
        <w:rPr>
          <w:rFonts w:ascii="ITC Avant Garde" w:hAnsi="ITC Avant Garde"/>
          <w:color w:val="000000" w:themeColor="text1"/>
        </w:rPr>
        <w:t xml:space="preserve">Continuando con el punto anterior resulta aún más </w:t>
      </w:r>
      <w:r w:rsidR="00B5580E" w:rsidRPr="008762D1">
        <w:rPr>
          <w:rFonts w:ascii="ITC Avant Garde" w:hAnsi="ITC Avant Garde"/>
          <w:color w:val="000000" w:themeColor="text1"/>
        </w:rPr>
        <w:t>ilógico</w:t>
      </w:r>
      <w:r w:rsidRPr="008762D1">
        <w:rPr>
          <w:rFonts w:ascii="ITC Avant Garde" w:hAnsi="ITC Avant Garde"/>
          <w:color w:val="000000" w:themeColor="text1"/>
        </w:rPr>
        <w:t xml:space="preserve"> pretender cuidar el total del tráfico y aún pretender tener una reserva del 20%.</w:t>
      </w:r>
    </w:p>
    <w:p w14:paraId="4AF8BEAB" w14:textId="77777777" w:rsidR="00032FC1" w:rsidRPr="008762D1" w:rsidRDefault="00032FC1" w:rsidP="000F0B9F">
      <w:pPr>
        <w:pStyle w:val="Prrafodelista"/>
        <w:numPr>
          <w:ilvl w:val="0"/>
          <w:numId w:val="15"/>
        </w:numPr>
        <w:spacing w:before="240"/>
        <w:jc w:val="both"/>
        <w:rPr>
          <w:rFonts w:ascii="ITC Avant Garde" w:hAnsi="ITC Avant Garde"/>
          <w:color w:val="000000" w:themeColor="text1"/>
        </w:rPr>
      </w:pPr>
      <w:r w:rsidRPr="008762D1">
        <w:rPr>
          <w:rFonts w:ascii="ITC Avant Garde" w:hAnsi="ITC Avant Garde"/>
          <w:color w:val="000000" w:themeColor="text1"/>
        </w:rPr>
        <w:t xml:space="preserve">El costo de implementación sería muy alto en comparación con el que se obtendría. </w:t>
      </w:r>
    </w:p>
    <w:p w14:paraId="43B78AD3" w14:textId="77777777" w:rsidR="00032FC1" w:rsidRPr="008762D1" w:rsidRDefault="00032FC1" w:rsidP="000F0B9F">
      <w:pPr>
        <w:pStyle w:val="Prrafodelista"/>
        <w:numPr>
          <w:ilvl w:val="0"/>
          <w:numId w:val="15"/>
        </w:numPr>
        <w:spacing w:before="240"/>
        <w:jc w:val="both"/>
        <w:rPr>
          <w:rFonts w:ascii="ITC Avant Garde" w:hAnsi="ITC Avant Garde"/>
          <w:color w:val="000000" w:themeColor="text1"/>
        </w:rPr>
      </w:pPr>
      <w:r w:rsidRPr="008762D1">
        <w:rPr>
          <w:rFonts w:ascii="ITC Avant Garde" w:hAnsi="ITC Avant Garde"/>
          <w:color w:val="000000" w:themeColor="text1"/>
        </w:rPr>
        <w:t>Se debe considerar que el dimensionamiento de los enlaces se realiza sobre el tráfico en hora pico y que el comportamiento del tráfico durante el transcurso del día (24hrs) no es constante</w:t>
      </w:r>
      <w:r w:rsidR="00005D13" w:rsidRPr="008762D1">
        <w:rPr>
          <w:rFonts w:ascii="ITC Avant Garde" w:hAnsi="ITC Avant Garde"/>
          <w:color w:val="000000" w:themeColor="text1"/>
        </w:rPr>
        <w:t xml:space="preserve">, toda vez que presenta pico y valles. </w:t>
      </w:r>
    </w:p>
    <w:p w14:paraId="5CC0290C" w14:textId="77777777" w:rsidR="000F0B9F" w:rsidRPr="008762D1" w:rsidRDefault="00D41031" w:rsidP="000F0B9F">
      <w:pPr>
        <w:spacing w:before="240" w:after="0"/>
        <w:jc w:val="both"/>
        <w:rPr>
          <w:rFonts w:ascii="ITC Avant Garde" w:hAnsi="ITC Avant Garde"/>
          <w:color w:val="000000" w:themeColor="text1"/>
        </w:rPr>
      </w:pPr>
      <w:r w:rsidRPr="008762D1">
        <w:rPr>
          <w:rFonts w:ascii="ITC Avant Garde" w:hAnsi="ITC Avant Garde"/>
          <w:color w:val="000000" w:themeColor="text1"/>
        </w:rPr>
        <w:t xml:space="preserve">Señala Telmex que en un esquema de redundancia y tráfico debidamente balanceado, el porcentaje de tráfico que se protege al presentarse una falla en uno de los enlaces, depende de diversas variables, tales como: hora en la que se presenta la falla, el porcentaje de ocupación de los enlaces al presentarse una falla, tiempo de atención de la falla, </w:t>
      </w:r>
      <w:r w:rsidR="005C7991" w:rsidRPr="008762D1">
        <w:rPr>
          <w:rFonts w:ascii="ITC Avant Garde" w:hAnsi="ITC Avant Garde"/>
          <w:color w:val="000000" w:themeColor="text1"/>
        </w:rPr>
        <w:t>entre otros</w:t>
      </w:r>
      <w:r w:rsidRPr="008762D1">
        <w:rPr>
          <w:rFonts w:ascii="ITC Avant Garde" w:hAnsi="ITC Avant Garde"/>
          <w:color w:val="000000" w:themeColor="text1"/>
        </w:rPr>
        <w:t>.</w:t>
      </w:r>
    </w:p>
    <w:p w14:paraId="690F7D12" w14:textId="77777777" w:rsidR="000F0B9F" w:rsidRPr="008762D1" w:rsidRDefault="006F023B" w:rsidP="000F0B9F">
      <w:pPr>
        <w:spacing w:before="240" w:after="0"/>
        <w:jc w:val="both"/>
        <w:rPr>
          <w:rFonts w:ascii="ITC Avant Garde" w:hAnsi="ITC Avant Garde"/>
          <w:color w:val="000000" w:themeColor="text1"/>
        </w:rPr>
      </w:pPr>
      <w:r w:rsidRPr="008762D1">
        <w:rPr>
          <w:rFonts w:ascii="ITC Avant Garde" w:hAnsi="ITC Avant Garde"/>
          <w:color w:val="000000" w:themeColor="text1"/>
        </w:rPr>
        <w:t>Presenta una g</w:t>
      </w:r>
      <w:r w:rsidR="00D41031" w:rsidRPr="008762D1">
        <w:rPr>
          <w:rFonts w:ascii="ITC Avant Garde" w:hAnsi="ITC Avant Garde"/>
          <w:color w:val="000000" w:themeColor="text1"/>
        </w:rPr>
        <w:t xml:space="preserve">ráfica de comportamiento del tráfico de interconexión de lo cual manifiesta que durante el día existen amplios periodos de tiempo en los que el tráfico que se cursa a través de los enlaces, no excede una ocupación del 50%, </w:t>
      </w:r>
      <w:r w:rsidRPr="008762D1">
        <w:rPr>
          <w:rFonts w:ascii="ITC Avant Garde" w:hAnsi="ITC Avant Garde"/>
          <w:color w:val="000000" w:themeColor="text1"/>
        </w:rPr>
        <w:t xml:space="preserve">de lo cual </w:t>
      </w:r>
      <w:r w:rsidR="00D41031" w:rsidRPr="008762D1">
        <w:rPr>
          <w:rFonts w:ascii="ITC Avant Garde" w:hAnsi="ITC Avant Garde"/>
          <w:color w:val="000000" w:themeColor="text1"/>
        </w:rPr>
        <w:t xml:space="preserve">es claro que en </w:t>
      </w:r>
      <w:r w:rsidRPr="008762D1">
        <w:rPr>
          <w:rFonts w:ascii="ITC Avant Garde" w:hAnsi="ITC Avant Garde"/>
          <w:color w:val="000000" w:themeColor="text1"/>
        </w:rPr>
        <w:t>esos</w:t>
      </w:r>
      <w:r w:rsidR="00D41031" w:rsidRPr="008762D1">
        <w:rPr>
          <w:rFonts w:ascii="ITC Avant Garde" w:hAnsi="ITC Avant Garde"/>
          <w:color w:val="000000" w:themeColor="text1"/>
        </w:rPr>
        <w:t xml:space="preserve"> periodos, de existir alguna falla en uno de los enlaces, al desbordarse el tráfico sobre el enlace activo éste podrá soportar el 100% del tráfico del enlace con falla.</w:t>
      </w:r>
    </w:p>
    <w:p w14:paraId="7017C398" w14:textId="77777777" w:rsidR="000F0B9F" w:rsidRPr="008762D1" w:rsidRDefault="00D41031" w:rsidP="000F0B9F">
      <w:pPr>
        <w:spacing w:before="240" w:after="0"/>
        <w:jc w:val="both"/>
        <w:rPr>
          <w:rFonts w:ascii="ITC Avant Garde" w:hAnsi="ITC Avant Garde"/>
          <w:color w:val="000000" w:themeColor="text1"/>
        </w:rPr>
      </w:pPr>
      <w:r w:rsidRPr="008762D1">
        <w:rPr>
          <w:rFonts w:ascii="ITC Avant Garde" w:hAnsi="ITC Avant Garde"/>
          <w:color w:val="000000" w:themeColor="text1"/>
        </w:rPr>
        <w:lastRenderedPageBreak/>
        <w:t xml:space="preserve">Manifiesta Telmex que en los casos en los que la falla de uno de los enlaces se presente en las horas de mayor tráfico, la posible, aunque remota pérdida de tráfico, estará en función de diversos factores, como son: la hora de la falla, la ocupación de los enlaces al momento de la falla y la duración de la misma, por lo </w:t>
      </w:r>
      <w:r w:rsidR="00850FD8" w:rsidRPr="008762D1">
        <w:rPr>
          <w:rFonts w:ascii="ITC Avant Garde" w:hAnsi="ITC Avant Garde"/>
          <w:color w:val="000000" w:themeColor="text1"/>
        </w:rPr>
        <w:t>que en</w:t>
      </w:r>
      <w:r w:rsidRPr="008762D1">
        <w:rPr>
          <w:rFonts w:ascii="ITC Avant Garde" w:hAnsi="ITC Avant Garde"/>
          <w:color w:val="000000" w:themeColor="text1"/>
        </w:rPr>
        <w:t xml:space="preserve"> el peor de los escenarios, la posible pérdida de tráfico se verificaría de concu</w:t>
      </w:r>
      <w:r w:rsidR="00850FD8" w:rsidRPr="008762D1">
        <w:rPr>
          <w:rFonts w:ascii="ITC Avant Garde" w:hAnsi="ITC Avant Garde"/>
          <w:color w:val="000000" w:themeColor="text1"/>
        </w:rPr>
        <w:t>rrir los siguientes factores:</w:t>
      </w:r>
    </w:p>
    <w:p w14:paraId="7A9D372C" w14:textId="123E0378" w:rsidR="006F023B" w:rsidRPr="008762D1" w:rsidRDefault="00850FD8" w:rsidP="000F0B9F">
      <w:pPr>
        <w:pStyle w:val="Prrafodelista"/>
        <w:numPr>
          <w:ilvl w:val="0"/>
          <w:numId w:val="18"/>
        </w:numPr>
        <w:spacing w:before="240" w:after="0"/>
        <w:jc w:val="both"/>
        <w:rPr>
          <w:rFonts w:ascii="Helvetica" w:hAnsi="Helvetica" w:cs="Helvetica"/>
          <w:color w:val="000000" w:themeColor="text1"/>
          <w:sz w:val="19"/>
          <w:szCs w:val="19"/>
        </w:rPr>
      </w:pPr>
      <w:r w:rsidRPr="008762D1">
        <w:rPr>
          <w:rFonts w:ascii="ITC Avant Garde" w:hAnsi="ITC Avant Garde" w:cs="Helvetica"/>
          <w:color w:val="000000" w:themeColor="text1"/>
        </w:rPr>
        <w:t xml:space="preserve">Que la ocupación de los enlaces sea mayor al </w:t>
      </w:r>
      <w:r w:rsidR="006F023B" w:rsidRPr="008762D1">
        <w:rPr>
          <w:rFonts w:ascii="ITC Avant Garde" w:hAnsi="ITC Avant Garde" w:cs="Helvetica"/>
          <w:color w:val="000000" w:themeColor="text1"/>
        </w:rPr>
        <w:t>85%.</w:t>
      </w:r>
    </w:p>
    <w:p w14:paraId="7C5A7CA1" w14:textId="77777777" w:rsidR="006F023B" w:rsidRPr="008762D1" w:rsidRDefault="00850FD8" w:rsidP="000F0B9F">
      <w:pPr>
        <w:pStyle w:val="Prrafodelista"/>
        <w:numPr>
          <w:ilvl w:val="0"/>
          <w:numId w:val="18"/>
        </w:numPr>
        <w:spacing w:before="240" w:after="0"/>
        <w:jc w:val="both"/>
        <w:rPr>
          <w:rFonts w:ascii="Helvetica" w:hAnsi="Helvetica" w:cs="Helvetica"/>
          <w:color w:val="000000" w:themeColor="text1"/>
          <w:sz w:val="19"/>
          <w:szCs w:val="19"/>
        </w:rPr>
      </w:pPr>
      <w:r w:rsidRPr="008762D1">
        <w:rPr>
          <w:rFonts w:ascii="ITC Avant Garde" w:eastAsia="Times New Roman" w:hAnsi="ITC Avant Garde" w:cs="Arial"/>
          <w:iCs/>
          <w:color w:val="000000" w:themeColor="text1"/>
        </w:rPr>
        <w:t>Que la falla ocurra en las horas de mayor tráfico (hora pico).</w:t>
      </w:r>
    </w:p>
    <w:p w14:paraId="5014B4B0" w14:textId="77777777" w:rsidR="000F0B9F" w:rsidRPr="008762D1" w:rsidRDefault="00850FD8" w:rsidP="000F0B9F">
      <w:pPr>
        <w:pStyle w:val="Prrafodelista"/>
        <w:numPr>
          <w:ilvl w:val="0"/>
          <w:numId w:val="18"/>
        </w:numPr>
        <w:spacing w:before="240" w:after="0"/>
        <w:jc w:val="both"/>
        <w:rPr>
          <w:rFonts w:ascii="Helvetica" w:hAnsi="Helvetica" w:cs="Helvetica"/>
          <w:color w:val="000000" w:themeColor="text1"/>
          <w:sz w:val="19"/>
          <w:szCs w:val="19"/>
        </w:rPr>
      </w:pPr>
      <w:r w:rsidRPr="008762D1">
        <w:rPr>
          <w:rFonts w:ascii="ITC Avant Garde" w:eastAsia="Times New Roman" w:hAnsi="ITC Avant Garde" w:cs="Arial"/>
          <w:iCs/>
          <w:color w:val="000000" w:themeColor="text1"/>
        </w:rPr>
        <w:t>Que la duración de la falla sea prolongada y coincida con horas pico.</w:t>
      </w:r>
    </w:p>
    <w:p w14:paraId="4338E81B" w14:textId="77777777" w:rsidR="000F0B9F" w:rsidRPr="008762D1" w:rsidRDefault="00F51572"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Por lo anterior, Telmex </w:t>
      </w:r>
      <w:r w:rsidR="00005D13" w:rsidRPr="008762D1">
        <w:rPr>
          <w:rFonts w:ascii="ITC Avant Garde" w:eastAsia="Times New Roman" w:hAnsi="ITC Avant Garde" w:cs="Arial"/>
          <w:iCs/>
          <w:color w:val="000000" w:themeColor="text1"/>
        </w:rPr>
        <w:t>propone ajustar la redacción del último párrafo conforme a lo siguiente:</w:t>
      </w:r>
    </w:p>
    <w:p w14:paraId="2C448C49" w14:textId="4564B322" w:rsidR="001A782F" w:rsidRPr="008762D1" w:rsidRDefault="001A782F" w:rsidP="000F0B9F">
      <w:pPr>
        <w:spacing w:before="240" w:after="0" w:line="276" w:lineRule="auto"/>
        <w:ind w:left="567" w:right="567"/>
        <w:jc w:val="both"/>
        <w:rPr>
          <w:rFonts w:ascii="ITC Avant Garde" w:eastAsia="Times New Roman" w:hAnsi="ITC Avant Garde" w:cs="Arial"/>
          <w:iCs/>
          <w:color w:val="000000" w:themeColor="text1"/>
          <w:sz w:val="18"/>
          <w:szCs w:val="18"/>
          <w:u w:val="single"/>
        </w:rPr>
      </w:pPr>
      <w:r w:rsidRPr="008762D1">
        <w:rPr>
          <w:rFonts w:ascii="ITC Avant Garde" w:eastAsia="Times New Roman" w:hAnsi="ITC Avant Garde" w:cs="Arial"/>
          <w:iCs/>
          <w:color w:val="000000" w:themeColor="text1"/>
          <w:sz w:val="18"/>
          <w:szCs w:val="18"/>
        </w:rPr>
        <w:t xml:space="preserve">En caso de habilitarse redundancia entre sitios, los enlaces por sitio deberán estar dimensionados para soportar </w:t>
      </w:r>
      <w:r w:rsidRPr="008762D1">
        <w:rPr>
          <w:rFonts w:ascii="ITC Avant Garde" w:eastAsia="Times New Roman" w:hAnsi="ITC Avant Garde" w:cs="Arial"/>
          <w:iCs/>
          <w:color w:val="000000" w:themeColor="text1"/>
          <w:sz w:val="18"/>
          <w:szCs w:val="18"/>
          <w:u w:val="single"/>
        </w:rPr>
        <w:t>en la hora pico un máximo de 85% de carga</w:t>
      </w:r>
      <w:r w:rsidRPr="008762D1">
        <w:rPr>
          <w:rFonts w:ascii="ITC Avant Garde" w:eastAsia="Times New Roman" w:hAnsi="ITC Avant Garde" w:cs="Arial"/>
          <w:iCs/>
          <w:color w:val="000000" w:themeColor="text1"/>
          <w:sz w:val="18"/>
          <w:szCs w:val="18"/>
        </w:rPr>
        <w:t xml:space="preserve">, </w:t>
      </w:r>
      <w:r w:rsidRPr="008762D1">
        <w:rPr>
          <w:rFonts w:ascii="ITC Avant Garde" w:eastAsia="Times New Roman" w:hAnsi="ITC Avant Garde" w:cs="Arial"/>
          <w:iCs/>
          <w:color w:val="000000" w:themeColor="text1"/>
          <w:sz w:val="18"/>
          <w:szCs w:val="18"/>
          <w:u w:val="single"/>
        </w:rPr>
        <w:t>siendo éste el parámetro para disparar el crecimiento de los servicios. Con lo anterior</w:t>
      </w:r>
      <w:r w:rsidRPr="008762D1">
        <w:rPr>
          <w:rFonts w:ascii="ITC Avant Garde" w:eastAsia="Times New Roman" w:hAnsi="ITC Avant Garde" w:cs="Arial"/>
          <w:iCs/>
          <w:color w:val="000000" w:themeColor="text1"/>
          <w:sz w:val="18"/>
          <w:szCs w:val="18"/>
        </w:rPr>
        <w:t xml:space="preserve">, en caso de falla de uno de los sitios, </w:t>
      </w:r>
      <w:r w:rsidRPr="008762D1">
        <w:rPr>
          <w:rFonts w:ascii="ITC Avant Garde" w:eastAsia="Times New Roman" w:hAnsi="ITC Avant Garde" w:cs="Arial"/>
          <w:iCs/>
          <w:color w:val="000000" w:themeColor="text1"/>
          <w:sz w:val="18"/>
          <w:szCs w:val="18"/>
          <w:u w:val="single"/>
        </w:rPr>
        <w:t>el</w:t>
      </w:r>
      <w:r w:rsidRPr="008762D1">
        <w:rPr>
          <w:rFonts w:ascii="ITC Avant Garde" w:eastAsia="Times New Roman" w:hAnsi="ITC Avant Garde" w:cs="Arial"/>
          <w:iCs/>
          <w:color w:val="000000" w:themeColor="text1"/>
          <w:sz w:val="18"/>
          <w:szCs w:val="18"/>
        </w:rPr>
        <w:t xml:space="preserve"> tráfico se </w:t>
      </w:r>
      <w:proofErr w:type="spellStart"/>
      <w:r w:rsidRPr="008762D1">
        <w:rPr>
          <w:rFonts w:ascii="ITC Avant Garde" w:eastAsia="Times New Roman" w:hAnsi="ITC Avant Garde" w:cs="Arial"/>
          <w:iCs/>
          <w:color w:val="000000" w:themeColor="text1"/>
          <w:sz w:val="18"/>
          <w:szCs w:val="18"/>
          <w:u w:val="single"/>
        </w:rPr>
        <w:t>enrutará</w:t>
      </w:r>
      <w:proofErr w:type="spellEnd"/>
      <w:r w:rsidRPr="008762D1">
        <w:rPr>
          <w:rFonts w:ascii="ITC Avant Garde" w:eastAsia="Times New Roman" w:hAnsi="ITC Avant Garde" w:cs="Arial"/>
          <w:iCs/>
          <w:color w:val="000000" w:themeColor="text1"/>
          <w:sz w:val="18"/>
          <w:szCs w:val="18"/>
          <w:u w:val="single"/>
        </w:rPr>
        <w:t xml:space="preserve"> al enlace en servicio previniendo la afectación del servicio.</w:t>
      </w:r>
    </w:p>
    <w:p w14:paraId="5CC6AA67" w14:textId="77777777" w:rsidR="001A782F" w:rsidRPr="008762D1" w:rsidRDefault="001A782F"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p>
    <w:p w14:paraId="57621246" w14:textId="77777777" w:rsidR="000F0B9F" w:rsidRPr="008762D1" w:rsidRDefault="001A782F"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5D7D8671" w14:textId="77777777" w:rsidR="000F0B9F" w:rsidRPr="008762D1" w:rsidRDefault="004325AA"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Señala Telmex que, de aceptarse los términos y condiciones bajo los cuales fue redactado el párrafo en comento, se estaría en presencia de una subutilización de la red de Telmex, con porcentajes menores de ocupación a los que en la realidad se presentan. Así, debe recordarse que dicha modificación fue propuesta por </w:t>
      </w:r>
      <w:proofErr w:type="spellStart"/>
      <w:r w:rsidRPr="008762D1">
        <w:rPr>
          <w:rFonts w:ascii="ITC Avant Garde" w:eastAsia="Times New Roman" w:hAnsi="ITC Avant Garde" w:cs="Arial"/>
          <w:iCs/>
          <w:color w:val="000000" w:themeColor="text1"/>
        </w:rPr>
        <w:t>Radiomóvil</w:t>
      </w:r>
      <w:proofErr w:type="spellEnd"/>
      <w:r w:rsidRPr="008762D1">
        <w:rPr>
          <w:rFonts w:ascii="ITC Avant Garde" w:eastAsia="Times New Roman" w:hAnsi="ITC Avant Garde" w:cs="Arial"/>
          <w:iCs/>
          <w:color w:val="000000" w:themeColor="text1"/>
        </w:rPr>
        <w:t xml:space="preserve"> </w:t>
      </w:r>
      <w:proofErr w:type="spellStart"/>
      <w:r w:rsidRPr="008762D1">
        <w:rPr>
          <w:rFonts w:ascii="ITC Avant Garde" w:eastAsia="Times New Roman" w:hAnsi="ITC Avant Garde" w:cs="Arial"/>
          <w:iCs/>
          <w:color w:val="000000" w:themeColor="text1"/>
        </w:rPr>
        <w:t>Dipsa</w:t>
      </w:r>
      <w:proofErr w:type="spellEnd"/>
      <w:r w:rsidRPr="008762D1">
        <w:rPr>
          <w:rFonts w:ascii="ITC Avant Garde" w:eastAsia="Times New Roman" w:hAnsi="ITC Avant Garde" w:cs="Arial"/>
          <w:iCs/>
          <w:color w:val="000000" w:themeColor="text1"/>
        </w:rPr>
        <w:t>, S.A. de C.V. (en lo sucesivo Telcel) y aunque Telmex no tiene inconveniente y está de acuerdo con la implementación y la finalidad de las redundancias y el balanceo del tráfico, no debe perderse de vista que la red de Telmex supone mayores compromisos de tráfico que la red de Telce</w:t>
      </w:r>
      <w:r w:rsidR="006F023B" w:rsidRPr="008762D1">
        <w:rPr>
          <w:rFonts w:ascii="ITC Avant Garde" w:eastAsia="Times New Roman" w:hAnsi="ITC Avant Garde" w:cs="Arial"/>
          <w:iCs/>
          <w:color w:val="000000" w:themeColor="text1"/>
        </w:rPr>
        <w:t>l</w:t>
      </w:r>
      <w:r w:rsidRPr="008762D1">
        <w:rPr>
          <w:rFonts w:ascii="ITC Avant Garde" w:eastAsia="Times New Roman" w:hAnsi="ITC Avant Garde" w:cs="Arial"/>
          <w:iCs/>
          <w:color w:val="000000" w:themeColor="text1"/>
        </w:rPr>
        <w:t xml:space="preserve">, motivo por el cual solicita la modificación del párrafo transcrito en los términos propuestos. </w:t>
      </w:r>
    </w:p>
    <w:p w14:paraId="6E215B04" w14:textId="77777777" w:rsidR="000F0B9F" w:rsidRPr="008762D1" w:rsidRDefault="006F5746"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Adicionalmente, Telmex señala </w:t>
      </w:r>
      <w:r w:rsidR="00F51572" w:rsidRPr="008762D1">
        <w:rPr>
          <w:rFonts w:ascii="ITC Avant Garde" w:eastAsia="Times New Roman" w:hAnsi="ITC Avant Garde" w:cs="Arial"/>
          <w:iCs/>
          <w:color w:val="000000" w:themeColor="text1"/>
        </w:rPr>
        <w:t>que el establecimiento de 1</w:t>
      </w:r>
      <w:r w:rsidR="00005D13" w:rsidRPr="008762D1">
        <w:rPr>
          <w:rFonts w:ascii="ITC Avant Garde" w:eastAsia="Times New Roman" w:hAnsi="ITC Avant Garde" w:cs="Arial"/>
          <w:iCs/>
          <w:color w:val="000000" w:themeColor="text1"/>
        </w:rPr>
        <w:t xml:space="preserve">1 Puntos de </w:t>
      </w:r>
      <w:proofErr w:type="spellStart"/>
      <w:r w:rsidR="00005D13" w:rsidRPr="008762D1">
        <w:rPr>
          <w:rFonts w:ascii="ITC Avant Garde" w:eastAsia="Times New Roman" w:hAnsi="ITC Avant Garde" w:cs="Arial"/>
          <w:iCs/>
          <w:color w:val="000000" w:themeColor="text1"/>
        </w:rPr>
        <w:t>lnterconexión</w:t>
      </w:r>
      <w:proofErr w:type="spellEnd"/>
      <w:r w:rsidR="00005D13" w:rsidRPr="008762D1">
        <w:rPr>
          <w:rFonts w:ascii="ITC Avant Garde" w:eastAsia="Times New Roman" w:hAnsi="ITC Avant Garde" w:cs="Arial"/>
          <w:iCs/>
          <w:color w:val="000000" w:themeColor="text1"/>
        </w:rPr>
        <w:t xml:space="preserve"> bajo protocolo </w:t>
      </w:r>
      <w:proofErr w:type="spellStart"/>
      <w:r w:rsidR="00005D13" w:rsidRPr="008762D1">
        <w:rPr>
          <w:rFonts w:ascii="ITC Avant Garde" w:eastAsia="Times New Roman" w:hAnsi="ITC Avant Garde" w:cs="Arial"/>
          <w:iCs/>
          <w:color w:val="000000" w:themeColor="text1"/>
        </w:rPr>
        <w:t>lP</w:t>
      </w:r>
      <w:proofErr w:type="spellEnd"/>
      <w:r w:rsidR="00005D13" w:rsidRPr="008762D1">
        <w:rPr>
          <w:rFonts w:ascii="ITC Avant Garde" w:eastAsia="Times New Roman" w:hAnsi="ITC Avant Garde" w:cs="Arial"/>
          <w:iCs/>
          <w:color w:val="000000" w:themeColor="text1"/>
        </w:rPr>
        <w:t xml:space="preserve">, y la ocupación de sólo 3 de ellos por los concesionarios </w:t>
      </w:r>
      <w:r w:rsidR="00B5580E" w:rsidRPr="008762D1">
        <w:rPr>
          <w:rFonts w:ascii="ITC Avant Garde" w:eastAsia="Times New Roman" w:hAnsi="ITC Avant Garde" w:cs="Arial"/>
          <w:iCs/>
          <w:color w:val="000000" w:themeColor="text1"/>
        </w:rPr>
        <w:t>interconectados</w:t>
      </w:r>
      <w:r w:rsidR="00005D13" w:rsidRPr="008762D1">
        <w:rPr>
          <w:rFonts w:ascii="ITC Avant Garde" w:eastAsia="Times New Roman" w:hAnsi="ITC Avant Garde" w:cs="Arial"/>
          <w:iCs/>
          <w:color w:val="000000" w:themeColor="text1"/>
        </w:rPr>
        <w:t xml:space="preserve"> con la red de Telmex, ocasiona la subutilización de dicha infraestructura, lo que implica pérdida de ingresos, depreciación de equipos e incluso la obsolescencia de los mismos.</w:t>
      </w:r>
    </w:p>
    <w:p w14:paraId="71271AB0" w14:textId="339B7697" w:rsidR="00AD24B2" w:rsidRPr="008762D1" w:rsidRDefault="00C81FB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6DD36D51" w14:textId="77777777" w:rsidR="000F0B9F" w:rsidRPr="008762D1" w:rsidRDefault="007E0831"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El término “redundancia” consiste en la duplicidad de componentes para incrementar la disponibilidad de un sistema, en este caso la duplicidad </w:t>
      </w:r>
      <w:r w:rsidR="0049556B" w:rsidRPr="008762D1">
        <w:rPr>
          <w:rFonts w:ascii="ITC Avant Garde" w:hAnsi="ITC Avant Garde"/>
          <w:color w:val="000000" w:themeColor="text1"/>
        </w:rPr>
        <w:t xml:space="preserve">de </w:t>
      </w:r>
      <w:r w:rsidR="0049556B" w:rsidRPr="008762D1">
        <w:rPr>
          <w:rFonts w:ascii="ITC Avant Garde" w:hAnsi="ITC Avant Garde"/>
          <w:color w:val="000000" w:themeColor="text1"/>
        </w:rPr>
        <w:lastRenderedPageBreak/>
        <w:t>componentes corresponde</w:t>
      </w:r>
      <w:r w:rsidRPr="008762D1">
        <w:rPr>
          <w:rFonts w:ascii="ITC Avant Garde" w:hAnsi="ITC Avant Garde"/>
          <w:color w:val="000000" w:themeColor="text1"/>
        </w:rPr>
        <w:t xml:space="preserve"> a la realización de la interconexión en dos puntos capaces de recibir el mismo perfil de tráfico en caso de falla</w:t>
      </w:r>
      <w:r w:rsidR="00EA6C7A" w:rsidRPr="008762D1">
        <w:rPr>
          <w:rFonts w:ascii="ITC Avant Garde" w:hAnsi="ITC Avant Garde"/>
          <w:color w:val="000000" w:themeColor="text1"/>
        </w:rPr>
        <w:t>.</w:t>
      </w:r>
    </w:p>
    <w:p w14:paraId="4F3DD459" w14:textId="77777777" w:rsidR="000F0B9F" w:rsidRPr="008762D1" w:rsidRDefault="00FC3302"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Contar con un esquema de redundancia permite garantizar la continuidad en la prestación del servicio, </w:t>
      </w:r>
      <w:r w:rsidR="0049556B" w:rsidRPr="008762D1">
        <w:rPr>
          <w:rFonts w:ascii="ITC Avant Garde" w:hAnsi="ITC Avant Garde"/>
          <w:color w:val="000000" w:themeColor="text1"/>
        </w:rPr>
        <w:t>es así</w:t>
      </w:r>
      <w:r w:rsidR="007453F5" w:rsidRPr="008762D1">
        <w:rPr>
          <w:rFonts w:ascii="ITC Avant Garde" w:hAnsi="ITC Avant Garde"/>
          <w:color w:val="000000" w:themeColor="text1"/>
        </w:rPr>
        <w:t xml:space="preserve"> que</w:t>
      </w:r>
      <w:r w:rsidRPr="008762D1">
        <w:rPr>
          <w:rFonts w:ascii="ITC Avant Garde" w:hAnsi="ITC Avant Garde"/>
          <w:color w:val="000000" w:themeColor="text1"/>
        </w:rPr>
        <w:t xml:space="preserve"> la </w:t>
      </w:r>
      <w:r w:rsidR="00387AF2" w:rsidRPr="008762D1">
        <w:rPr>
          <w:rFonts w:ascii="ITC Avant Garde" w:hAnsi="ITC Avant Garde"/>
          <w:color w:val="000000" w:themeColor="text1"/>
        </w:rPr>
        <w:t>realización de la interconexión directa en</w:t>
      </w:r>
      <w:r w:rsidR="006F023B" w:rsidRPr="008762D1">
        <w:rPr>
          <w:rFonts w:ascii="ITC Avant Garde" w:hAnsi="ITC Avant Garde"/>
          <w:color w:val="000000" w:themeColor="text1"/>
        </w:rPr>
        <w:t>,</w:t>
      </w:r>
      <w:r w:rsidR="00387AF2" w:rsidRPr="008762D1">
        <w:rPr>
          <w:rFonts w:ascii="ITC Avant Garde" w:hAnsi="ITC Avant Garde"/>
          <w:color w:val="000000" w:themeColor="text1"/>
        </w:rPr>
        <w:t xml:space="preserve"> al menos</w:t>
      </w:r>
      <w:r w:rsidRPr="008762D1">
        <w:rPr>
          <w:rFonts w:ascii="ITC Avant Garde" w:hAnsi="ITC Avant Garde"/>
          <w:color w:val="000000" w:themeColor="text1"/>
        </w:rPr>
        <w:t xml:space="preserve"> dos puntos de interconexión </w:t>
      </w:r>
      <w:r w:rsidR="00AE3B60" w:rsidRPr="008762D1">
        <w:rPr>
          <w:rFonts w:ascii="ITC Avant Garde" w:hAnsi="ITC Avant Garde"/>
          <w:color w:val="000000" w:themeColor="text1"/>
        </w:rPr>
        <w:t xml:space="preserve">los cuales pueden ubicarse en la misma ciudad o en distinta ciudad, </w:t>
      </w:r>
      <w:r w:rsidR="00971839" w:rsidRPr="008762D1">
        <w:rPr>
          <w:rFonts w:ascii="ITC Avant Garde" w:hAnsi="ITC Avant Garde"/>
          <w:color w:val="000000" w:themeColor="text1"/>
        </w:rPr>
        <w:t xml:space="preserve">permite que </w:t>
      </w:r>
      <w:r w:rsidR="0049556B" w:rsidRPr="008762D1">
        <w:rPr>
          <w:rFonts w:ascii="ITC Avant Garde" w:hAnsi="ITC Avant Garde"/>
          <w:color w:val="000000" w:themeColor="text1"/>
        </w:rPr>
        <w:t xml:space="preserve">en caso de presentarse alguna falla, </w:t>
      </w:r>
      <w:r w:rsidR="00971839" w:rsidRPr="008762D1">
        <w:rPr>
          <w:rFonts w:ascii="ITC Avant Garde" w:hAnsi="ITC Avant Garde"/>
          <w:color w:val="000000" w:themeColor="text1"/>
        </w:rPr>
        <w:t xml:space="preserve">el tráfico cursado a través de uno de </w:t>
      </w:r>
      <w:r w:rsidR="004E79D9" w:rsidRPr="008762D1">
        <w:rPr>
          <w:rFonts w:ascii="ITC Avant Garde" w:hAnsi="ITC Avant Garde"/>
          <w:color w:val="000000" w:themeColor="text1"/>
        </w:rPr>
        <w:t>estos puntos</w:t>
      </w:r>
      <w:r w:rsidR="00971839" w:rsidRPr="008762D1">
        <w:rPr>
          <w:rFonts w:ascii="ITC Avant Garde" w:hAnsi="ITC Avant Garde"/>
          <w:color w:val="000000" w:themeColor="text1"/>
        </w:rPr>
        <w:t xml:space="preserve"> pueda ser </w:t>
      </w:r>
      <w:proofErr w:type="spellStart"/>
      <w:r w:rsidR="00971839" w:rsidRPr="008762D1">
        <w:rPr>
          <w:rFonts w:ascii="ITC Avant Garde" w:hAnsi="ITC Avant Garde"/>
          <w:color w:val="000000" w:themeColor="text1"/>
        </w:rPr>
        <w:t>redireccionado</w:t>
      </w:r>
      <w:proofErr w:type="spellEnd"/>
      <w:r w:rsidR="00971839" w:rsidRPr="008762D1">
        <w:rPr>
          <w:rFonts w:ascii="ITC Avant Garde" w:hAnsi="ITC Avant Garde"/>
          <w:color w:val="000000" w:themeColor="text1"/>
        </w:rPr>
        <w:t xml:space="preserve"> al segundo.</w:t>
      </w:r>
      <w:r w:rsidR="00601C6F" w:rsidRPr="008762D1">
        <w:rPr>
          <w:rFonts w:ascii="ITC Avant Garde" w:hAnsi="ITC Avant Garde"/>
          <w:color w:val="000000" w:themeColor="text1"/>
        </w:rPr>
        <w:t xml:space="preserve"> </w:t>
      </w:r>
      <w:r w:rsidR="006408D3" w:rsidRPr="008762D1">
        <w:rPr>
          <w:rFonts w:ascii="ITC Avant Garde" w:hAnsi="ITC Avant Garde"/>
          <w:color w:val="000000" w:themeColor="text1"/>
        </w:rPr>
        <w:t>Asimismo, e</w:t>
      </w:r>
      <w:r w:rsidR="00971839" w:rsidRPr="008762D1">
        <w:rPr>
          <w:rFonts w:ascii="ITC Avant Garde" w:hAnsi="ITC Avant Garde"/>
          <w:color w:val="000000" w:themeColor="text1"/>
        </w:rPr>
        <w:t xml:space="preserve">l balanceo de tráfico que se realiza entre los puntos de interconexión permite </w:t>
      </w:r>
      <w:r w:rsidR="007453F5" w:rsidRPr="008762D1">
        <w:rPr>
          <w:rFonts w:ascii="ITC Avant Garde" w:hAnsi="ITC Avant Garde"/>
          <w:color w:val="000000" w:themeColor="text1"/>
        </w:rPr>
        <w:t>garantizar que ambos se encuentra</w:t>
      </w:r>
      <w:r w:rsidR="00971839" w:rsidRPr="008762D1">
        <w:rPr>
          <w:rFonts w:ascii="ITC Avant Garde" w:hAnsi="ITC Avant Garde"/>
          <w:color w:val="000000" w:themeColor="text1"/>
        </w:rPr>
        <w:t>n activos</w:t>
      </w:r>
      <w:r w:rsidR="002D32D9" w:rsidRPr="008762D1">
        <w:rPr>
          <w:rFonts w:ascii="ITC Avant Garde" w:hAnsi="ITC Avant Garde"/>
          <w:color w:val="000000" w:themeColor="text1"/>
        </w:rPr>
        <w:t xml:space="preserve"> y </w:t>
      </w:r>
      <w:r w:rsidR="007453F5" w:rsidRPr="008762D1">
        <w:rPr>
          <w:rFonts w:ascii="ITC Avant Garde" w:hAnsi="ITC Avant Garde"/>
          <w:color w:val="000000" w:themeColor="text1"/>
        </w:rPr>
        <w:t xml:space="preserve">en condiciones adecuadas para </w:t>
      </w:r>
      <w:r w:rsidR="0049556B" w:rsidRPr="008762D1">
        <w:rPr>
          <w:rFonts w:ascii="ITC Avant Garde" w:hAnsi="ITC Avant Garde"/>
          <w:color w:val="000000" w:themeColor="text1"/>
        </w:rPr>
        <w:t>su utilización</w:t>
      </w:r>
      <w:r w:rsidR="00971839" w:rsidRPr="008762D1">
        <w:rPr>
          <w:rFonts w:ascii="ITC Avant Garde" w:hAnsi="ITC Avant Garde"/>
          <w:color w:val="000000" w:themeColor="text1"/>
        </w:rPr>
        <w:t xml:space="preserve">, es así que </w:t>
      </w:r>
      <w:r w:rsidR="002D32D9" w:rsidRPr="008762D1">
        <w:rPr>
          <w:rFonts w:ascii="ITC Avant Garde" w:hAnsi="ITC Avant Garde"/>
          <w:color w:val="000000" w:themeColor="text1"/>
        </w:rPr>
        <w:t>de presentarse alguna falla</w:t>
      </w:r>
      <w:r w:rsidR="007453F5" w:rsidRPr="008762D1">
        <w:rPr>
          <w:rFonts w:ascii="ITC Avant Garde" w:hAnsi="ITC Avant Garde"/>
          <w:color w:val="000000" w:themeColor="text1"/>
        </w:rPr>
        <w:t>,</w:t>
      </w:r>
      <w:r w:rsidR="00971839" w:rsidRPr="008762D1">
        <w:rPr>
          <w:rFonts w:ascii="ITC Avant Garde" w:hAnsi="ITC Avant Garde"/>
          <w:color w:val="000000" w:themeColor="text1"/>
        </w:rPr>
        <w:t xml:space="preserve"> el punto redunda</w:t>
      </w:r>
      <w:r w:rsidR="002D32D9" w:rsidRPr="008762D1">
        <w:rPr>
          <w:rFonts w:ascii="ITC Avant Garde" w:hAnsi="ITC Avant Garde"/>
          <w:color w:val="000000" w:themeColor="text1"/>
        </w:rPr>
        <w:t>nte podrá atender</w:t>
      </w:r>
      <w:r w:rsidR="0049556B" w:rsidRPr="008762D1">
        <w:rPr>
          <w:rFonts w:ascii="ITC Avant Garde" w:hAnsi="ITC Avant Garde"/>
          <w:color w:val="000000" w:themeColor="text1"/>
        </w:rPr>
        <w:t xml:space="preserve"> de forma inmediata</w:t>
      </w:r>
      <w:r w:rsidR="002D32D9" w:rsidRPr="008762D1">
        <w:rPr>
          <w:rFonts w:ascii="ITC Avant Garde" w:hAnsi="ITC Avant Garde"/>
          <w:color w:val="000000" w:themeColor="text1"/>
        </w:rPr>
        <w:t xml:space="preserve"> el tráfico </w:t>
      </w:r>
      <w:r w:rsidR="0049556B" w:rsidRPr="008762D1">
        <w:rPr>
          <w:rFonts w:ascii="ITC Avant Garde" w:hAnsi="ITC Avant Garde"/>
          <w:color w:val="000000" w:themeColor="text1"/>
        </w:rPr>
        <w:t xml:space="preserve">que atiende el punto que </w:t>
      </w:r>
      <w:r w:rsidR="002D32D9" w:rsidRPr="008762D1">
        <w:rPr>
          <w:rFonts w:ascii="ITC Avant Garde" w:hAnsi="ITC Avant Garde"/>
          <w:color w:val="000000" w:themeColor="text1"/>
        </w:rPr>
        <w:t>presentó la falla eliminando con ello la afectación que podría presentarse en el servicio.</w:t>
      </w:r>
    </w:p>
    <w:p w14:paraId="5FC36DC9" w14:textId="77777777" w:rsidR="000F0B9F" w:rsidRPr="008762D1" w:rsidRDefault="007E0831"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No obstante lo anterior, </w:t>
      </w:r>
      <w:r w:rsidR="00601C6F" w:rsidRPr="008762D1">
        <w:rPr>
          <w:rFonts w:ascii="ITC Avant Garde" w:hAnsi="ITC Avant Garde"/>
          <w:color w:val="000000" w:themeColor="text1"/>
        </w:rPr>
        <w:t>es</w:t>
      </w:r>
      <w:r w:rsidRPr="008762D1">
        <w:rPr>
          <w:rFonts w:ascii="ITC Avant Garde" w:hAnsi="ITC Avant Garde"/>
          <w:color w:val="000000" w:themeColor="text1"/>
        </w:rPr>
        <w:t xml:space="preserve"> necesario establecer los criterios que se adoptarán para el crecimiento de los enlaces de interconexión bajo el esquema de redundancia</w:t>
      </w:r>
      <w:r w:rsidR="00665B0B" w:rsidRPr="008762D1">
        <w:rPr>
          <w:rFonts w:ascii="ITC Avant Garde" w:hAnsi="ITC Avant Garde"/>
          <w:color w:val="000000" w:themeColor="text1"/>
        </w:rPr>
        <w:t xml:space="preserve"> planteado. E</w:t>
      </w:r>
      <w:r w:rsidRPr="008762D1">
        <w:rPr>
          <w:rFonts w:ascii="ITC Avant Garde" w:hAnsi="ITC Avant Garde"/>
          <w:color w:val="000000" w:themeColor="text1"/>
        </w:rPr>
        <w:t xml:space="preserve">n este sentido, </w:t>
      </w:r>
      <w:r w:rsidR="009D1969" w:rsidRPr="008762D1">
        <w:rPr>
          <w:rFonts w:ascii="ITC Avant Garde" w:hAnsi="ITC Avant Garde"/>
          <w:color w:val="000000" w:themeColor="text1"/>
        </w:rPr>
        <w:t xml:space="preserve">Telmex </w:t>
      </w:r>
      <w:r w:rsidR="00665B0B" w:rsidRPr="008762D1">
        <w:rPr>
          <w:rFonts w:ascii="ITC Avant Garde" w:hAnsi="ITC Avant Garde"/>
          <w:color w:val="000000" w:themeColor="text1"/>
        </w:rPr>
        <w:t xml:space="preserve">señala que el parámetro para disparar el crecimiento de los servicios debe ser la ocupación del 85% </w:t>
      </w:r>
      <w:r w:rsidR="00E675C6" w:rsidRPr="008762D1">
        <w:rPr>
          <w:rFonts w:ascii="ITC Avant Garde" w:hAnsi="ITC Avant Garde"/>
          <w:color w:val="000000" w:themeColor="text1"/>
        </w:rPr>
        <w:t xml:space="preserve">en hora pico </w:t>
      </w:r>
      <w:r w:rsidR="00665B0B" w:rsidRPr="008762D1">
        <w:rPr>
          <w:rFonts w:ascii="ITC Avant Garde" w:hAnsi="ITC Avant Garde"/>
          <w:color w:val="000000" w:themeColor="text1"/>
        </w:rPr>
        <w:t xml:space="preserve">de la capacidad </w:t>
      </w:r>
      <w:r w:rsidR="00E675C6" w:rsidRPr="008762D1">
        <w:rPr>
          <w:rFonts w:ascii="ITC Avant Garde" w:hAnsi="ITC Avant Garde"/>
          <w:color w:val="000000" w:themeColor="text1"/>
        </w:rPr>
        <w:t>de los enlaces por sitio</w:t>
      </w:r>
      <w:r w:rsidR="009D1969" w:rsidRPr="008762D1">
        <w:rPr>
          <w:rFonts w:ascii="ITC Avant Garde" w:hAnsi="ITC Avant Garde"/>
          <w:color w:val="000000" w:themeColor="text1"/>
        </w:rPr>
        <w:t xml:space="preserve">, </w:t>
      </w:r>
      <w:r w:rsidR="004E79D9" w:rsidRPr="008762D1">
        <w:rPr>
          <w:rFonts w:ascii="ITC Avant Garde" w:hAnsi="ITC Avant Garde"/>
          <w:color w:val="000000" w:themeColor="text1"/>
        </w:rPr>
        <w:t xml:space="preserve">dicho umbral de </w:t>
      </w:r>
      <w:r w:rsidR="007453F5" w:rsidRPr="008762D1">
        <w:rPr>
          <w:rFonts w:ascii="ITC Avant Garde" w:hAnsi="ITC Avant Garde"/>
          <w:color w:val="000000" w:themeColor="text1"/>
        </w:rPr>
        <w:t>capacidad permitiría</w:t>
      </w:r>
      <w:r w:rsidR="009D1969" w:rsidRPr="008762D1">
        <w:rPr>
          <w:rFonts w:ascii="ITC Avant Garde" w:hAnsi="ITC Avant Garde"/>
          <w:color w:val="000000" w:themeColor="text1"/>
        </w:rPr>
        <w:t xml:space="preserve"> que se curse la totalidad del tráfico</w:t>
      </w:r>
      <w:r w:rsidR="007453F5" w:rsidRPr="008762D1">
        <w:rPr>
          <w:rFonts w:ascii="ITC Avant Garde" w:hAnsi="ITC Avant Garde"/>
          <w:color w:val="000000" w:themeColor="text1"/>
        </w:rPr>
        <w:t xml:space="preserve"> </w:t>
      </w:r>
      <w:r w:rsidRPr="008762D1">
        <w:rPr>
          <w:rFonts w:ascii="ITC Avant Garde" w:hAnsi="ITC Avant Garde"/>
          <w:color w:val="000000" w:themeColor="text1"/>
        </w:rPr>
        <w:t xml:space="preserve">durante </w:t>
      </w:r>
      <w:r w:rsidR="007453F5" w:rsidRPr="008762D1">
        <w:rPr>
          <w:rFonts w:ascii="ITC Avant Garde" w:hAnsi="ITC Avant Garde"/>
          <w:color w:val="000000" w:themeColor="text1"/>
        </w:rPr>
        <w:t>la hora de mayor demanda y adicionalmente, proporciona</w:t>
      </w:r>
      <w:r w:rsidR="00052CF9" w:rsidRPr="008762D1">
        <w:rPr>
          <w:rFonts w:ascii="ITC Avant Garde" w:hAnsi="ITC Avant Garde"/>
          <w:color w:val="000000" w:themeColor="text1"/>
        </w:rPr>
        <w:t xml:space="preserve"> </w:t>
      </w:r>
      <w:r w:rsidR="007453F5" w:rsidRPr="008762D1">
        <w:rPr>
          <w:rFonts w:ascii="ITC Avant Garde" w:hAnsi="ITC Avant Garde"/>
          <w:color w:val="000000" w:themeColor="text1"/>
        </w:rPr>
        <w:t xml:space="preserve">un margen de seguridad del 15% </w:t>
      </w:r>
      <w:r w:rsidR="009D1969" w:rsidRPr="008762D1">
        <w:rPr>
          <w:rFonts w:ascii="ITC Avant Garde" w:hAnsi="ITC Avant Garde"/>
          <w:color w:val="000000" w:themeColor="text1"/>
        </w:rPr>
        <w:t xml:space="preserve">de capacidad </w:t>
      </w:r>
      <w:r w:rsidR="007453F5" w:rsidRPr="008762D1">
        <w:rPr>
          <w:rFonts w:ascii="ITC Avant Garde" w:hAnsi="ITC Avant Garde"/>
          <w:color w:val="000000" w:themeColor="text1"/>
        </w:rPr>
        <w:t>adicional con la</w:t>
      </w:r>
      <w:r w:rsidR="009D1969" w:rsidRPr="008762D1">
        <w:rPr>
          <w:rFonts w:ascii="ITC Avant Garde" w:hAnsi="ITC Avant Garde"/>
          <w:color w:val="000000" w:themeColor="text1"/>
        </w:rPr>
        <w:t xml:space="preserve"> cual se podría manejar un</w:t>
      </w:r>
      <w:r w:rsidR="007453F5" w:rsidRPr="008762D1">
        <w:rPr>
          <w:rFonts w:ascii="ITC Avant Garde" w:hAnsi="ITC Avant Garde"/>
          <w:color w:val="000000" w:themeColor="text1"/>
        </w:rPr>
        <w:t xml:space="preserve"> 15% más de tráfico</w:t>
      </w:r>
      <w:r w:rsidR="00052CF9" w:rsidRPr="008762D1">
        <w:rPr>
          <w:rFonts w:ascii="ITC Avant Garde" w:hAnsi="ITC Avant Garde"/>
          <w:color w:val="000000" w:themeColor="text1"/>
        </w:rPr>
        <w:t>.</w:t>
      </w:r>
    </w:p>
    <w:p w14:paraId="26105042" w14:textId="77777777" w:rsidR="000F0B9F" w:rsidRPr="008762D1" w:rsidRDefault="00E675C6"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Es importante considerar que una falla puede presentarse en la hora de mayor demanda o en </w:t>
      </w:r>
      <w:r w:rsidR="00601C6F" w:rsidRPr="008762D1">
        <w:rPr>
          <w:rFonts w:ascii="ITC Avant Garde" w:hAnsi="ITC Avant Garde"/>
          <w:color w:val="000000" w:themeColor="text1"/>
        </w:rPr>
        <w:t>una</w:t>
      </w:r>
      <w:r w:rsidRPr="008762D1">
        <w:rPr>
          <w:rFonts w:ascii="ITC Avant Garde" w:hAnsi="ITC Avant Garde"/>
          <w:color w:val="000000" w:themeColor="text1"/>
        </w:rPr>
        <w:t xml:space="preserve"> hora con baja utilización de la red, es así que la capacidad adicional con la que deberán contar </w:t>
      </w:r>
      <w:r w:rsidR="00F26CF2" w:rsidRPr="008762D1">
        <w:rPr>
          <w:rFonts w:ascii="ITC Avant Garde" w:hAnsi="ITC Avant Garde"/>
          <w:color w:val="000000" w:themeColor="text1"/>
        </w:rPr>
        <w:t>los</w:t>
      </w:r>
      <w:r w:rsidRPr="008762D1">
        <w:rPr>
          <w:rFonts w:ascii="ITC Avant Garde" w:hAnsi="ITC Avant Garde"/>
          <w:color w:val="000000" w:themeColor="text1"/>
        </w:rPr>
        <w:t xml:space="preserve"> enlaces de interconexión</w:t>
      </w:r>
      <w:r w:rsidR="00601C6F" w:rsidRPr="008762D1">
        <w:rPr>
          <w:rFonts w:ascii="ITC Avant Garde" w:hAnsi="ITC Avant Garde"/>
          <w:color w:val="000000" w:themeColor="text1"/>
        </w:rPr>
        <w:t xml:space="preserve"> a efecto de utilizarse como enlaces redundantes</w:t>
      </w:r>
      <w:r w:rsidR="00F26CF2" w:rsidRPr="008762D1">
        <w:rPr>
          <w:rFonts w:ascii="ITC Avant Garde" w:hAnsi="ITC Avant Garde"/>
          <w:color w:val="000000" w:themeColor="text1"/>
        </w:rPr>
        <w:t xml:space="preserve">, </w:t>
      </w:r>
      <w:r w:rsidR="00601C6F" w:rsidRPr="008762D1">
        <w:rPr>
          <w:rFonts w:ascii="ITC Avant Garde" w:hAnsi="ITC Avant Garde"/>
          <w:color w:val="000000" w:themeColor="text1"/>
        </w:rPr>
        <w:t>debe</w:t>
      </w:r>
      <w:r w:rsidRPr="008762D1">
        <w:rPr>
          <w:rFonts w:ascii="ITC Avant Garde" w:hAnsi="ITC Avant Garde"/>
          <w:color w:val="000000" w:themeColor="text1"/>
        </w:rPr>
        <w:t xml:space="preserve"> </w:t>
      </w:r>
      <w:r w:rsidR="00F26CF2" w:rsidRPr="008762D1">
        <w:rPr>
          <w:rFonts w:ascii="ITC Avant Garde" w:hAnsi="ITC Avant Garde"/>
          <w:color w:val="000000" w:themeColor="text1"/>
        </w:rPr>
        <w:t>establecerse para log</w:t>
      </w:r>
      <w:r w:rsidR="00601C6F" w:rsidRPr="008762D1">
        <w:rPr>
          <w:rFonts w:ascii="ITC Avant Garde" w:hAnsi="ITC Avant Garde"/>
          <w:color w:val="000000" w:themeColor="text1"/>
        </w:rPr>
        <w:t>r</w:t>
      </w:r>
      <w:r w:rsidR="00F26CF2" w:rsidRPr="008762D1">
        <w:rPr>
          <w:rFonts w:ascii="ITC Avant Garde" w:hAnsi="ITC Avant Garde"/>
          <w:color w:val="000000" w:themeColor="text1"/>
        </w:rPr>
        <w:t>ar un equilibrio entre la capacidad sin utilizar y disponible todo el tiempo (ociosa), y la capacidad que permita atender la mayor cantidad de tráfico en el peor escenario de falla (la hora pico).</w:t>
      </w:r>
    </w:p>
    <w:p w14:paraId="6EC64ED4" w14:textId="77777777" w:rsidR="000F0B9F" w:rsidRPr="008762D1" w:rsidRDefault="00E675C6"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Es así que </w:t>
      </w:r>
      <w:r w:rsidR="00601C6F" w:rsidRPr="008762D1">
        <w:rPr>
          <w:rFonts w:ascii="ITC Avant Garde" w:hAnsi="ITC Avant Garde"/>
          <w:color w:val="000000" w:themeColor="text1"/>
        </w:rPr>
        <w:t xml:space="preserve">en el caso de </w:t>
      </w:r>
      <w:r w:rsidRPr="008762D1">
        <w:rPr>
          <w:rFonts w:ascii="ITC Avant Garde" w:hAnsi="ITC Avant Garde"/>
          <w:color w:val="000000" w:themeColor="text1"/>
        </w:rPr>
        <w:t xml:space="preserve">dimensionar un enlace </w:t>
      </w:r>
      <w:r w:rsidR="00F26CF2" w:rsidRPr="008762D1">
        <w:rPr>
          <w:rFonts w:ascii="ITC Avant Garde" w:hAnsi="ITC Avant Garde"/>
          <w:color w:val="000000" w:themeColor="text1"/>
        </w:rPr>
        <w:t xml:space="preserve">de interconexión </w:t>
      </w:r>
      <w:r w:rsidRPr="008762D1">
        <w:rPr>
          <w:rFonts w:ascii="ITC Avant Garde" w:hAnsi="ITC Avant Garde"/>
          <w:color w:val="000000" w:themeColor="text1"/>
        </w:rPr>
        <w:t xml:space="preserve">con la capacidad de atender su propio tráfico y el tráfico de otro enlace </w:t>
      </w:r>
      <w:r w:rsidR="00F26CF2" w:rsidRPr="008762D1">
        <w:rPr>
          <w:rFonts w:ascii="ITC Avant Garde" w:hAnsi="ITC Avant Garde"/>
          <w:color w:val="000000" w:themeColor="text1"/>
        </w:rPr>
        <w:t>en caso de presentarse alguna falla</w:t>
      </w:r>
      <w:r w:rsidRPr="008762D1">
        <w:rPr>
          <w:rFonts w:ascii="ITC Avant Garde" w:hAnsi="ITC Avant Garde"/>
          <w:color w:val="000000" w:themeColor="text1"/>
        </w:rPr>
        <w:t xml:space="preserve"> durante la hora de mayor tráfico implicaría la subutilización del mismo la mayor parte del tiempo.</w:t>
      </w:r>
    </w:p>
    <w:p w14:paraId="33A65C18" w14:textId="77777777" w:rsidR="000F0B9F" w:rsidRPr="008762D1" w:rsidRDefault="00765722"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Por otra parte, considerando la temporalidad de una falla y los tiempos máximos de atención a fallas establecidos en el CMI, considerando el umbral del 85% de ocupación para incrementar la capacidad de los enlaces por sitio, de presentarse una falla en la hora de mayor tráfico, el enlace redundante podrá atender el 15% </w:t>
      </w:r>
      <w:r w:rsidRPr="008762D1">
        <w:rPr>
          <w:rFonts w:ascii="ITC Avant Garde" w:hAnsi="ITC Avant Garde"/>
          <w:color w:val="000000" w:themeColor="text1"/>
        </w:rPr>
        <w:lastRenderedPageBreak/>
        <w:t>de tráfico adicional y el servicio</w:t>
      </w:r>
      <w:r w:rsidR="00AE3B60" w:rsidRPr="008762D1">
        <w:rPr>
          <w:rFonts w:ascii="ITC Avant Garde" w:hAnsi="ITC Avant Garde"/>
          <w:color w:val="000000" w:themeColor="text1"/>
        </w:rPr>
        <w:t xml:space="preserve">, en caso de pérdida total de tráfico </w:t>
      </w:r>
      <w:r w:rsidRPr="008762D1">
        <w:rPr>
          <w:rFonts w:ascii="ITC Avant Garde" w:hAnsi="ITC Avant Garde"/>
          <w:color w:val="000000" w:themeColor="text1"/>
        </w:rPr>
        <w:t>se deberá restablecer en 1 hora.</w:t>
      </w:r>
    </w:p>
    <w:p w14:paraId="137E5464" w14:textId="5E298015" w:rsidR="008B0DAD" w:rsidRPr="008762D1" w:rsidRDefault="00301E50" w:rsidP="008762D1">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En este sentido, considerando el carácter temporal de una falla y que el único escenario en el que un punto de interconexión no tenga la capacidad de recibir la totalidad de tráfico del punto con falla sería durante la hora de mayor tráfico (hora pico) y que aún bajo este escenario, el enlace redundante podrá tomar un 15% de tráfico adicional, se considera procedente la modificación realizada por Telmex en el sentido de considerar un incremento de capacidad  de los enlaces de interconexión por sitio al alcanzar el 85% de utilización de la misma.</w:t>
      </w:r>
    </w:p>
    <w:p w14:paraId="622221AF" w14:textId="77777777" w:rsidR="000F0B9F" w:rsidRPr="008762D1" w:rsidRDefault="00384E97" w:rsidP="000F0B9F">
      <w:pPr>
        <w:pStyle w:val="IFT1"/>
        <w:numPr>
          <w:ilvl w:val="2"/>
          <w:numId w:val="9"/>
        </w:numPr>
        <w:tabs>
          <w:tab w:val="left" w:pos="426"/>
        </w:tabs>
        <w:spacing w:before="240" w:after="0"/>
        <w:ind w:left="567" w:hanging="567"/>
        <w:rPr>
          <w:b/>
          <w:color w:val="000000" w:themeColor="text1"/>
        </w:rPr>
      </w:pPr>
      <w:r w:rsidRPr="008762D1">
        <w:rPr>
          <w:b/>
          <w:color w:val="000000" w:themeColor="text1"/>
        </w:rPr>
        <w:t>SOLICITUDES DE SERVICIO</w:t>
      </w:r>
      <w:r w:rsidRPr="008762D1">
        <w:rPr>
          <w:rFonts w:cs="Arial"/>
          <w:b/>
          <w:color w:val="000000" w:themeColor="text1"/>
        </w:rPr>
        <w:t>.</w:t>
      </w:r>
    </w:p>
    <w:p w14:paraId="2F72C7F4" w14:textId="1027CE4D" w:rsidR="002E7472"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703FDDCF" w14:textId="77777777" w:rsidR="000F0B9F" w:rsidRPr="008762D1" w:rsidRDefault="00277E1B" w:rsidP="000F0B9F">
      <w:pPr>
        <w:spacing w:before="240" w:after="0" w:line="276" w:lineRule="auto"/>
        <w:ind w:right="-93"/>
        <w:jc w:val="both"/>
        <w:rPr>
          <w:rFonts w:ascii="ITC Avant Garde" w:hAnsi="ITC Avant Garde" w:cs="Arial"/>
          <w:snapToGrid w:val="0"/>
          <w:color w:val="000000" w:themeColor="text1"/>
        </w:rPr>
      </w:pPr>
      <w:bookmarkStart w:id="2" w:name="_Toc426649746"/>
      <w:bookmarkStart w:id="3" w:name="_Toc426973641"/>
      <w:r w:rsidRPr="008762D1">
        <w:rPr>
          <w:rFonts w:ascii="ITC Avant Garde" w:hAnsi="ITC Avant Garde" w:cs="Arial"/>
          <w:color w:val="000000" w:themeColor="text1"/>
        </w:rPr>
        <w:t>Del análisis del numeral 2.4 d</w:t>
      </w:r>
      <w:r w:rsidR="007B2362" w:rsidRPr="008762D1">
        <w:rPr>
          <w:rFonts w:ascii="ITC Avant Garde" w:hAnsi="ITC Avant Garde" w:cs="Arial"/>
          <w:color w:val="000000" w:themeColor="text1"/>
        </w:rPr>
        <w:t>e la Propuesta de CMI se observó que el mismo</w:t>
      </w:r>
      <w:r w:rsidRPr="008762D1">
        <w:rPr>
          <w:rFonts w:ascii="ITC Avant Garde" w:hAnsi="ITC Avant Garde" w:cs="Arial"/>
          <w:color w:val="000000" w:themeColor="text1"/>
        </w:rPr>
        <w:t xml:space="preserve"> no se apega</w:t>
      </w:r>
      <w:r w:rsidR="00455173" w:rsidRPr="008762D1">
        <w:rPr>
          <w:rFonts w:ascii="ITC Avant Garde" w:hAnsi="ITC Avant Garde" w:cs="Arial"/>
          <w:color w:val="000000" w:themeColor="text1"/>
        </w:rPr>
        <w:t>ba</w:t>
      </w:r>
      <w:r w:rsidRPr="008762D1">
        <w:rPr>
          <w:rFonts w:ascii="ITC Avant Garde" w:hAnsi="ITC Avant Garde" w:cs="Arial"/>
          <w:color w:val="000000" w:themeColor="text1"/>
        </w:rPr>
        <w:t xml:space="preserve"> a </w:t>
      </w:r>
      <w:r w:rsidRPr="008762D1">
        <w:rPr>
          <w:rFonts w:ascii="ITC Avant Garde" w:hAnsi="ITC Avant Garde"/>
          <w:color w:val="000000" w:themeColor="text1"/>
        </w:rPr>
        <w:t xml:space="preserve">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 xml:space="preserve">y, toda vez que el propósito de revisar anualmente el instrumento regulatorio es mejorar, o precisar las condiciones, así como ajustarse a la evolución tecnológica del sector, y de ninguna forma se justifica la existencia de retrocesos en la regulación; no se </w:t>
      </w:r>
      <w:r w:rsidR="00D13A6B" w:rsidRPr="008762D1">
        <w:rPr>
          <w:rFonts w:ascii="ITC Avant Garde" w:hAnsi="ITC Avant Garde"/>
          <w:bCs/>
          <w:color w:val="000000" w:themeColor="text1"/>
        </w:rPr>
        <w:t>consideró</w:t>
      </w:r>
      <w:r w:rsidRPr="008762D1">
        <w:rPr>
          <w:rFonts w:ascii="ITC Avant Garde" w:hAnsi="ITC Avant Garde"/>
          <w:bCs/>
          <w:color w:val="000000" w:themeColor="text1"/>
        </w:rPr>
        <w:t xml:space="preserve"> procedente que en una revisión posterior del convenio ma</w:t>
      </w:r>
      <w:r w:rsidR="00D13A6B"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2B73B634" w14:textId="77777777" w:rsidR="000F0B9F" w:rsidRPr="008762D1" w:rsidRDefault="00B653CC" w:rsidP="000F0B9F">
      <w:pPr>
        <w:spacing w:before="240" w:after="0" w:line="276" w:lineRule="auto"/>
        <w:ind w:right="-93"/>
        <w:jc w:val="both"/>
        <w:rPr>
          <w:rFonts w:ascii="ITC Avant Garde" w:hAnsi="ITC Avant Garde" w:cs="Arial"/>
          <w:color w:val="000000" w:themeColor="text1"/>
        </w:rPr>
      </w:pPr>
      <w:r w:rsidRPr="008762D1">
        <w:rPr>
          <w:rFonts w:ascii="ITC Avant Garde" w:hAnsi="ITC Avant Garde" w:cs="Arial"/>
          <w:snapToGrid w:val="0"/>
          <w:color w:val="000000" w:themeColor="text1"/>
        </w:rPr>
        <w:t>Es así que</w:t>
      </w:r>
      <w:r w:rsidR="002E7472" w:rsidRPr="008762D1">
        <w:rPr>
          <w:rFonts w:ascii="ITC Avant Garde" w:hAnsi="ITC Avant Garde" w:cs="Arial"/>
          <w:snapToGrid w:val="0"/>
          <w:color w:val="000000" w:themeColor="text1"/>
        </w:rPr>
        <w:t>,</w:t>
      </w:r>
      <w:r w:rsidR="0012757B" w:rsidRPr="008762D1">
        <w:rPr>
          <w:rFonts w:ascii="ITC Avant Garde" w:hAnsi="ITC Avant Garde" w:cs="Arial"/>
          <w:snapToGrid w:val="0"/>
          <w:color w:val="000000" w:themeColor="text1"/>
        </w:rPr>
        <w:t xml:space="preserve"> respecto</w:t>
      </w:r>
      <w:r w:rsidR="00506A35" w:rsidRPr="008762D1">
        <w:rPr>
          <w:rFonts w:ascii="ITC Avant Garde" w:hAnsi="ITC Avant Garde" w:cs="Arial"/>
          <w:snapToGrid w:val="0"/>
          <w:color w:val="000000" w:themeColor="text1"/>
        </w:rPr>
        <w:t xml:space="preserve"> se estableció el procedimiento para la entrega de pronósticos de demanda. Asimismo, respecto a</w:t>
      </w:r>
      <w:r w:rsidR="0012757B" w:rsidRPr="008762D1">
        <w:rPr>
          <w:rFonts w:ascii="ITC Avant Garde" w:hAnsi="ITC Avant Garde" w:cs="Arial"/>
          <w:snapToGrid w:val="0"/>
          <w:color w:val="000000" w:themeColor="text1"/>
        </w:rPr>
        <w:t>l plazo de entrega de servicios de interconexión no comprendidos en los pronósticos de demanda presentados por el CS a Telmex, se observó que los mismos ser</w:t>
      </w:r>
      <w:r w:rsidR="007D2BFA" w:rsidRPr="008762D1">
        <w:rPr>
          <w:rFonts w:ascii="ITC Avant Garde" w:hAnsi="ITC Avant Garde" w:cs="Arial"/>
          <w:snapToGrid w:val="0"/>
          <w:color w:val="000000" w:themeColor="text1"/>
        </w:rPr>
        <w:t>ían entreg</w:t>
      </w:r>
      <w:r w:rsidR="0012757B" w:rsidRPr="008762D1">
        <w:rPr>
          <w:rFonts w:ascii="ITC Avant Garde" w:hAnsi="ITC Avant Garde" w:cs="Arial"/>
          <w:snapToGrid w:val="0"/>
          <w:color w:val="000000" w:themeColor="text1"/>
        </w:rPr>
        <w:t>ados en un plazo de 60 días naturales, siempre y cuando Telmex contara con las facilidades para la prestación de los servicios, en caso contrario la fecha sería acordad</w:t>
      </w:r>
      <w:r w:rsidR="007C1C5E" w:rsidRPr="008762D1">
        <w:rPr>
          <w:rFonts w:ascii="ITC Avant Garde" w:hAnsi="ITC Avant Garde" w:cs="Arial"/>
          <w:snapToGrid w:val="0"/>
          <w:color w:val="000000" w:themeColor="text1"/>
        </w:rPr>
        <w:t>a</w:t>
      </w:r>
      <w:r w:rsidR="0012757B" w:rsidRPr="008762D1">
        <w:rPr>
          <w:rFonts w:ascii="ITC Avant Garde" w:hAnsi="ITC Avant Garde" w:cs="Arial"/>
          <w:snapToGrid w:val="0"/>
          <w:color w:val="000000" w:themeColor="text1"/>
        </w:rPr>
        <w:t xml:space="preserve"> por las partes, de lo cual </w:t>
      </w:r>
      <w:r w:rsidR="00455173" w:rsidRPr="008762D1">
        <w:rPr>
          <w:rFonts w:ascii="ITC Avant Garde" w:hAnsi="ITC Avant Garde" w:cs="Arial"/>
          <w:color w:val="000000" w:themeColor="text1"/>
        </w:rPr>
        <w:t xml:space="preserve">a efecto de proporcionar al CS de plazos ciertos el Instituto modificó dicho </w:t>
      </w:r>
      <w:r w:rsidR="00D13A6B" w:rsidRPr="008762D1">
        <w:rPr>
          <w:rFonts w:ascii="ITC Avant Garde" w:hAnsi="ITC Avant Garde" w:cs="Arial"/>
          <w:color w:val="000000" w:themeColor="text1"/>
        </w:rPr>
        <w:t>numeral</w:t>
      </w:r>
      <w:r w:rsidR="00455173" w:rsidRPr="008762D1">
        <w:rPr>
          <w:rFonts w:ascii="ITC Avant Garde" w:hAnsi="ITC Avant Garde" w:cs="Arial"/>
          <w:color w:val="000000" w:themeColor="text1"/>
        </w:rPr>
        <w:t xml:space="preserve"> estableciendo que la fecha que sea ac</w:t>
      </w:r>
      <w:r w:rsidR="0012757B" w:rsidRPr="008762D1">
        <w:rPr>
          <w:rFonts w:ascii="ITC Avant Garde" w:hAnsi="ITC Avant Garde" w:cs="Arial"/>
          <w:color w:val="000000" w:themeColor="text1"/>
        </w:rPr>
        <w:t>ordada entre las partes no podría</w:t>
      </w:r>
      <w:r w:rsidR="00455173" w:rsidRPr="008762D1">
        <w:rPr>
          <w:rFonts w:ascii="ITC Avant Garde" w:hAnsi="ITC Avant Garde" w:cs="Arial"/>
          <w:color w:val="000000" w:themeColor="text1"/>
        </w:rPr>
        <w:t xml:space="preserve"> exceder de 60 días naturales</w:t>
      </w:r>
      <w:r w:rsidR="00C30EB0" w:rsidRPr="008762D1">
        <w:rPr>
          <w:rFonts w:ascii="ITC Avant Garde" w:hAnsi="ITC Avant Garde" w:cs="Arial"/>
          <w:color w:val="000000" w:themeColor="text1"/>
        </w:rPr>
        <w:t>, en los siguientes términos:</w:t>
      </w:r>
    </w:p>
    <w:p w14:paraId="56F074D6" w14:textId="77777777" w:rsidR="000F0B9F" w:rsidRPr="008762D1" w:rsidRDefault="00C30EB0" w:rsidP="000F0B9F">
      <w:pPr>
        <w:spacing w:before="240" w:after="0" w:line="276" w:lineRule="auto"/>
        <w:ind w:left="567" w:right="567"/>
        <w:jc w:val="both"/>
        <w:rPr>
          <w:rFonts w:ascii="ITC Avant Garde" w:eastAsia="Times New Roman" w:hAnsi="ITC Avant Garde" w:cs="Arial"/>
          <w:iCs/>
          <w:color w:val="000000" w:themeColor="text1"/>
          <w:sz w:val="18"/>
          <w:szCs w:val="18"/>
          <w:u w:val="single"/>
        </w:rPr>
      </w:pPr>
      <w:r w:rsidRPr="008762D1">
        <w:rPr>
          <w:rFonts w:ascii="ITC Avant Garde" w:eastAsia="Times New Roman" w:hAnsi="ITC Avant Garde" w:cs="Arial"/>
          <w:iCs/>
          <w:color w:val="000000" w:themeColor="text1"/>
          <w:sz w:val="18"/>
          <w:szCs w:val="18"/>
          <w:u w:val="single"/>
        </w:rPr>
        <w:t>“</w:t>
      </w:r>
      <w:r w:rsidR="00506A35" w:rsidRPr="008762D1">
        <w:rPr>
          <w:rFonts w:ascii="ITC Avant Garde" w:eastAsia="Times New Roman" w:hAnsi="ITC Avant Garde" w:cs="Arial"/>
          <w:iCs/>
          <w:color w:val="000000" w:themeColor="text1"/>
          <w:sz w:val="18"/>
          <w:szCs w:val="18"/>
          <w:u w:val="single"/>
        </w:rPr>
        <w:t>Dentro del mes siguiente a la fecha de firma del presente Convenio las Partes se deberán proporcionar mutuamente un pronóstico de su demanda de Servicios de Interconexión, para el año de firma y el primer semestre calendario del año siguiente en los términos descritos en el Anexo E y lo hagan constar en el Formato de Pronóstico de Demanda de Servicios de Interconexión, contenidos en el Anexo F,  los cuales  forman parte integrante al presente Convenio.</w:t>
      </w:r>
    </w:p>
    <w:p w14:paraId="7DA54C2E" w14:textId="166A54F0" w:rsidR="000F0B9F" w:rsidRPr="008762D1" w:rsidRDefault="00C30EB0"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 xml:space="preserve">Posteriormente, en su caso, las Partes entregarán en el meses de julio y diciembre su Pronóstico de Demanda de Servicios de Interconexión para el primer y segundo semestre del año calendario siguiente, mismos que deberán ser ratificados por </w:t>
      </w:r>
      <w:r w:rsidR="008762D1" w:rsidRPr="008762D1">
        <w:rPr>
          <w:rFonts w:cs="Arial"/>
          <w:b/>
          <w:color w:val="0000FF"/>
        </w:rPr>
        <w:t>(…)</w:t>
      </w:r>
      <w:r w:rsidR="008762D1">
        <w:rPr>
          <w:rFonts w:cs="Arial"/>
          <w:b/>
          <w:color w:val="0000FF"/>
        </w:rPr>
        <w:t xml:space="preserve"> </w:t>
      </w:r>
      <w:r w:rsidRPr="008762D1">
        <w:rPr>
          <w:rFonts w:ascii="ITC Avant Garde" w:eastAsia="Times New Roman" w:hAnsi="ITC Avant Garde" w:cs="Arial"/>
          <w:iCs/>
          <w:color w:val="000000" w:themeColor="text1"/>
          <w:sz w:val="18"/>
          <w:szCs w:val="18"/>
        </w:rPr>
        <w:t xml:space="preserve">en </w:t>
      </w:r>
      <w:r w:rsidRPr="008762D1">
        <w:rPr>
          <w:rFonts w:ascii="ITC Avant Garde" w:eastAsia="Times New Roman" w:hAnsi="ITC Avant Garde" w:cs="Arial"/>
          <w:iCs/>
          <w:color w:val="000000" w:themeColor="text1"/>
          <w:sz w:val="18"/>
          <w:szCs w:val="18"/>
        </w:rPr>
        <w:lastRenderedPageBreak/>
        <w:t xml:space="preserve">las fechas descritas en la tabla 2 del numeral 1.1.1. del anexo E, sin que dicho pronóstico limite, el hecho de que las Partes en el Convenio puedan solicitar Servicios de Interconexión en adición a los comprendidos en dicha proyección durante la vigencia del presente Convenio, los cuales serán entregados en </w:t>
      </w:r>
      <w:r w:rsidRPr="008762D1">
        <w:rPr>
          <w:rFonts w:ascii="ITC Avant Garde" w:eastAsia="Times New Roman" w:hAnsi="ITC Avant Garde" w:cs="Arial"/>
          <w:iCs/>
          <w:color w:val="000000" w:themeColor="text1"/>
          <w:sz w:val="18"/>
          <w:szCs w:val="18"/>
          <w:u w:val="single"/>
        </w:rPr>
        <w:t>la fecha que sea acordada entre las partes, la cual no podrá exceder de 60 días naturales.</w:t>
      </w:r>
      <w:r w:rsidRPr="008762D1">
        <w:rPr>
          <w:rFonts w:ascii="ITC Avant Garde" w:eastAsia="Times New Roman" w:hAnsi="ITC Avant Garde" w:cs="Arial"/>
          <w:iCs/>
          <w:color w:val="000000" w:themeColor="text1"/>
          <w:sz w:val="18"/>
          <w:szCs w:val="18"/>
        </w:rPr>
        <w:t>”</w:t>
      </w:r>
    </w:p>
    <w:p w14:paraId="48BC079D" w14:textId="77777777" w:rsidR="000F0B9F" w:rsidRPr="008762D1" w:rsidRDefault="00C30EB0"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24CD7F9E" w14:textId="49687E24" w:rsidR="007B2362" w:rsidRPr="008762D1" w:rsidRDefault="007B236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0551CC74" w14:textId="77777777" w:rsidR="000F0B9F" w:rsidRPr="008762D1" w:rsidRDefault="007F46B1"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Telmex presentó</w:t>
      </w:r>
      <w:r w:rsidR="00C30EB0" w:rsidRPr="008762D1">
        <w:rPr>
          <w:rFonts w:ascii="ITC Avant Garde" w:eastAsia="Times New Roman" w:hAnsi="ITC Avant Garde" w:cs="Arial"/>
          <w:iCs/>
          <w:color w:val="000000" w:themeColor="text1"/>
        </w:rPr>
        <w:t xml:space="preserve"> el </w:t>
      </w:r>
      <w:r w:rsidR="00C30EB0" w:rsidRPr="008762D1">
        <w:rPr>
          <w:rFonts w:ascii="ITC Avant Garde" w:hAnsi="ITC Avant Garde" w:cs="Arial"/>
          <w:color w:val="000000" w:themeColor="text1"/>
        </w:rPr>
        <w:t>numeral 2.4 en los términos señalados en el Acuerdo.</w:t>
      </w:r>
    </w:p>
    <w:p w14:paraId="0485E079" w14:textId="707CF862" w:rsidR="007B2362" w:rsidRPr="008762D1" w:rsidRDefault="007B236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15008B6" w14:textId="77777777" w:rsidR="000F0B9F" w:rsidRPr="008762D1" w:rsidRDefault="00AF5FA0" w:rsidP="000F0B9F">
      <w:pPr>
        <w:spacing w:before="240"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El numeral 2.4 proporciona certeza a los CS al establecer </w:t>
      </w:r>
      <w:r w:rsidR="00BC5738" w:rsidRPr="008762D1">
        <w:rPr>
          <w:rFonts w:ascii="ITC Avant Garde" w:hAnsi="ITC Avant Garde" w:cs="Arial"/>
          <w:color w:val="000000" w:themeColor="text1"/>
        </w:rPr>
        <w:t xml:space="preserve">el procedimiento para la entrega de pronósticos de demanda de los servicios de interconexión, así como </w:t>
      </w:r>
      <w:r w:rsidRPr="008762D1">
        <w:rPr>
          <w:rFonts w:ascii="ITC Avant Garde" w:hAnsi="ITC Avant Garde" w:cs="Arial"/>
          <w:color w:val="000000" w:themeColor="text1"/>
        </w:rPr>
        <w:t>un periodo de tiempo razonable</w:t>
      </w:r>
      <w:r w:rsidR="00011793" w:rsidRPr="008762D1">
        <w:rPr>
          <w:rFonts w:ascii="ITC Avant Garde" w:hAnsi="ITC Avant Garde" w:cs="Arial"/>
          <w:color w:val="000000" w:themeColor="text1"/>
        </w:rPr>
        <w:t xml:space="preserve"> </w:t>
      </w:r>
      <w:r w:rsidRPr="008762D1">
        <w:rPr>
          <w:rFonts w:ascii="ITC Avant Garde" w:hAnsi="ITC Avant Garde" w:cs="Arial"/>
          <w:color w:val="000000" w:themeColor="text1"/>
        </w:rPr>
        <w:t>para que</w:t>
      </w:r>
      <w:r w:rsidR="00011793" w:rsidRPr="008762D1">
        <w:rPr>
          <w:rFonts w:ascii="ITC Avant Garde" w:hAnsi="ITC Avant Garde" w:cs="Arial"/>
          <w:color w:val="000000" w:themeColor="text1"/>
        </w:rPr>
        <w:t xml:space="preserve"> sean atendidas las solicitudes de servicios no comprendidos </w:t>
      </w:r>
      <w:r w:rsidR="007C1C5E" w:rsidRPr="008762D1">
        <w:rPr>
          <w:rFonts w:ascii="ITC Avant Garde" w:hAnsi="ITC Avant Garde" w:cs="Arial"/>
          <w:color w:val="000000" w:themeColor="text1"/>
        </w:rPr>
        <w:t xml:space="preserve">en los pronósticos de demanda </w:t>
      </w:r>
      <w:r w:rsidR="00011793" w:rsidRPr="008762D1">
        <w:rPr>
          <w:rFonts w:ascii="ITC Avant Garde" w:hAnsi="ITC Avant Garde" w:cs="Arial"/>
          <w:color w:val="000000" w:themeColor="text1"/>
        </w:rPr>
        <w:t xml:space="preserve">presentados por el CS a Telmex. Asimismo, dicho plazo es suficiente para que en caso de que Telmex no </w:t>
      </w:r>
      <w:r w:rsidR="00A741B7" w:rsidRPr="008762D1">
        <w:rPr>
          <w:rFonts w:ascii="ITC Avant Garde" w:hAnsi="ITC Avant Garde" w:cs="Arial"/>
          <w:color w:val="000000" w:themeColor="text1"/>
        </w:rPr>
        <w:t>cuente</w:t>
      </w:r>
      <w:r w:rsidR="00011793" w:rsidRPr="008762D1">
        <w:rPr>
          <w:rFonts w:ascii="ITC Avant Garde" w:hAnsi="ITC Avant Garde" w:cs="Arial"/>
          <w:color w:val="000000" w:themeColor="text1"/>
        </w:rPr>
        <w:t xml:space="preserve"> con las facilidades necesarias para la prestación de tales servicios,</w:t>
      </w:r>
      <w:r w:rsidR="00A741B7" w:rsidRPr="008762D1">
        <w:rPr>
          <w:rFonts w:ascii="ITC Avant Garde" w:hAnsi="ITC Avant Garde" w:cs="Arial"/>
          <w:color w:val="000000" w:themeColor="text1"/>
        </w:rPr>
        <w:t xml:space="preserve"> realice las actividades que le permitan solventar tal situación.</w:t>
      </w:r>
    </w:p>
    <w:p w14:paraId="2E7CC8F6" w14:textId="77777777" w:rsidR="000F0B9F" w:rsidRPr="008762D1" w:rsidRDefault="00A741B7" w:rsidP="000F0B9F">
      <w:pPr>
        <w:spacing w:before="240"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Lo anterior, es congruente con los plazos máximos de entrega de servicios establecidos en el Anexo E, en el cual se señala</w:t>
      </w:r>
      <w:r w:rsidR="00B71DA7" w:rsidRPr="008762D1">
        <w:rPr>
          <w:rFonts w:ascii="ITC Avant Garde" w:hAnsi="ITC Avant Garde" w:cs="Arial"/>
          <w:color w:val="000000" w:themeColor="text1"/>
        </w:rPr>
        <w:t>n 15 (quince) días</w:t>
      </w:r>
      <w:r w:rsidRPr="008762D1">
        <w:rPr>
          <w:rFonts w:ascii="ITC Avant Garde" w:hAnsi="ITC Avant Garde" w:cs="Arial"/>
          <w:color w:val="000000" w:themeColor="text1"/>
        </w:rPr>
        <w:t xml:space="preserve"> </w:t>
      </w:r>
      <w:r w:rsidR="00B71DA7" w:rsidRPr="008762D1">
        <w:rPr>
          <w:rFonts w:ascii="ITC Avant Garde" w:hAnsi="ITC Avant Garde" w:cs="Arial"/>
          <w:color w:val="000000" w:themeColor="text1"/>
        </w:rPr>
        <w:t xml:space="preserve">como plazo de entrega de los servicios de </w:t>
      </w:r>
      <w:proofErr w:type="spellStart"/>
      <w:r w:rsidR="00B71DA7" w:rsidRPr="008762D1">
        <w:rPr>
          <w:rFonts w:ascii="ITC Avant Garde" w:hAnsi="ITC Avant Garde" w:cs="Arial"/>
          <w:color w:val="000000" w:themeColor="text1"/>
        </w:rPr>
        <w:t>coubicación</w:t>
      </w:r>
      <w:proofErr w:type="spellEnd"/>
      <w:r w:rsidR="00B71DA7" w:rsidRPr="008762D1">
        <w:rPr>
          <w:rFonts w:ascii="ITC Avant Garde" w:hAnsi="ITC Avant Garde" w:cs="Arial"/>
          <w:color w:val="000000" w:themeColor="text1"/>
        </w:rPr>
        <w:t xml:space="preserve">, puerto de señalización, puerto de acceso, facturación y enlace de transmisión entre </w:t>
      </w:r>
      <w:proofErr w:type="spellStart"/>
      <w:r w:rsidR="00B71DA7" w:rsidRPr="008762D1">
        <w:rPr>
          <w:rFonts w:ascii="ITC Avant Garde" w:hAnsi="ITC Avant Garde" w:cs="Arial"/>
          <w:color w:val="000000" w:themeColor="text1"/>
        </w:rPr>
        <w:t>coubicaciones</w:t>
      </w:r>
      <w:proofErr w:type="spellEnd"/>
      <w:r w:rsidR="00B71DA7" w:rsidRPr="008762D1">
        <w:rPr>
          <w:rFonts w:ascii="ITC Avant Garde" w:hAnsi="ITC Avant Garde" w:cs="Arial"/>
          <w:color w:val="000000" w:themeColor="text1"/>
        </w:rPr>
        <w:t xml:space="preserve"> no gestionado, en el caso de facilidad nueva.</w:t>
      </w:r>
    </w:p>
    <w:p w14:paraId="3099B7D9" w14:textId="77777777" w:rsidR="000F0B9F" w:rsidRPr="008762D1" w:rsidRDefault="00B71DA7" w:rsidP="000F0B9F">
      <w:pPr>
        <w:spacing w:before="240"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Es así que el plazo de 60 días naturales establecido en el numeral 2.4 para la prestación de servicios no pronosticados proporciona 45 días naturale</w:t>
      </w:r>
      <w:r w:rsidR="000103C4" w:rsidRPr="008762D1">
        <w:rPr>
          <w:rFonts w:ascii="ITC Avant Garde" w:hAnsi="ITC Avant Garde" w:cs="Arial"/>
          <w:color w:val="000000" w:themeColor="text1"/>
        </w:rPr>
        <w:t>s adicionales a los que requiere</w:t>
      </w:r>
      <w:r w:rsidRPr="008762D1">
        <w:rPr>
          <w:rFonts w:ascii="ITC Avant Garde" w:hAnsi="ITC Avant Garde" w:cs="Arial"/>
          <w:color w:val="000000" w:themeColor="text1"/>
        </w:rPr>
        <w:t xml:space="preserve"> Telmex para la prestación de los servicios que sí fueron pronosticados, por lo anterior,</w:t>
      </w:r>
      <w:r w:rsidR="00694CF3" w:rsidRPr="008762D1">
        <w:rPr>
          <w:rFonts w:ascii="ITC Avant Garde" w:hAnsi="ITC Avant Garde" w:cs="Arial"/>
          <w:color w:val="000000" w:themeColor="text1"/>
        </w:rPr>
        <w:t xml:space="preserve"> y toda vez que Telmex no realizó manifestaciones sobre la modificación realizada por el Instituto,</w:t>
      </w:r>
      <w:r w:rsidRPr="008762D1">
        <w:rPr>
          <w:rFonts w:ascii="ITC Avant Garde" w:hAnsi="ITC Avant Garde" w:cs="Arial"/>
          <w:color w:val="000000" w:themeColor="text1"/>
        </w:rPr>
        <w:t xml:space="preserve"> </w:t>
      </w:r>
      <w:r w:rsidR="000103C4" w:rsidRPr="008762D1">
        <w:rPr>
          <w:rFonts w:ascii="ITC Avant Garde" w:hAnsi="ITC Avant Garde" w:cs="Arial"/>
          <w:color w:val="000000" w:themeColor="text1"/>
        </w:rPr>
        <w:t xml:space="preserve">se considera procedente la </w:t>
      </w:r>
      <w:r w:rsidR="0064040F" w:rsidRPr="008762D1">
        <w:rPr>
          <w:rFonts w:ascii="ITC Avant Garde" w:hAnsi="ITC Avant Garde" w:cs="Arial"/>
          <w:color w:val="000000" w:themeColor="text1"/>
        </w:rPr>
        <w:t xml:space="preserve">aprobación </w:t>
      </w:r>
      <w:r w:rsidR="000103C4" w:rsidRPr="008762D1">
        <w:rPr>
          <w:rFonts w:ascii="ITC Avant Garde" w:hAnsi="ITC Avant Garde" w:cs="Arial"/>
          <w:color w:val="000000" w:themeColor="text1"/>
        </w:rPr>
        <w:t>del numeral 2.4 en los términos anteriormente descritos.</w:t>
      </w:r>
    </w:p>
    <w:p w14:paraId="613C915E" w14:textId="77777777" w:rsidR="000F0B9F" w:rsidRPr="008762D1" w:rsidRDefault="00030F69"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Por lo que hace al resto del contenido de la Cláusula Segunda la misma se refiere a la lista de Anexos del CMI la cual tiene un propósito meramente informativo mientras que el numeral 2.3 señala los servicios de interconexión contemplados en el CMI los cuales se apegan a los establecidos en el artículo 127 de la LFTR, así como a la obligación del AEP establecida en el artículo 133 de la misma ley de prestar de manera obligatoria todos ellos, por lo que se considera procedente su aprobación.</w:t>
      </w:r>
    </w:p>
    <w:p w14:paraId="32722330" w14:textId="77777777" w:rsidR="000F0B9F" w:rsidRPr="008762D1" w:rsidRDefault="00FB3628" w:rsidP="000F0B9F">
      <w:pPr>
        <w:pStyle w:val="IFT1"/>
        <w:numPr>
          <w:ilvl w:val="1"/>
          <w:numId w:val="9"/>
        </w:numPr>
        <w:tabs>
          <w:tab w:val="left" w:pos="426"/>
        </w:tabs>
        <w:spacing w:before="240" w:after="0"/>
        <w:ind w:left="284" w:hanging="284"/>
        <w:rPr>
          <w:rFonts w:cs="Arial"/>
          <w:b/>
          <w:snapToGrid w:val="0"/>
          <w:color w:val="000000" w:themeColor="text1"/>
          <w:u w:val="single"/>
        </w:rPr>
      </w:pPr>
      <w:r w:rsidRPr="008762D1">
        <w:rPr>
          <w:rFonts w:cs="Arial"/>
          <w:b/>
          <w:snapToGrid w:val="0"/>
          <w:color w:val="000000" w:themeColor="text1"/>
        </w:rPr>
        <w:t>CLÁUSULA TERCERA. INTERCAMBIO DE INFORMACIÓN.</w:t>
      </w:r>
    </w:p>
    <w:p w14:paraId="63A49B6F" w14:textId="77777777" w:rsidR="000F0B9F" w:rsidRPr="008762D1" w:rsidRDefault="002D0DA1" w:rsidP="000F0B9F">
      <w:pPr>
        <w:spacing w:before="240" w:after="0" w:line="276" w:lineRule="auto"/>
        <w:ind w:right="-93"/>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lastRenderedPageBreak/>
        <w:t>El contenido de l</w:t>
      </w:r>
      <w:r w:rsidR="00960A0C" w:rsidRPr="008762D1">
        <w:rPr>
          <w:rFonts w:ascii="ITC Avant Garde" w:hAnsi="ITC Avant Garde" w:cs="Arial"/>
          <w:snapToGrid w:val="0"/>
          <w:color w:val="000000" w:themeColor="text1"/>
        </w:rPr>
        <w:t>a Cláusula T</w:t>
      </w:r>
      <w:r w:rsidR="00FB3628" w:rsidRPr="008762D1">
        <w:rPr>
          <w:rFonts w:ascii="ITC Avant Garde" w:hAnsi="ITC Avant Garde" w:cs="Arial"/>
          <w:snapToGrid w:val="0"/>
          <w:color w:val="000000" w:themeColor="text1"/>
        </w:rPr>
        <w:t>ercera se refiere</w:t>
      </w:r>
      <w:r w:rsidRPr="008762D1">
        <w:rPr>
          <w:rFonts w:ascii="ITC Avant Garde" w:hAnsi="ITC Avant Garde" w:cs="Arial"/>
          <w:snapToGrid w:val="0"/>
          <w:color w:val="000000" w:themeColor="text1"/>
        </w:rPr>
        <w:t xml:space="preserve"> al manejo que deberán hacer las partes de la información confidencial</w:t>
      </w:r>
      <w:r w:rsidR="00D37A77" w:rsidRPr="008762D1">
        <w:rPr>
          <w:rFonts w:ascii="ITC Avant Garde" w:hAnsi="ITC Avant Garde" w:cs="Arial"/>
          <w:snapToGrid w:val="0"/>
          <w:color w:val="000000" w:themeColor="text1"/>
        </w:rPr>
        <w:t xml:space="preserve">, </w:t>
      </w:r>
      <w:r w:rsidR="00FB10EE" w:rsidRPr="008762D1">
        <w:rPr>
          <w:rFonts w:ascii="ITC Avant Garde" w:hAnsi="ITC Avant Garde" w:cs="Arial"/>
          <w:snapToGrid w:val="0"/>
          <w:color w:val="000000" w:themeColor="text1"/>
        </w:rPr>
        <w:t>de lo que se señala la obligación de preservar la confidencialidad de la información y únicamente revelarla a aquellas personas a las que se requiera hacerlo de forma justificada</w:t>
      </w:r>
      <w:r w:rsidR="00D37A77" w:rsidRPr="008762D1">
        <w:rPr>
          <w:rFonts w:ascii="ITC Avant Garde" w:hAnsi="ITC Avant Garde" w:cs="Arial"/>
          <w:snapToGrid w:val="0"/>
          <w:color w:val="000000" w:themeColor="text1"/>
        </w:rPr>
        <w:t>,</w:t>
      </w:r>
      <w:r w:rsidR="00FB10EE" w:rsidRPr="008762D1">
        <w:rPr>
          <w:rFonts w:ascii="ITC Avant Garde" w:hAnsi="ITC Avant Garde" w:cs="Arial"/>
          <w:snapToGrid w:val="0"/>
          <w:color w:val="000000" w:themeColor="text1"/>
        </w:rPr>
        <w:t xml:space="preserve"> así como al derecho que tiene la parte que la proporciona de exigir que la misma sea destruida o devuelta cuando sea el </w:t>
      </w:r>
      <w:r w:rsidR="00FB10EE" w:rsidRPr="008762D1">
        <w:rPr>
          <w:rFonts w:ascii="ITC Avant Garde" w:hAnsi="ITC Avant Garde"/>
          <w:color w:val="000000" w:themeColor="text1"/>
        </w:rPr>
        <w:t>caso,</w:t>
      </w:r>
      <w:r w:rsidR="00FB10EE" w:rsidRPr="008762D1">
        <w:rPr>
          <w:rFonts w:ascii="ITC Avant Garde" w:hAnsi="ITC Avant Garde" w:cs="Arial"/>
          <w:snapToGrid w:val="0"/>
          <w:color w:val="000000" w:themeColor="text1"/>
        </w:rPr>
        <w:t xml:space="preserve"> y que </w:t>
      </w:r>
      <w:r w:rsidR="00D30A14" w:rsidRPr="008762D1">
        <w:rPr>
          <w:rFonts w:ascii="ITC Avant Garde" w:hAnsi="ITC Avant Garde" w:cs="Arial"/>
          <w:snapToGrid w:val="0"/>
          <w:color w:val="000000" w:themeColor="text1"/>
        </w:rPr>
        <w:t>de hacerse</w:t>
      </w:r>
      <w:r w:rsidR="00FB10EE" w:rsidRPr="008762D1">
        <w:rPr>
          <w:rFonts w:ascii="ITC Avant Garde" w:hAnsi="ITC Avant Garde" w:cs="Arial"/>
          <w:snapToGrid w:val="0"/>
          <w:color w:val="000000" w:themeColor="text1"/>
        </w:rPr>
        <w:t xml:space="preserve"> un uso inadecuado de la misma</w:t>
      </w:r>
      <w:r w:rsidR="00C9278D" w:rsidRPr="008762D1">
        <w:rPr>
          <w:rFonts w:ascii="ITC Avant Garde" w:hAnsi="ITC Avant Garde" w:cs="Arial"/>
          <w:snapToGrid w:val="0"/>
          <w:color w:val="000000" w:themeColor="text1"/>
        </w:rPr>
        <w:t>,</w:t>
      </w:r>
      <w:r w:rsidR="00FB10EE" w:rsidRPr="008762D1">
        <w:rPr>
          <w:rFonts w:ascii="ITC Avant Garde" w:hAnsi="ITC Avant Garde" w:cs="Arial"/>
          <w:snapToGrid w:val="0"/>
          <w:color w:val="000000" w:themeColor="text1"/>
        </w:rPr>
        <w:t xml:space="preserve"> la parte </w:t>
      </w:r>
      <w:r w:rsidR="00D37A77" w:rsidRPr="008762D1">
        <w:rPr>
          <w:rFonts w:ascii="ITC Avant Garde" w:hAnsi="ITC Avant Garde" w:cs="Arial"/>
          <w:snapToGrid w:val="0"/>
          <w:color w:val="000000" w:themeColor="text1"/>
        </w:rPr>
        <w:t xml:space="preserve">infractora </w:t>
      </w:r>
      <w:r w:rsidR="00FB10EE" w:rsidRPr="008762D1">
        <w:rPr>
          <w:rFonts w:ascii="ITC Avant Garde" w:hAnsi="ITC Avant Garde" w:cs="Arial"/>
          <w:snapToGrid w:val="0"/>
          <w:color w:val="000000" w:themeColor="text1"/>
        </w:rPr>
        <w:t>se haga responsable por los daños y perjuicios que se pudieran causar.</w:t>
      </w:r>
    </w:p>
    <w:p w14:paraId="3FCEFA0C" w14:textId="77777777" w:rsidR="000F0B9F" w:rsidRPr="008762D1" w:rsidRDefault="00073F0F" w:rsidP="000F0B9F">
      <w:pPr>
        <w:spacing w:before="240" w:after="0" w:line="276" w:lineRule="auto"/>
        <w:ind w:right="-91"/>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Este Instituto cons</w:t>
      </w:r>
      <w:r w:rsidR="00960A0C" w:rsidRPr="008762D1">
        <w:rPr>
          <w:rFonts w:ascii="ITC Avant Garde" w:hAnsi="ITC Avant Garde" w:cs="Arial"/>
          <w:snapToGrid w:val="0"/>
          <w:color w:val="000000" w:themeColor="text1"/>
        </w:rPr>
        <w:t>idera que lo establecido en la Cláusula T</w:t>
      </w:r>
      <w:r w:rsidRPr="008762D1">
        <w:rPr>
          <w:rFonts w:ascii="ITC Avant Garde" w:hAnsi="ITC Avant Garde" w:cs="Arial"/>
          <w:snapToGrid w:val="0"/>
          <w:color w:val="000000" w:themeColor="text1"/>
        </w:rPr>
        <w:t xml:space="preserve">ercera se apega a lo señalado en la Ley de Propiedad Industrial toda vez que el artículo 84 de la misma señala que la persona que guarde un </w:t>
      </w:r>
      <w:r w:rsidR="00843B37" w:rsidRPr="008762D1">
        <w:rPr>
          <w:rFonts w:ascii="ITC Avant Garde" w:hAnsi="ITC Avant Garde" w:cs="Arial"/>
          <w:snapToGrid w:val="0"/>
          <w:color w:val="000000" w:themeColor="text1"/>
        </w:rPr>
        <w:t>secreto industrial podrá transmitirlo o autorizar su uso a un tercero</w:t>
      </w:r>
      <w:r w:rsidRPr="008762D1">
        <w:rPr>
          <w:rFonts w:ascii="ITC Avant Garde" w:hAnsi="ITC Avant Garde" w:cs="Arial"/>
          <w:snapToGrid w:val="0"/>
          <w:color w:val="000000" w:themeColor="text1"/>
        </w:rPr>
        <w:t xml:space="preserve"> quien tendrá la obligación de no divulgar el secreto industrial por ning</w:t>
      </w:r>
      <w:r w:rsidR="00E77600" w:rsidRPr="008762D1">
        <w:rPr>
          <w:rFonts w:ascii="ITC Avant Garde" w:hAnsi="ITC Avant Garde" w:cs="Arial"/>
          <w:snapToGrid w:val="0"/>
          <w:color w:val="000000" w:themeColor="text1"/>
        </w:rPr>
        <w:t>ún medio; asimismo, señala que en los convenios en los que se transmitan conocimientos técnicos, a</w:t>
      </w:r>
      <w:r w:rsidR="00E5451C" w:rsidRPr="008762D1">
        <w:rPr>
          <w:rFonts w:ascii="ITC Avant Garde" w:hAnsi="ITC Avant Garde" w:cs="Arial"/>
          <w:snapToGrid w:val="0"/>
          <w:color w:val="000000" w:themeColor="text1"/>
        </w:rPr>
        <w:t xml:space="preserve">sistencia técnica, provisión de </w:t>
      </w:r>
      <w:r w:rsidR="00E77600" w:rsidRPr="008762D1">
        <w:rPr>
          <w:rFonts w:ascii="ITC Avant Garde" w:hAnsi="ITC Avant Garde" w:cs="Arial"/>
          <w:snapToGrid w:val="0"/>
          <w:color w:val="000000" w:themeColor="text1"/>
        </w:rPr>
        <w:t>ingeniería básica o de detalle, se podrán establecer cláusulas de confidencialidad para proteger los secretos industriales que</w:t>
      </w:r>
      <w:r w:rsidR="00960A0C" w:rsidRPr="008762D1">
        <w:rPr>
          <w:rFonts w:ascii="ITC Avant Garde" w:hAnsi="ITC Avant Garde" w:cs="Arial"/>
          <w:snapToGrid w:val="0"/>
          <w:color w:val="000000" w:themeColor="text1"/>
        </w:rPr>
        <w:t xml:space="preserve"> contemplen</w:t>
      </w:r>
      <w:r w:rsidR="00030F69" w:rsidRPr="008762D1">
        <w:rPr>
          <w:rFonts w:ascii="ITC Avant Garde" w:hAnsi="ITC Avant Garde" w:cs="Arial"/>
          <w:snapToGrid w:val="0"/>
          <w:color w:val="000000" w:themeColor="text1"/>
        </w:rPr>
        <w:t>, mismas que deberán precisar los aspectos que comprenden como confidenciales</w:t>
      </w:r>
      <w:r w:rsidR="00960A0C" w:rsidRPr="008762D1">
        <w:rPr>
          <w:rFonts w:ascii="ITC Avant Garde" w:hAnsi="ITC Avant Garde" w:cs="Arial"/>
          <w:snapToGrid w:val="0"/>
          <w:color w:val="000000" w:themeColor="text1"/>
        </w:rPr>
        <w:t>.</w:t>
      </w:r>
    </w:p>
    <w:p w14:paraId="0939188D" w14:textId="77777777" w:rsidR="000F0B9F" w:rsidRPr="008762D1" w:rsidRDefault="00960A0C" w:rsidP="000F0B9F">
      <w:pPr>
        <w:spacing w:before="240" w:after="0" w:line="276" w:lineRule="auto"/>
        <w:ind w:right="-91"/>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De igual forma la C</w:t>
      </w:r>
      <w:r w:rsidR="00E77600" w:rsidRPr="008762D1">
        <w:rPr>
          <w:rFonts w:ascii="ITC Avant Garde" w:hAnsi="ITC Avant Garde" w:cs="Arial"/>
          <w:snapToGrid w:val="0"/>
          <w:color w:val="000000" w:themeColor="text1"/>
        </w:rPr>
        <w:t xml:space="preserve">láusula </w:t>
      </w:r>
      <w:r w:rsidRPr="008762D1">
        <w:rPr>
          <w:rFonts w:ascii="ITC Avant Garde" w:hAnsi="ITC Avant Garde" w:cs="Arial"/>
          <w:snapToGrid w:val="0"/>
          <w:color w:val="000000" w:themeColor="text1"/>
        </w:rPr>
        <w:t xml:space="preserve">Tercera </w:t>
      </w:r>
      <w:r w:rsidR="00E77600" w:rsidRPr="008762D1">
        <w:rPr>
          <w:rFonts w:ascii="ITC Avant Garde" w:hAnsi="ITC Avant Garde" w:cs="Arial"/>
          <w:snapToGrid w:val="0"/>
          <w:color w:val="000000" w:themeColor="text1"/>
        </w:rPr>
        <w:t xml:space="preserve">señala que </w:t>
      </w:r>
      <w:r w:rsidR="00E5451C" w:rsidRPr="008762D1">
        <w:rPr>
          <w:rFonts w:ascii="ITC Avant Garde" w:hAnsi="ITC Avant Garde" w:cs="Arial"/>
          <w:snapToGrid w:val="0"/>
          <w:color w:val="000000" w:themeColor="text1"/>
        </w:rPr>
        <w:t xml:space="preserve">las partes deberán inscribir el convenio en el Registro Público de </w:t>
      </w:r>
      <w:r w:rsidR="00BA6312" w:rsidRPr="008762D1">
        <w:rPr>
          <w:rFonts w:ascii="ITC Avant Garde" w:hAnsi="ITC Avant Garde" w:cs="Arial"/>
          <w:snapToGrid w:val="0"/>
          <w:color w:val="000000" w:themeColor="text1"/>
        </w:rPr>
        <w:t xml:space="preserve">Concesiones </w:t>
      </w:r>
      <w:r w:rsidR="00E5451C" w:rsidRPr="008762D1">
        <w:rPr>
          <w:rFonts w:ascii="ITC Avant Garde" w:hAnsi="ITC Avant Garde" w:cs="Arial"/>
          <w:snapToGrid w:val="0"/>
          <w:color w:val="000000" w:themeColor="text1"/>
        </w:rPr>
        <w:t xml:space="preserve">del Instituto dentro de los 30 (treinta) días hábiles siguientes a la celebración del mismo, </w:t>
      </w:r>
      <w:r w:rsidR="008A6501" w:rsidRPr="008762D1">
        <w:rPr>
          <w:rFonts w:ascii="ITC Avant Garde" w:hAnsi="ITC Avant Garde" w:cs="Arial"/>
          <w:snapToGrid w:val="0"/>
          <w:color w:val="000000" w:themeColor="text1"/>
        </w:rPr>
        <w:t>de igual forma</w:t>
      </w:r>
      <w:r w:rsidR="00843B37" w:rsidRPr="008762D1">
        <w:rPr>
          <w:rFonts w:ascii="ITC Avant Garde" w:hAnsi="ITC Avant Garde" w:cs="Arial"/>
          <w:snapToGrid w:val="0"/>
          <w:color w:val="000000" w:themeColor="text1"/>
        </w:rPr>
        <w:t>,</w:t>
      </w:r>
      <w:r w:rsidR="008A6501" w:rsidRPr="008762D1">
        <w:rPr>
          <w:rFonts w:ascii="ITC Avant Garde" w:hAnsi="ITC Avant Garde" w:cs="Arial"/>
          <w:snapToGrid w:val="0"/>
          <w:color w:val="000000" w:themeColor="text1"/>
        </w:rPr>
        <w:t xml:space="preserve"> señala que </w:t>
      </w:r>
      <w:r w:rsidR="00E5451C" w:rsidRPr="008762D1">
        <w:rPr>
          <w:rFonts w:ascii="ITC Avant Garde" w:hAnsi="ITC Avant Garde" w:cs="Arial"/>
          <w:snapToGrid w:val="0"/>
          <w:color w:val="000000" w:themeColor="text1"/>
        </w:rPr>
        <w:t>las Partes deberán de registrar todos los anexos del mismo o bien cualquier modificación actualización o adhesión al convenio o a sus anexos dentro de los 15 (quince) días hábiles siguientes a la celebración o modificación de los mismos</w:t>
      </w:r>
      <w:r w:rsidR="00843B37" w:rsidRPr="008762D1">
        <w:rPr>
          <w:rFonts w:ascii="ITC Avant Garde" w:hAnsi="ITC Avant Garde" w:cs="Arial"/>
          <w:snapToGrid w:val="0"/>
          <w:color w:val="000000" w:themeColor="text1"/>
        </w:rPr>
        <w:t>;</w:t>
      </w:r>
      <w:r w:rsidR="009B6344" w:rsidRPr="008762D1">
        <w:rPr>
          <w:rFonts w:ascii="ITC Avant Garde" w:hAnsi="ITC Avant Garde" w:cs="Arial"/>
          <w:snapToGrid w:val="0"/>
          <w:color w:val="000000" w:themeColor="text1"/>
        </w:rPr>
        <w:t xml:space="preserve"> asimismo, </w:t>
      </w:r>
      <w:r w:rsidR="00D37A77" w:rsidRPr="008762D1">
        <w:rPr>
          <w:rFonts w:ascii="ITC Avant Garde" w:hAnsi="ITC Avant Garde" w:cs="Arial"/>
          <w:snapToGrid w:val="0"/>
          <w:color w:val="000000" w:themeColor="text1"/>
        </w:rPr>
        <w:t xml:space="preserve">así como </w:t>
      </w:r>
      <w:r w:rsidR="009B6344" w:rsidRPr="008762D1">
        <w:rPr>
          <w:rFonts w:ascii="ITC Avant Garde" w:hAnsi="ITC Avant Garde" w:cs="Arial"/>
          <w:snapToGrid w:val="0"/>
          <w:color w:val="000000" w:themeColor="text1"/>
        </w:rPr>
        <w:t xml:space="preserve">que la información contenida dentro del Convenio será considerada información de carácter público en términos de la legislación aplicable, lo cual es acorde a lo señalado en el artículo 128 de la </w:t>
      </w:r>
      <w:r w:rsidR="00B220B1" w:rsidRPr="008762D1">
        <w:rPr>
          <w:rFonts w:ascii="ITC Avant Garde" w:hAnsi="ITC Avant Garde" w:cs="Arial"/>
          <w:snapToGrid w:val="0"/>
          <w:color w:val="000000" w:themeColor="text1"/>
        </w:rPr>
        <w:t>LFTR</w:t>
      </w:r>
      <w:r w:rsidR="00E5451C" w:rsidRPr="008762D1">
        <w:rPr>
          <w:rFonts w:ascii="ITC Avant Garde" w:hAnsi="ITC Avant Garde" w:cs="Arial"/>
          <w:snapToGrid w:val="0"/>
          <w:color w:val="000000" w:themeColor="text1"/>
        </w:rPr>
        <w:t xml:space="preserve">. </w:t>
      </w:r>
    </w:p>
    <w:p w14:paraId="460E735E" w14:textId="77777777" w:rsidR="000F0B9F" w:rsidRPr="008762D1" w:rsidRDefault="00EA3D9E"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Asimismo,</w:t>
      </w:r>
      <w:r w:rsidR="00D37A77" w:rsidRPr="008762D1">
        <w:rPr>
          <w:rFonts w:ascii="ITC Avant Garde" w:hAnsi="ITC Avant Garde" w:cs="Arial"/>
          <w:color w:val="000000" w:themeColor="text1"/>
          <w:lang w:eastAsia="es-MX"/>
        </w:rPr>
        <w:t xml:space="preserve"> la</w:t>
      </w:r>
      <w:r w:rsidRPr="008762D1">
        <w:rPr>
          <w:rFonts w:ascii="ITC Avant Garde" w:hAnsi="ITC Avant Garde" w:cs="Arial"/>
          <w:color w:val="000000" w:themeColor="text1"/>
          <w:lang w:eastAsia="es-MX"/>
        </w:rPr>
        <w:t xml:space="preserve"> Cláusula Tercera </w:t>
      </w:r>
      <w:r w:rsidR="00FF3DC3" w:rsidRPr="008762D1">
        <w:rPr>
          <w:rFonts w:ascii="ITC Avant Garde" w:hAnsi="ITC Avant Garde" w:cs="Arial"/>
          <w:color w:val="000000" w:themeColor="text1"/>
          <w:lang w:eastAsia="es-MX"/>
        </w:rPr>
        <w:t xml:space="preserve">ya había </w:t>
      </w:r>
      <w:r w:rsidR="00A47A18" w:rsidRPr="008762D1">
        <w:rPr>
          <w:rFonts w:ascii="ITC Avant Garde" w:hAnsi="ITC Avant Garde" w:cs="Arial"/>
          <w:color w:val="000000" w:themeColor="text1"/>
          <w:lang w:eastAsia="es-MX"/>
        </w:rPr>
        <w:t>sido aprobada</w:t>
      </w:r>
      <w:r w:rsidRPr="008762D1">
        <w:rPr>
          <w:rFonts w:ascii="ITC Avant Garde" w:hAnsi="ITC Avant Garde" w:cs="Arial"/>
          <w:color w:val="000000" w:themeColor="text1"/>
          <w:lang w:eastAsia="es-MX"/>
        </w:rPr>
        <w:t xml:space="preserve"> en el CMI 2017. Por todo lo anterior, se considera procedente su </w:t>
      </w:r>
      <w:r w:rsidR="009D38AC" w:rsidRPr="008762D1">
        <w:rPr>
          <w:rFonts w:ascii="ITC Avant Garde" w:hAnsi="ITC Avant Garde" w:cs="Arial"/>
          <w:color w:val="000000" w:themeColor="text1"/>
          <w:lang w:eastAsia="es-MX"/>
        </w:rPr>
        <w:t>aprobación</w:t>
      </w:r>
      <w:r w:rsidRPr="008762D1">
        <w:rPr>
          <w:rFonts w:ascii="ITC Avant Garde" w:hAnsi="ITC Avant Garde" w:cs="Arial"/>
          <w:color w:val="000000" w:themeColor="text1"/>
          <w:lang w:eastAsia="es-MX"/>
        </w:rPr>
        <w:t>.</w:t>
      </w:r>
    </w:p>
    <w:p w14:paraId="6EAEC2D1" w14:textId="77777777" w:rsidR="000F0B9F" w:rsidRPr="008762D1" w:rsidRDefault="00360B93" w:rsidP="000F0B9F">
      <w:pPr>
        <w:pStyle w:val="IFT1"/>
        <w:numPr>
          <w:ilvl w:val="1"/>
          <w:numId w:val="9"/>
        </w:numPr>
        <w:tabs>
          <w:tab w:val="left" w:pos="426"/>
        </w:tabs>
        <w:spacing w:before="240" w:after="0"/>
        <w:ind w:left="284" w:hanging="284"/>
        <w:rPr>
          <w:b/>
          <w:color w:val="000000" w:themeColor="text1"/>
        </w:rPr>
      </w:pPr>
      <w:r w:rsidRPr="008762D1">
        <w:rPr>
          <w:b/>
          <w:color w:val="000000" w:themeColor="text1"/>
        </w:rPr>
        <w:t>CLÁUSULA CUARTA. CONTRAPRESTACIONES</w:t>
      </w:r>
      <w:r w:rsidRPr="008762D1">
        <w:rPr>
          <w:rFonts w:cs="Arial"/>
          <w:b/>
          <w:color w:val="000000" w:themeColor="text1"/>
        </w:rPr>
        <w:t>.</w:t>
      </w:r>
    </w:p>
    <w:p w14:paraId="39409A4E" w14:textId="77777777" w:rsidR="000F0B9F" w:rsidRPr="008762D1" w:rsidRDefault="00327BB2" w:rsidP="000F0B9F">
      <w:pPr>
        <w:pStyle w:val="IFT1"/>
        <w:numPr>
          <w:ilvl w:val="2"/>
          <w:numId w:val="9"/>
        </w:numPr>
        <w:tabs>
          <w:tab w:val="left" w:pos="426"/>
        </w:tabs>
        <w:spacing w:before="240" w:after="0"/>
        <w:ind w:left="567" w:hanging="567"/>
        <w:rPr>
          <w:b/>
          <w:color w:val="000000" w:themeColor="text1"/>
        </w:rPr>
      </w:pPr>
      <w:r w:rsidRPr="008762D1">
        <w:rPr>
          <w:b/>
          <w:color w:val="000000" w:themeColor="text1"/>
        </w:rPr>
        <w:t>TARIFAS Y FORMAS DE PAGO.</w:t>
      </w:r>
    </w:p>
    <w:p w14:paraId="470367DE" w14:textId="4174CF46" w:rsidR="002E7472"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20ED92A7" w14:textId="77777777" w:rsidR="000F0B9F" w:rsidRPr="008762D1" w:rsidRDefault="00270F11" w:rsidP="000F0B9F">
      <w:pPr>
        <w:spacing w:before="240" w:after="0" w:line="276" w:lineRule="auto"/>
        <w:jc w:val="both"/>
        <w:rPr>
          <w:rFonts w:ascii="ITC Avant Garde" w:hAnsi="ITC Avant Garde"/>
          <w:color w:val="000000" w:themeColor="text1"/>
        </w:rPr>
      </w:pPr>
      <w:r w:rsidRPr="008762D1">
        <w:rPr>
          <w:rFonts w:ascii="ITC Avant Garde" w:hAnsi="ITC Avant Garde" w:cs="Arial"/>
          <w:color w:val="000000" w:themeColor="text1"/>
        </w:rPr>
        <w:t xml:space="preserve">Del análisis del numeral 4.1 de la Cláusula Cuarta de la Propuesta de CMI se observó que </w:t>
      </w:r>
      <w:r w:rsidRPr="008762D1">
        <w:rPr>
          <w:rFonts w:ascii="ITC Avant Garde" w:hAnsi="ITC Avant Garde"/>
          <w:color w:val="000000" w:themeColor="text1"/>
        </w:rPr>
        <w:t>los términos y condiciones</w:t>
      </w:r>
      <w:r w:rsidR="009C7F07" w:rsidRPr="008762D1">
        <w:rPr>
          <w:rFonts w:ascii="ITC Avant Garde" w:hAnsi="ITC Avant Garde"/>
          <w:color w:val="000000" w:themeColor="text1"/>
        </w:rPr>
        <w:t xml:space="preserve"> no se ajustaban</w:t>
      </w:r>
      <w:r w:rsidR="00FC19BF" w:rsidRPr="008762D1">
        <w:rPr>
          <w:rFonts w:ascii="ITC Avant Garde" w:hAnsi="ITC Avant Garde"/>
          <w:color w:val="000000" w:themeColor="text1"/>
        </w:rPr>
        <w:t xml:space="preserve"> a los</w:t>
      </w:r>
      <w:r w:rsidRPr="008762D1">
        <w:rPr>
          <w:rFonts w:ascii="ITC Avant Garde" w:hAnsi="ITC Avant Garde"/>
          <w:color w:val="000000" w:themeColor="text1"/>
        </w:rPr>
        <w:t xml:space="preserve">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 xml:space="preserve">y, toda vez que el propósito de revisar anualmente el instrumento regulatorio es mejorar, o precisar </w:t>
      </w:r>
      <w:r w:rsidRPr="008762D1">
        <w:rPr>
          <w:rFonts w:ascii="ITC Avant Garde" w:hAnsi="ITC Avant Garde"/>
          <w:bCs/>
          <w:color w:val="000000" w:themeColor="text1"/>
        </w:rPr>
        <w:lastRenderedPageBreak/>
        <w:t>las condiciones, así como ajustarse a la evolución tecnológica del sector, y de ninguna forma se justifica la existencia de retrocesos en la regul</w:t>
      </w:r>
      <w:r w:rsidR="00622AEF"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marco de interconexión se p</w:t>
      </w:r>
      <w:r w:rsidR="00622AEF" w:rsidRPr="008762D1">
        <w:rPr>
          <w:rFonts w:ascii="ITC Avant Garde" w:hAnsi="ITC Avant Garde"/>
          <w:bCs/>
          <w:color w:val="000000" w:themeColor="text1"/>
        </w:rPr>
        <w:t>lantearan</w:t>
      </w:r>
      <w:r w:rsidRPr="008762D1">
        <w:rPr>
          <w:rFonts w:ascii="ITC Avant Garde" w:hAnsi="ITC Avant Garde"/>
          <w:bCs/>
          <w:color w:val="000000" w:themeColor="text1"/>
        </w:rPr>
        <w:t xml:space="preserve"> términos y condiciones menos favorables que los ya autorizados por el Instituto</w:t>
      </w:r>
      <w:r w:rsidR="00FC19BF" w:rsidRPr="008762D1">
        <w:rPr>
          <w:rFonts w:ascii="ITC Avant Garde" w:hAnsi="ITC Avant Garde"/>
          <w:bCs/>
          <w:color w:val="000000" w:themeColor="text1"/>
        </w:rPr>
        <w:t>.</w:t>
      </w:r>
    </w:p>
    <w:p w14:paraId="433DDCDE" w14:textId="77777777" w:rsidR="000F0B9F" w:rsidRPr="008762D1" w:rsidRDefault="0008678E"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Es así que,</w:t>
      </w:r>
      <w:r w:rsidR="00032D73" w:rsidRPr="008762D1">
        <w:rPr>
          <w:rFonts w:ascii="ITC Avant Garde" w:hAnsi="ITC Avant Garde"/>
          <w:color w:val="000000" w:themeColor="text1"/>
        </w:rPr>
        <w:t xml:space="preserve"> </w:t>
      </w:r>
      <w:r w:rsidR="007D2BFA" w:rsidRPr="008762D1">
        <w:rPr>
          <w:rFonts w:ascii="ITC Avant Garde" w:hAnsi="ITC Avant Garde"/>
          <w:color w:val="000000" w:themeColor="text1"/>
        </w:rPr>
        <w:t xml:space="preserve">respecto a que las tarifas aplicables a los Servicios de Interconexión deben cumplir con el principio de permitir recuperar al menos el costo incremental total promedio de largo plazo, </w:t>
      </w:r>
      <w:r w:rsidR="00032D73" w:rsidRPr="008762D1">
        <w:rPr>
          <w:rFonts w:ascii="ITC Avant Garde" w:hAnsi="ITC Avant Garde"/>
          <w:color w:val="000000" w:themeColor="text1"/>
        </w:rPr>
        <w:t>el</w:t>
      </w:r>
      <w:r w:rsidR="00FF3DC3" w:rsidRPr="008762D1">
        <w:rPr>
          <w:rFonts w:ascii="ITC Avant Garde" w:hAnsi="ITC Avant Garde"/>
          <w:color w:val="000000" w:themeColor="text1"/>
        </w:rPr>
        <w:t xml:space="preserve"> Instituto de acuerdo a lo previsto</w:t>
      </w:r>
      <w:r w:rsidR="00032D73" w:rsidRPr="008762D1">
        <w:rPr>
          <w:rFonts w:ascii="ITC Avant Garde" w:hAnsi="ITC Avant Garde"/>
          <w:color w:val="000000" w:themeColor="text1"/>
        </w:rPr>
        <w:t xml:space="preserve"> en el inciso b) del artículo 131 de la </w:t>
      </w:r>
      <w:r w:rsidR="00B220B1" w:rsidRPr="008762D1">
        <w:rPr>
          <w:rFonts w:ascii="ITC Avant Garde" w:hAnsi="ITC Avant Garde"/>
          <w:color w:val="000000" w:themeColor="text1"/>
        </w:rPr>
        <w:t>LFTR</w:t>
      </w:r>
      <w:r w:rsidR="003108AA" w:rsidRPr="008762D1">
        <w:rPr>
          <w:rFonts w:ascii="ITC Avant Garde" w:hAnsi="ITC Avant Garde"/>
          <w:color w:val="000000" w:themeColor="text1"/>
        </w:rPr>
        <w:t xml:space="preserve"> </w:t>
      </w:r>
      <w:r w:rsidR="007D2BFA" w:rsidRPr="008762D1">
        <w:rPr>
          <w:rFonts w:ascii="ITC Avant Garde" w:hAnsi="ITC Avant Garde"/>
          <w:color w:val="000000" w:themeColor="text1"/>
        </w:rPr>
        <w:t>y la Metodología de Costos</w:t>
      </w:r>
      <w:r w:rsidR="007D2BFA" w:rsidRPr="008762D1">
        <w:rPr>
          <w:rStyle w:val="Refdenotaalpie"/>
          <w:rFonts w:ascii="ITC Avant Garde" w:hAnsi="ITC Avant Garde"/>
          <w:color w:val="000000" w:themeColor="text1"/>
        </w:rPr>
        <w:footnoteReference w:id="2"/>
      </w:r>
      <w:r w:rsidR="00032D73" w:rsidRPr="008762D1">
        <w:rPr>
          <w:rFonts w:ascii="ITC Avant Garde" w:hAnsi="ITC Avant Garde"/>
          <w:color w:val="000000" w:themeColor="text1"/>
        </w:rPr>
        <w:t xml:space="preserve"> </w:t>
      </w:r>
      <w:r w:rsidR="003108AA" w:rsidRPr="008762D1">
        <w:rPr>
          <w:rFonts w:ascii="ITC Avant Garde" w:hAnsi="ITC Avant Garde"/>
          <w:color w:val="000000" w:themeColor="text1"/>
        </w:rPr>
        <w:t>modificó el numeral 4.1 a efecto de establecer que las tarifas aplicables a los servicios de interconexión debían permitir recuperar al menos el costo incremental total promedio de largo plazo o el costo incremental de largo plazo puro según el servicio de interconexión de que se trate</w:t>
      </w:r>
      <w:r w:rsidR="00C30EB0" w:rsidRPr="008762D1">
        <w:rPr>
          <w:rFonts w:ascii="ITC Avant Garde" w:hAnsi="ITC Avant Garde"/>
          <w:color w:val="000000" w:themeColor="text1"/>
        </w:rPr>
        <w:t>, en los siguientes términos:</w:t>
      </w:r>
    </w:p>
    <w:p w14:paraId="6BF68A3D" w14:textId="77777777" w:rsidR="000F0B9F" w:rsidRPr="008762D1" w:rsidRDefault="00C30EB0" w:rsidP="000F0B9F">
      <w:pPr>
        <w:spacing w:before="240" w:after="0" w:line="276" w:lineRule="auto"/>
        <w:ind w:left="567" w:right="567"/>
        <w:jc w:val="both"/>
        <w:rPr>
          <w:rFonts w:ascii="ITC Avant Garde" w:eastAsia="Times New Roman" w:hAnsi="ITC Avant Garde" w:cs="Arial"/>
          <w:b/>
          <w:iCs/>
          <w:color w:val="000000" w:themeColor="text1"/>
          <w:sz w:val="18"/>
          <w:szCs w:val="18"/>
        </w:rPr>
      </w:pPr>
      <w:r w:rsidRPr="008762D1">
        <w:rPr>
          <w:rFonts w:ascii="ITC Avant Garde" w:eastAsia="Times New Roman" w:hAnsi="ITC Avant Garde" w:cs="Arial"/>
          <w:iCs/>
          <w:color w:val="000000" w:themeColor="text1"/>
          <w:sz w:val="18"/>
          <w:szCs w:val="18"/>
        </w:rPr>
        <w:t>“</w:t>
      </w:r>
      <w:proofErr w:type="spellStart"/>
      <w:r w:rsidRPr="008762D1">
        <w:rPr>
          <w:rFonts w:ascii="ITC Avant Garde" w:eastAsia="Times New Roman" w:hAnsi="ITC Avant Garde" w:cs="Arial"/>
          <w:b/>
          <w:iCs/>
          <w:color w:val="000000" w:themeColor="text1"/>
          <w:sz w:val="18"/>
          <w:szCs w:val="18"/>
        </w:rPr>
        <w:t>CONTRAPRESTAClONES</w:t>
      </w:r>
      <w:proofErr w:type="spellEnd"/>
      <w:r w:rsidRPr="008762D1">
        <w:rPr>
          <w:rFonts w:ascii="ITC Avant Garde" w:eastAsia="Times New Roman" w:hAnsi="ITC Avant Garde" w:cs="Arial"/>
          <w:b/>
          <w:iCs/>
          <w:color w:val="000000" w:themeColor="text1"/>
          <w:sz w:val="18"/>
          <w:szCs w:val="18"/>
        </w:rPr>
        <w:t>.</w:t>
      </w:r>
    </w:p>
    <w:p w14:paraId="77574D88" w14:textId="77777777" w:rsidR="000F0B9F" w:rsidRPr="008762D1" w:rsidRDefault="00C30EB0" w:rsidP="000F0B9F">
      <w:pPr>
        <w:spacing w:before="240" w:after="0" w:line="276" w:lineRule="auto"/>
        <w:ind w:left="567" w:right="567"/>
        <w:jc w:val="both"/>
        <w:rPr>
          <w:rFonts w:ascii="ITC Avant Garde" w:eastAsia="Times New Roman" w:hAnsi="ITC Avant Garde" w:cs="Arial"/>
          <w:b/>
          <w:iCs/>
          <w:color w:val="000000" w:themeColor="text1"/>
          <w:sz w:val="18"/>
          <w:szCs w:val="18"/>
        </w:rPr>
      </w:pPr>
      <w:r w:rsidRPr="008762D1">
        <w:rPr>
          <w:rFonts w:ascii="ITC Avant Garde" w:eastAsia="Times New Roman" w:hAnsi="ITC Avant Garde" w:cs="Arial"/>
          <w:b/>
          <w:iCs/>
          <w:color w:val="000000" w:themeColor="text1"/>
          <w:sz w:val="18"/>
          <w:szCs w:val="18"/>
        </w:rPr>
        <w:t>4.1 TARIFAS Y FORMAS DE PAGO.</w:t>
      </w:r>
    </w:p>
    <w:p w14:paraId="0598DE37" w14:textId="77777777" w:rsidR="000F0B9F" w:rsidRPr="008762D1" w:rsidRDefault="00C30EB0"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Las tarifas aplicables a los Servicios de Interconexión que se provean las partes deberán cumplir con los siguientes principios:</w:t>
      </w:r>
    </w:p>
    <w:p w14:paraId="70833423" w14:textId="77777777" w:rsidR="000F0B9F" w:rsidRPr="008762D1" w:rsidRDefault="00C30EB0"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t>Sujetarse a lo establecido en el artículo 131 de la Ley.</w:t>
      </w:r>
    </w:p>
    <w:p w14:paraId="272A1A96" w14:textId="77777777" w:rsidR="000F0B9F" w:rsidRPr="008762D1" w:rsidRDefault="00C30EB0"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6B607955" w14:textId="77777777" w:rsidR="000F0B9F" w:rsidRPr="008762D1" w:rsidRDefault="00C30EB0" w:rsidP="000F0B9F">
      <w:pPr>
        <w:spacing w:before="240" w:after="0" w:line="276" w:lineRule="auto"/>
        <w:ind w:left="567" w:right="567"/>
        <w:jc w:val="both"/>
        <w:rPr>
          <w:rFonts w:ascii="ITC Avant Garde" w:eastAsia="Times New Roman" w:hAnsi="ITC Avant Garde" w:cs="Arial"/>
          <w:iCs/>
          <w:color w:val="000000" w:themeColor="text1"/>
          <w:sz w:val="18"/>
          <w:szCs w:val="18"/>
          <w:u w:val="single"/>
        </w:rPr>
      </w:pPr>
      <w:r w:rsidRPr="008762D1">
        <w:rPr>
          <w:rFonts w:ascii="ITC Avant Garde" w:eastAsia="Times New Roman" w:hAnsi="ITC Avant Garde" w:cs="Arial"/>
          <w:iCs/>
          <w:color w:val="000000" w:themeColor="text1"/>
          <w:sz w:val="18"/>
          <w:szCs w:val="18"/>
        </w:rPr>
        <w:t>•</w:t>
      </w:r>
      <w:r w:rsidRPr="008762D1">
        <w:rPr>
          <w:rFonts w:ascii="ITC Avant Garde" w:eastAsia="Times New Roman" w:hAnsi="ITC Avant Garde" w:cs="Arial"/>
          <w:iCs/>
          <w:color w:val="000000" w:themeColor="text1"/>
          <w:sz w:val="18"/>
          <w:szCs w:val="18"/>
        </w:rPr>
        <w:tab/>
        <w:t xml:space="preserve">Permitir recuperar al menos el costo incremental total promedio de largo plazo </w:t>
      </w:r>
      <w:r w:rsidRPr="008762D1">
        <w:rPr>
          <w:rFonts w:ascii="ITC Avant Garde" w:eastAsia="Times New Roman" w:hAnsi="ITC Avant Garde" w:cs="Arial"/>
          <w:iCs/>
          <w:color w:val="000000" w:themeColor="text1"/>
          <w:sz w:val="18"/>
          <w:szCs w:val="18"/>
          <w:u w:val="single"/>
        </w:rPr>
        <w:t>o el costo incremental de largo plazo puro, según sea el servicio de</w:t>
      </w:r>
      <w:r w:rsidR="00253C83" w:rsidRPr="008762D1">
        <w:rPr>
          <w:rFonts w:ascii="ITC Avant Garde" w:eastAsia="Times New Roman" w:hAnsi="ITC Avant Garde" w:cs="Arial"/>
          <w:iCs/>
          <w:color w:val="000000" w:themeColor="text1"/>
          <w:sz w:val="18"/>
          <w:szCs w:val="18"/>
          <w:u w:val="single"/>
        </w:rPr>
        <w:t xml:space="preserve"> interconexión de que se trate.</w:t>
      </w:r>
    </w:p>
    <w:p w14:paraId="3B6ACE63" w14:textId="154AA31E" w:rsidR="00C30EB0" w:rsidRPr="008762D1" w:rsidRDefault="00253C83"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r w:rsidR="00C30EB0" w:rsidRPr="008762D1">
        <w:rPr>
          <w:rFonts w:ascii="ITC Avant Garde" w:eastAsia="Times New Roman" w:hAnsi="ITC Avant Garde" w:cs="Arial"/>
          <w:iCs/>
          <w:color w:val="000000" w:themeColor="text1"/>
          <w:sz w:val="18"/>
          <w:szCs w:val="18"/>
        </w:rPr>
        <w:t>”</w:t>
      </w:r>
    </w:p>
    <w:p w14:paraId="1189440A" w14:textId="77777777" w:rsidR="000F0B9F" w:rsidRPr="008762D1" w:rsidRDefault="00C30EB0"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35900D83" w14:textId="6F1B9DFF" w:rsidR="003108AA" w:rsidRPr="008762D1" w:rsidRDefault="003108A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628C716E" w14:textId="77777777" w:rsidR="000F0B9F" w:rsidRPr="008762D1" w:rsidRDefault="00C30EB0"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presentó el </w:t>
      </w:r>
      <w:r w:rsidRPr="008762D1">
        <w:rPr>
          <w:rFonts w:ascii="ITC Avant Garde" w:hAnsi="ITC Avant Garde" w:cs="Arial"/>
          <w:color w:val="000000" w:themeColor="text1"/>
        </w:rPr>
        <w:t>numeral 4.1 de la Cláusula Cuarta en los términos señalados en el Acuerdo.</w:t>
      </w:r>
    </w:p>
    <w:p w14:paraId="2D72D3A6" w14:textId="5A03E59C" w:rsidR="003108AA" w:rsidRPr="008762D1" w:rsidRDefault="003108A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lastRenderedPageBreak/>
        <w:t>Análisis del CMI Modificado</w:t>
      </w:r>
    </w:p>
    <w:p w14:paraId="292E4D4A" w14:textId="77777777" w:rsidR="009B3F61" w:rsidRPr="008762D1" w:rsidRDefault="00253C83"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Al respecto</w:t>
      </w:r>
      <w:r w:rsidR="009B3F61" w:rsidRPr="008762D1">
        <w:rPr>
          <w:rFonts w:ascii="ITC Avant Garde" w:hAnsi="ITC Avant Garde"/>
          <w:color w:val="000000" w:themeColor="text1"/>
        </w:rPr>
        <w:t xml:space="preserve">, </w:t>
      </w:r>
      <w:r w:rsidRPr="008762D1">
        <w:rPr>
          <w:rFonts w:ascii="ITC Avant Garde" w:hAnsi="ITC Avant Garde"/>
          <w:color w:val="000000" w:themeColor="text1"/>
        </w:rPr>
        <w:t xml:space="preserve">se señala que el numeral 4.1 es acorde a lo establecido en Metodología de Costos respecto a </w:t>
      </w:r>
      <w:r w:rsidR="009B3F61" w:rsidRPr="008762D1">
        <w:rPr>
          <w:rFonts w:ascii="ITC Avant Garde" w:hAnsi="ITC Avant Garde"/>
          <w:color w:val="000000" w:themeColor="text1"/>
        </w:rPr>
        <w:t xml:space="preserve">los principios bajo los cuales se construirán los modelos de costos con los que se determinan las tarifas aplicables a los servicios de interconexión </w:t>
      </w:r>
      <w:r w:rsidRPr="008762D1">
        <w:rPr>
          <w:rFonts w:ascii="ITC Avant Garde" w:hAnsi="ITC Avant Garde"/>
          <w:color w:val="000000" w:themeColor="text1"/>
        </w:rPr>
        <w:t xml:space="preserve">al </w:t>
      </w:r>
      <w:r w:rsidR="009B3F61" w:rsidRPr="008762D1">
        <w:rPr>
          <w:rFonts w:ascii="ITC Avant Garde" w:hAnsi="ITC Avant Garde"/>
          <w:color w:val="000000" w:themeColor="text1"/>
        </w:rPr>
        <w:t>establecer que las tarifas aplicables a los servicios de interconexión debían permitir recuperar al menos el costo incremental total promedio de largo plazo o el costo incremental de largo plazo puro según el servicio de interconexión de que se trate</w:t>
      </w:r>
      <w:r w:rsidR="007446B3" w:rsidRPr="008762D1">
        <w:rPr>
          <w:rFonts w:ascii="ITC Avant Garde" w:hAnsi="ITC Avant Garde"/>
          <w:color w:val="000000" w:themeColor="text1"/>
        </w:rPr>
        <w:t>.</w:t>
      </w:r>
    </w:p>
    <w:p w14:paraId="2EEC5B18" w14:textId="77777777" w:rsidR="000F0B9F" w:rsidRPr="008762D1" w:rsidRDefault="00327BB2" w:rsidP="000F0B9F">
      <w:pPr>
        <w:pStyle w:val="IFT1"/>
        <w:numPr>
          <w:ilvl w:val="2"/>
          <w:numId w:val="9"/>
        </w:numPr>
        <w:spacing w:before="240" w:after="0"/>
        <w:ind w:left="567" w:hanging="567"/>
        <w:rPr>
          <w:rFonts w:cs="Arial"/>
          <w:color w:val="000000" w:themeColor="text1"/>
        </w:rPr>
      </w:pPr>
      <w:r w:rsidRPr="008762D1">
        <w:rPr>
          <w:b/>
          <w:color w:val="000000" w:themeColor="text1"/>
        </w:rPr>
        <w:t>CONTRAPRESTACIONES</w:t>
      </w:r>
      <w:r w:rsidRPr="008762D1">
        <w:rPr>
          <w:rFonts w:cs="Arial"/>
          <w:color w:val="000000" w:themeColor="text1"/>
        </w:rPr>
        <w:t>.</w:t>
      </w:r>
    </w:p>
    <w:p w14:paraId="3AE89032" w14:textId="40E8680C" w:rsidR="002E7472"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19BC3FCD" w14:textId="77777777" w:rsidR="000F0B9F" w:rsidRPr="008762D1" w:rsidRDefault="0008678E" w:rsidP="000F0B9F">
      <w:pPr>
        <w:spacing w:before="240" w:after="0" w:line="276" w:lineRule="auto"/>
        <w:jc w:val="both"/>
        <w:rPr>
          <w:rFonts w:ascii="ITC Avant Garde" w:hAnsi="ITC Avant Garde"/>
          <w:color w:val="000000" w:themeColor="text1"/>
        </w:rPr>
      </w:pPr>
      <w:r w:rsidRPr="008762D1">
        <w:rPr>
          <w:rFonts w:ascii="ITC Avant Garde" w:hAnsi="ITC Avant Garde" w:cs="Arial"/>
          <w:color w:val="000000" w:themeColor="text1"/>
        </w:rPr>
        <w:t xml:space="preserve">Del análisis del numeral 4.1.1 de la Cláusula Cuarta de la Propuesta de CMI se observó que </w:t>
      </w:r>
      <w:r w:rsidRPr="008762D1">
        <w:rPr>
          <w:rFonts w:ascii="ITC Avant Garde" w:hAnsi="ITC Avant Garde"/>
          <w:color w:val="000000" w:themeColor="text1"/>
        </w:rPr>
        <w:t>los términos y condiciones no se ajusta</w:t>
      </w:r>
      <w:r w:rsidR="003C414A" w:rsidRPr="008762D1">
        <w:rPr>
          <w:rFonts w:ascii="ITC Avant Garde" w:hAnsi="ITC Avant Garde"/>
          <w:color w:val="000000" w:themeColor="text1"/>
        </w:rPr>
        <w:t>ba</w:t>
      </w:r>
      <w:r w:rsidRPr="008762D1">
        <w:rPr>
          <w:rFonts w:ascii="ITC Avant Garde" w:hAnsi="ITC Avant Garde"/>
          <w:color w:val="000000" w:themeColor="text1"/>
        </w:rPr>
        <w:t xml:space="preserve">n a los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3C414A"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w:t>
      </w:r>
      <w:r w:rsidR="003C414A"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1D5A443E" w14:textId="77777777" w:rsidR="000F0B9F" w:rsidRPr="008762D1" w:rsidRDefault="0008678E"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Es así que</w:t>
      </w:r>
      <w:r w:rsidR="00B86619" w:rsidRPr="008762D1">
        <w:rPr>
          <w:rFonts w:ascii="ITC Avant Garde" w:hAnsi="ITC Avant Garde" w:cs="Arial"/>
          <w:snapToGrid w:val="0"/>
          <w:color w:val="000000" w:themeColor="text1"/>
        </w:rPr>
        <w:t>,</w:t>
      </w:r>
      <w:r w:rsidR="007446B3" w:rsidRPr="008762D1">
        <w:rPr>
          <w:rFonts w:ascii="ITC Avant Garde" w:hAnsi="ITC Avant Garde" w:cs="Arial"/>
          <w:snapToGrid w:val="0"/>
          <w:color w:val="000000" w:themeColor="text1"/>
        </w:rPr>
        <w:t xml:space="preserve"> respecto a que las contraprestaciones </w:t>
      </w:r>
      <w:r w:rsidR="00600C8A" w:rsidRPr="008762D1">
        <w:rPr>
          <w:rFonts w:ascii="ITC Avant Garde" w:hAnsi="ITC Avant Garde" w:cs="Arial"/>
          <w:snapToGrid w:val="0"/>
          <w:color w:val="000000" w:themeColor="text1"/>
        </w:rPr>
        <w:t xml:space="preserve">correspondientes a nuevos servicios de interconexión </w:t>
      </w:r>
      <w:r w:rsidR="007446B3" w:rsidRPr="008762D1">
        <w:rPr>
          <w:rFonts w:ascii="ITC Avant Garde" w:hAnsi="ITC Avant Garde" w:cs="Arial"/>
          <w:snapToGrid w:val="0"/>
          <w:color w:val="000000" w:themeColor="text1"/>
        </w:rPr>
        <w:t>adoptadas en cumplimiento de alguna disposición administrativa no tendrían efectos retroactivos, ser</w:t>
      </w:r>
      <w:r w:rsidR="00600C8A" w:rsidRPr="008762D1">
        <w:rPr>
          <w:rFonts w:ascii="ITC Avant Garde" w:hAnsi="ITC Avant Garde" w:cs="Arial"/>
          <w:snapToGrid w:val="0"/>
          <w:color w:val="000000" w:themeColor="text1"/>
        </w:rPr>
        <w:t>ía</w:t>
      </w:r>
      <w:r w:rsidR="007446B3" w:rsidRPr="008762D1">
        <w:rPr>
          <w:rFonts w:ascii="ITC Avant Garde" w:hAnsi="ITC Avant Garde" w:cs="Arial"/>
          <w:snapToGrid w:val="0"/>
          <w:color w:val="000000" w:themeColor="text1"/>
        </w:rPr>
        <w:t>n aplicables a partir de la fecha de su emisión y deber</w:t>
      </w:r>
      <w:r w:rsidR="00600C8A" w:rsidRPr="008762D1">
        <w:rPr>
          <w:rFonts w:ascii="ITC Avant Garde" w:hAnsi="ITC Avant Garde" w:cs="Arial"/>
          <w:snapToGrid w:val="0"/>
          <w:color w:val="000000" w:themeColor="text1"/>
        </w:rPr>
        <w:t>ían haber causado estado,</w:t>
      </w:r>
      <w:r w:rsidR="007446B3" w:rsidRPr="008762D1">
        <w:rPr>
          <w:rFonts w:ascii="ITC Avant Garde" w:hAnsi="ITC Avant Garde" w:cs="Arial"/>
          <w:snapToGrid w:val="0"/>
          <w:color w:val="000000" w:themeColor="text1"/>
        </w:rPr>
        <w:t xml:space="preserve"> </w:t>
      </w:r>
      <w:r w:rsidR="003C414A" w:rsidRPr="008762D1">
        <w:rPr>
          <w:rFonts w:ascii="ITC Avant Garde" w:hAnsi="ITC Avant Garde" w:cs="Arial"/>
          <w:snapToGrid w:val="0"/>
          <w:color w:val="000000" w:themeColor="text1"/>
        </w:rPr>
        <w:t>el Instituto</w:t>
      </w:r>
      <w:r w:rsidR="00600C8A" w:rsidRPr="008762D1">
        <w:rPr>
          <w:rFonts w:ascii="ITC Avant Garde" w:hAnsi="ITC Avant Garde" w:cs="Arial"/>
          <w:snapToGrid w:val="0"/>
          <w:color w:val="000000" w:themeColor="text1"/>
        </w:rPr>
        <w:t>,</w:t>
      </w:r>
      <w:r w:rsidR="003C414A" w:rsidRPr="008762D1">
        <w:rPr>
          <w:rFonts w:ascii="ITC Avant Garde" w:hAnsi="ITC Avant Garde" w:cs="Arial"/>
          <w:snapToGrid w:val="0"/>
          <w:color w:val="000000" w:themeColor="text1"/>
        </w:rPr>
        <w:t xml:space="preserve"> </w:t>
      </w:r>
      <w:r w:rsidR="00600C8A" w:rsidRPr="008762D1">
        <w:rPr>
          <w:rFonts w:ascii="ITC Avant Garde" w:hAnsi="ITC Avant Garde" w:cs="Arial"/>
          <w:snapToGrid w:val="0"/>
          <w:color w:val="000000" w:themeColor="text1"/>
        </w:rPr>
        <w:t>co</w:t>
      </w:r>
      <w:r w:rsidR="00E2786B" w:rsidRPr="008762D1">
        <w:rPr>
          <w:rFonts w:ascii="ITC Avant Garde" w:hAnsi="ITC Avant Garde" w:cs="Arial"/>
          <w:snapToGrid w:val="0"/>
          <w:color w:val="000000" w:themeColor="text1"/>
        </w:rPr>
        <w:t>nsiderando que la LFTR no prevé</w:t>
      </w:r>
      <w:r w:rsidR="00600C8A" w:rsidRPr="008762D1">
        <w:rPr>
          <w:rFonts w:ascii="ITC Avant Garde" w:hAnsi="ITC Avant Garde" w:cs="Arial"/>
          <w:snapToGrid w:val="0"/>
          <w:color w:val="000000" w:themeColor="text1"/>
        </w:rPr>
        <w:t xml:space="preserve"> ninguna restricción sobre el periodo de aplicación de las resoluciones del </w:t>
      </w:r>
      <w:r w:rsidR="00843B37" w:rsidRPr="008762D1">
        <w:rPr>
          <w:rFonts w:ascii="ITC Avant Garde" w:hAnsi="ITC Avant Garde" w:cs="Arial"/>
          <w:snapToGrid w:val="0"/>
          <w:color w:val="000000" w:themeColor="text1"/>
        </w:rPr>
        <w:t>mismo</w:t>
      </w:r>
      <w:r w:rsidR="00600C8A" w:rsidRPr="008762D1">
        <w:rPr>
          <w:rFonts w:ascii="ITC Avant Garde" w:hAnsi="ITC Avant Garde" w:cs="Arial"/>
          <w:snapToGrid w:val="0"/>
          <w:color w:val="000000" w:themeColor="text1"/>
        </w:rPr>
        <w:t xml:space="preserve">, </w:t>
      </w:r>
      <w:r w:rsidR="003C414A" w:rsidRPr="008762D1">
        <w:rPr>
          <w:rFonts w:ascii="ITC Avant Garde" w:hAnsi="ITC Avant Garde" w:cs="Arial"/>
          <w:snapToGrid w:val="0"/>
          <w:color w:val="000000" w:themeColor="text1"/>
        </w:rPr>
        <w:t xml:space="preserve">modificó el numeral </w:t>
      </w:r>
      <w:r w:rsidR="00327BB2" w:rsidRPr="008762D1">
        <w:rPr>
          <w:rFonts w:ascii="ITC Avant Garde" w:hAnsi="ITC Avant Garde" w:cs="Arial"/>
          <w:snapToGrid w:val="0"/>
          <w:color w:val="000000" w:themeColor="text1"/>
        </w:rPr>
        <w:t>4.1.1</w:t>
      </w:r>
      <w:r w:rsidR="003C414A" w:rsidRPr="008762D1">
        <w:rPr>
          <w:rFonts w:ascii="ITC Avant Garde" w:hAnsi="ITC Avant Garde" w:cs="Arial"/>
          <w:snapToGrid w:val="0"/>
          <w:color w:val="000000" w:themeColor="text1"/>
        </w:rPr>
        <w:t>,</w:t>
      </w:r>
      <w:r w:rsidR="00600C8A" w:rsidRPr="008762D1">
        <w:rPr>
          <w:rFonts w:ascii="ITC Avant Garde" w:hAnsi="ITC Avant Garde" w:cs="Arial"/>
          <w:snapToGrid w:val="0"/>
          <w:color w:val="000000" w:themeColor="text1"/>
        </w:rPr>
        <w:t xml:space="preserve"> </w:t>
      </w:r>
      <w:r w:rsidR="0098080D" w:rsidRPr="008762D1">
        <w:rPr>
          <w:rFonts w:ascii="ITC Avant Garde" w:hAnsi="ITC Avant Garde" w:cs="Arial"/>
          <w:snapToGrid w:val="0"/>
          <w:color w:val="000000" w:themeColor="text1"/>
        </w:rPr>
        <w:t>en el siguiente sentido</w:t>
      </w:r>
      <w:r w:rsidR="00600C8A" w:rsidRPr="008762D1">
        <w:rPr>
          <w:rFonts w:ascii="ITC Avant Garde" w:hAnsi="ITC Avant Garde" w:cs="Arial"/>
          <w:snapToGrid w:val="0"/>
          <w:color w:val="000000" w:themeColor="text1"/>
        </w:rPr>
        <w:t>:</w:t>
      </w:r>
    </w:p>
    <w:p w14:paraId="42A854AA" w14:textId="65E856E4" w:rsidR="003C0916" w:rsidRPr="008762D1" w:rsidRDefault="003C414A"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hAnsi="ITC Avant Garde" w:cs="Arial"/>
          <w:snapToGrid w:val="0"/>
          <w:color w:val="000000" w:themeColor="text1"/>
        </w:rPr>
        <w:t xml:space="preserve"> </w:t>
      </w:r>
      <w:r w:rsidR="003C0916" w:rsidRPr="008762D1">
        <w:rPr>
          <w:rFonts w:ascii="ITC Avant Garde" w:eastAsia="Times New Roman" w:hAnsi="ITC Avant Garde" w:cs="Arial"/>
          <w:iCs/>
          <w:color w:val="000000" w:themeColor="text1"/>
          <w:sz w:val="18"/>
          <w:szCs w:val="18"/>
        </w:rPr>
        <w:t>“</w:t>
      </w:r>
      <w:r w:rsidR="003C0916" w:rsidRPr="008762D1">
        <w:rPr>
          <w:rFonts w:ascii="ITC Avant Garde" w:eastAsia="Times New Roman" w:hAnsi="ITC Avant Garde" w:cs="Arial"/>
          <w:b/>
          <w:iCs/>
          <w:color w:val="000000" w:themeColor="text1"/>
          <w:sz w:val="18"/>
          <w:szCs w:val="18"/>
          <w:u w:val="single"/>
        </w:rPr>
        <w:t>4.1.1 Contraprestaciones.</w:t>
      </w:r>
      <w:r w:rsidR="003C0916" w:rsidRPr="008762D1">
        <w:rPr>
          <w:rFonts w:ascii="ITC Avant Garde" w:eastAsia="Times New Roman" w:hAnsi="ITC Avant Garde" w:cs="Arial"/>
          <w:iCs/>
          <w:color w:val="000000" w:themeColor="text1"/>
          <w:sz w:val="18"/>
          <w:szCs w:val="18"/>
        </w:rPr>
        <w:t xml:space="preserve"> </w:t>
      </w:r>
    </w:p>
    <w:p w14:paraId="4EC4DF8A" w14:textId="77777777" w:rsidR="003C0916" w:rsidRPr="008762D1" w:rsidRDefault="003C0916"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w:t>
      </w:r>
    </w:p>
    <w:p w14:paraId="2546D3D7" w14:textId="77777777" w:rsidR="000F0B9F" w:rsidRPr="008762D1" w:rsidRDefault="003C0916" w:rsidP="000F0B9F">
      <w:pPr>
        <w:spacing w:before="240" w:after="0" w:line="276" w:lineRule="auto"/>
        <w:ind w:left="567" w:right="567"/>
        <w:jc w:val="both"/>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Las Partes estarán obligadas al pago de las contraprestaciones que resulten aplicables a nuevos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6421B9" w:rsidRPr="008762D1">
        <w:rPr>
          <w:rFonts w:ascii="ITC Avant Garde" w:eastAsia="Times New Roman" w:hAnsi="ITC Avant Garde" w:cs="Arial"/>
          <w:iCs/>
          <w:strike/>
          <w:color w:val="000000" w:themeColor="text1"/>
          <w:sz w:val="18"/>
          <w:szCs w:val="18"/>
        </w:rPr>
        <w:t xml:space="preserve"> la cual no tendrá efectos retroactivos y será aplicable a partir de la fecha de su emisión, y deberá haber causado </w:t>
      </w:r>
      <w:proofErr w:type="spellStart"/>
      <w:r w:rsidR="006421B9" w:rsidRPr="008762D1">
        <w:rPr>
          <w:rFonts w:ascii="ITC Avant Garde" w:eastAsia="Times New Roman" w:hAnsi="ITC Avant Garde" w:cs="Arial"/>
          <w:iCs/>
          <w:strike/>
          <w:color w:val="000000" w:themeColor="text1"/>
          <w:sz w:val="18"/>
          <w:szCs w:val="18"/>
        </w:rPr>
        <w:t>estado</w:t>
      </w:r>
      <w:r w:rsidRPr="008762D1">
        <w:rPr>
          <w:rFonts w:ascii="ITC Avant Garde" w:eastAsia="Times New Roman" w:hAnsi="ITC Avant Garde" w:cs="Arial"/>
          <w:iCs/>
          <w:color w:val="000000" w:themeColor="text1"/>
          <w:sz w:val="18"/>
          <w:szCs w:val="18"/>
          <w:u w:val="single"/>
        </w:rPr>
        <w:t>la</w:t>
      </w:r>
      <w:proofErr w:type="spellEnd"/>
      <w:r w:rsidRPr="008762D1">
        <w:rPr>
          <w:rFonts w:ascii="ITC Avant Garde" w:eastAsia="Times New Roman" w:hAnsi="ITC Avant Garde" w:cs="Arial"/>
          <w:iCs/>
          <w:color w:val="000000" w:themeColor="text1"/>
          <w:sz w:val="18"/>
          <w:szCs w:val="18"/>
          <w:u w:val="single"/>
        </w:rPr>
        <w:t xml:space="preserve"> cual será aplicable en los términos en que determine el Instituto</w:t>
      </w:r>
      <w:r w:rsidRPr="008762D1">
        <w:rPr>
          <w:rFonts w:ascii="ITC Avant Garde" w:eastAsia="Times New Roman" w:hAnsi="ITC Avant Garde" w:cs="Arial"/>
          <w:iCs/>
          <w:color w:val="000000" w:themeColor="text1"/>
          <w:sz w:val="18"/>
          <w:szCs w:val="18"/>
        </w:rPr>
        <w:t>. Dichas contraprestaciones se incorporarán en los términos de una modificación al Anexo “B” que al efecto suscribirán las Partes y que formará parte integrante de este Convenio.”</w:t>
      </w:r>
    </w:p>
    <w:p w14:paraId="25E9340E" w14:textId="77777777" w:rsidR="000F0B9F" w:rsidRPr="008762D1" w:rsidRDefault="003C0916"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lastRenderedPageBreak/>
        <w:t>Énfasis añadido</w:t>
      </w:r>
    </w:p>
    <w:p w14:paraId="23881EA1" w14:textId="2939B533" w:rsidR="00CE750E" w:rsidRPr="008762D1" w:rsidRDefault="00CE750E"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747BBA51" w14:textId="77777777" w:rsidR="000F0B9F" w:rsidRPr="008762D1" w:rsidRDefault="003C0916"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presentó el </w:t>
      </w:r>
      <w:r w:rsidRPr="008762D1">
        <w:rPr>
          <w:rFonts w:ascii="ITC Avant Garde" w:hAnsi="ITC Avant Garde" w:cs="Arial"/>
          <w:color w:val="000000" w:themeColor="text1"/>
        </w:rPr>
        <w:t>numeral 4.1.1 de la Cláusula Cuarta en los términos señalados en el Acuerdo.</w:t>
      </w:r>
    </w:p>
    <w:p w14:paraId="5C520B5F" w14:textId="250CBB57" w:rsidR="00CE750E" w:rsidRPr="008762D1" w:rsidRDefault="00CE750E"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58F40416" w14:textId="77777777" w:rsidR="000F0B9F" w:rsidRPr="008762D1" w:rsidRDefault="00FF0DEE"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E</w:t>
      </w:r>
      <w:r w:rsidR="0098080D" w:rsidRPr="008762D1">
        <w:rPr>
          <w:rFonts w:ascii="ITC Avant Garde" w:hAnsi="ITC Avant Garde" w:cs="Arial"/>
          <w:snapToGrid w:val="0"/>
          <w:color w:val="000000" w:themeColor="text1"/>
        </w:rPr>
        <w:t xml:space="preserve">l numeral 4.1.1 </w:t>
      </w:r>
      <w:r w:rsidRPr="008762D1">
        <w:rPr>
          <w:rFonts w:ascii="ITC Avant Garde" w:hAnsi="ITC Avant Garde" w:cs="Arial"/>
          <w:snapToGrid w:val="0"/>
          <w:color w:val="000000" w:themeColor="text1"/>
        </w:rPr>
        <w:t>es acorde con</w:t>
      </w:r>
      <w:r w:rsidR="005E7E37" w:rsidRPr="008762D1">
        <w:rPr>
          <w:rFonts w:ascii="ITC Avant Garde" w:hAnsi="ITC Avant Garde" w:cs="Arial"/>
          <w:snapToGrid w:val="0"/>
          <w:color w:val="000000" w:themeColor="text1"/>
        </w:rPr>
        <w:t xml:space="preserve"> fundamento en el artículo 8 de la Ley Federal de Procedimiento Administrativo </w:t>
      </w:r>
      <w:r w:rsidRPr="008762D1">
        <w:rPr>
          <w:rFonts w:ascii="ITC Avant Garde" w:hAnsi="ITC Avant Garde" w:cs="Arial"/>
          <w:snapToGrid w:val="0"/>
          <w:color w:val="000000" w:themeColor="text1"/>
        </w:rPr>
        <w:t xml:space="preserve">respecto a que </w:t>
      </w:r>
      <w:r w:rsidR="00843B37" w:rsidRPr="008762D1">
        <w:rPr>
          <w:rFonts w:ascii="ITC Avant Garde" w:hAnsi="ITC Avant Garde" w:cs="Arial"/>
          <w:snapToGrid w:val="0"/>
          <w:color w:val="000000" w:themeColor="text1"/>
        </w:rPr>
        <w:t>las disposiciones administrativas que emiten las autoridades administrativas se presumen v</w:t>
      </w:r>
      <w:r w:rsidR="00843B37" w:rsidRPr="008762D1">
        <w:rPr>
          <w:rFonts w:ascii="ITC Avant Garde" w:hAnsi="ITC Avant Garde" w:cs="Arial" w:hint="eastAsia"/>
          <w:snapToGrid w:val="0"/>
          <w:color w:val="000000" w:themeColor="text1"/>
        </w:rPr>
        <w:t>á</w:t>
      </w:r>
      <w:r w:rsidR="00843B37" w:rsidRPr="008762D1">
        <w:rPr>
          <w:rFonts w:ascii="ITC Avant Garde" w:hAnsi="ITC Avant Garde" w:cs="Arial"/>
          <w:snapToGrid w:val="0"/>
          <w:color w:val="000000" w:themeColor="text1"/>
        </w:rPr>
        <w:t xml:space="preserve">lidas hasta en tanto no sean revocadas por autoridad competente </w:t>
      </w:r>
      <w:r w:rsidRPr="008762D1">
        <w:rPr>
          <w:rFonts w:ascii="ITC Avant Garde" w:hAnsi="ITC Avant Garde" w:cs="Arial"/>
          <w:snapToGrid w:val="0"/>
          <w:color w:val="000000" w:themeColor="text1"/>
        </w:rPr>
        <w:t xml:space="preserve">para ello, asimismo establece que las resoluciones que el Instituto emita deberán aplicarse en los términos que </w:t>
      </w:r>
      <w:r w:rsidR="00E2786B" w:rsidRPr="008762D1">
        <w:rPr>
          <w:rFonts w:ascii="ITC Avant Garde" w:hAnsi="ITC Avant Garde" w:cs="Arial"/>
          <w:snapToGrid w:val="0"/>
          <w:color w:val="000000" w:themeColor="text1"/>
        </w:rPr>
        <w:t xml:space="preserve">éste </w:t>
      </w:r>
      <w:r w:rsidRPr="008762D1">
        <w:rPr>
          <w:rFonts w:ascii="ITC Avant Garde" w:hAnsi="ITC Avant Garde" w:cs="Arial"/>
          <w:snapToGrid w:val="0"/>
          <w:color w:val="000000" w:themeColor="text1"/>
        </w:rPr>
        <w:t>determine.</w:t>
      </w:r>
      <w:r w:rsidR="00D45F58" w:rsidRPr="008762D1">
        <w:rPr>
          <w:rFonts w:ascii="ITC Avant Garde" w:hAnsi="ITC Avant Garde" w:cs="Arial"/>
          <w:snapToGrid w:val="0"/>
          <w:color w:val="000000" w:themeColor="text1"/>
        </w:rPr>
        <w:t xml:space="preserve"> Por lo anterior y toda vez que Telmex no realizó manifestaciones sobre la modificación realizada por el Instituto,</w:t>
      </w:r>
      <w:r w:rsidR="00ED0276" w:rsidRPr="008762D1">
        <w:rPr>
          <w:rFonts w:ascii="ITC Avant Garde" w:hAnsi="ITC Avant Garde" w:cs="Arial"/>
          <w:snapToGrid w:val="0"/>
          <w:color w:val="000000" w:themeColor="text1"/>
        </w:rPr>
        <w:t xml:space="preserve"> se considera </w:t>
      </w:r>
      <w:r w:rsidR="002C2E28" w:rsidRPr="008762D1">
        <w:rPr>
          <w:rFonts w:ascii="ITC Avant Garde" w:hAnsi="ITC Avant Garde" w:cs="Arial"/>
          <w:snapToGrid w:val="0"/>
          <w:color w:val="000000" w:themeColor="text1"/>
        </w:rPr>
        <w:t xml:space="preserve">procedente la </w:t>
      </w:r>
      <w:r w:rsidR="00ED0276" w:rsidRPr="008762D1">
        <w:rPr>
          <w:rFonts w:ascii="ITC Avant Garde" w:hAnsi="ITC Avant Garde" w:cs="Arial"/>
          <w:snapToGrid w:val="0"/>
          <w:color w:val="000000" w:themeColor="text1"/>
        </w:rPr>
        <w:t>aproba</w:t>
      </w:r>
      <w:r w:rsidR="002C2E28" w:rsidRPr="008762D1">
        <w:rPr>
          <w:rFonts w:ascii="ITC Avant Garde" w:hAnsi="ITC Avant Garde" w:cs="Arial"/>
          <w:snapToGrid w:val="0"/>
          <w:color w:val="000000" w:themeColor="text1"/>
        </w:rPr>
        <w:t>ción</w:t>
      </w:r>
      <w:r w:rsidR="00D45F58" w:rsidRPr="008762D1">
        <w:rPr>
          <w:rFonts w:ascii="ITC Avant Garde" w:hAnsi="ITC Avant Garde" w:cs="Arial"/>
          <w:snapToGrid w:val="0"/>
          <w:color w:val="000000" w:themeColor="text1"/>
        </w:rPr>
        <w:t xml:space="preserve"> </w:t>
      </w:r>
      <w:r w:rsidR="002C2E28" w:rsidRPr="008762D1">
        <w:rPr>
          <w:rFonts w:ascii="ITC Avant Garde" w:hAnsi="ITC Avant Garde" w:cs="Arial"/>
          <w:snapToGrid w:val="0"/>
          <w:color w:val="000000" w:themeColor="text1"/>
        </w:rPr>
        <w:t>d</w:t>
      </w:r>
      <w:r w:rsidR="00ED0276" w:rsidRPr="008762D1">
        <w:rPr>
          <w:rFonts w:ascii="ITC Avant Garde" w:hAnsi="ITC Avant Garde" w:cs="Arial"/>
          <w:snapToGrid w:val="0"/>
          <w:color w:val="000000" w:themeColor="text1"/>
        </w:rPr>
        <w:t xml:space="preserve">el numeral 4.1.1 </w:t>
      </w:r>
      <w:r w:rsidR="00D45F58" w:rsidRPr="008762D1">
        <w:rPr>
          <w:rFonts w:ascii="ITC Avant Garde" w:hAnsi="ITC Avant Garde" w:cs="Arial"/>
          <w:snapToGrid w:val="0"/>
          <w:color w:val="000000" w:themeColor="text1"/>
        </w:rPr>
        <w:t>en los términos señalados.</w:t>
      </w:r>
    </w:p>
    <w:p w14:paraId="5132C51E" w14:textId="77777777" w:rsidR="000F0B9F" w:rsidRPr="008762D1" w:rsidRDefault="00327BB2" w:rsidP="000F0B9F">
      <w:pPr>
        <w:pStyle w:val="IFT1"/>
        <w:numPr>
          <w:ilvl w:val="2"/>
          <w:numId w:val="9"/>
        </w:numPr>
        <w:spacing w:before="240" w:after="0"/>
        <w:ind w:left="567" w:hanging="567"/>
        <w:rPr>
          <w:rFonts w:cs="Arial"/>
          <w:b/>
          <w:color w:val="000000" w:themeColor="text1"/>
        </w:rPr>
      </w:pPr>
      <w:r w:rsidRPr="008762D1">
        <w:rPr>
          <w:rFonts w:cs="Arial"/>
          <w:color w:val="000000" w:themeColor="text1"/>
        </w:rPr>
        <w:t xml:space="preserve"> </w:t>
      </w:r>
      <w:r w:rsidRPr="008762D1">
        <w:rPr>
          <w:rFonts w:cs="Arial"/>
          <w:b/>
          <w:color w:val="000000" w:themeColor="text1"/>
        </w:rPr>
        <w:t>MODIFICACIONES.</w:t>
      </w:r>
    </w:p>
    <w:p w14:paraId="0BF39671" w14:textId="244DA153" w:rsidR="002E7472"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3C3DF90A" w14:textId="77777777" w:rsidR="000F0B9F" w:rsidRPr="008762D1" w:rsidRDefault="00DC3E5C" w:rsidP="000F0B9F">
      <w:pPr>
        <w:spacing w:before="240" w:after="0" w:line="276" w:lineRule="auto"/>
        <w:jc w:val="both"/>
        <w:rPr>
          <w:rFonts w:ascii="ITC Avant Garde" w:hAnsi="ITC Avant Garde"/>
          <w:color w:val="000000" w:themeColor="text1"/>
        </w:rPr>
      </w:pPr>
      <w:r w:rsidRPr="008762D1">
        <w:rPr>
          <w:rFonts w:ascii="ITC Avant Garde" w:hAnsi="ITC Avant Garde" w:cs="Arial"/>
          <w:color w:val="000000" w:themeColor="text1"/>
        </w:rPr>
        <w:t xml:space="preserve">Del análisis del numeral 4.1.3 de la Cláusula Cuarta de la Propuesta de CMI se observó que </w:t>
      </w:r>
      <w:r w:rsidRPr="008762D1">
        <w:rPr>
          <w:rFonts w:ascii="ITC Avant Garde" w:hAnsi="ITC Avant Garde"/>
          <w:color w:val="000000" w:themeColor="text1"/>
        </w:rPr>
        <w:t xml:space="preserve">los términos y condiciones no se ajustaban a los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Pr="008762D1">
        <w:rPr>
          <w:rFonts w:ascii="ITC Avant Garde" w:hAnsi="ITC Avant Garde" w:cs="Arial"/>
          <w:bCs/>
          <w:color w:val="000000" w:themeColor="text1"/>
          <w:lang w:eastAsia="es-ES"/>
        </w:rPr>
        <w:t xml:space="preserve">P/IFT/EXT/241116/40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regulación; el Instituto no consideró procedente que en una revisión posterior del convenio marco de interconexión se plantearan términos y condiciones menos favorables que los ya autorizados por el Instituto.</w:t>
      </w:r>
    </w:p>
    <w:p w14:paraId="61E3EDD7" w14:textId="77777777" w:rsidR="000F0B9F" w:rsidRPr="008762D1" w:rsidRDefault="000A47F2" w:rsidP="000F0B9F">
      <w:pPr>
        <w:spacing w:before="240" w:after="0" w:line="276" w:lineRule="auto"/>
        <w:jc w:val="both"/>
        <w:rPr>
          <w:rFonts w:ascii="ITC Avant Garde" w:hAnsi="ITC Avant Garde"/>
          <w:color w:val="000000" w:themeColor="text1"/>
        </w:rPr>
      </w:pPr>
      <w:r w:rsidRPr="008762D1">
        <w:rPr>
          <w:rFonts w:ascii="ITC Avant Garde" w:hAnsi="ITC Avant Garde" w:cs="Arial"/>
          <w:snapToGrid w:val="0"/>
          <w:color w:val="000000" w:themeColor="text1"/>
        </w:rPr>
        <w:t>Por lo anterior,</w:t>
      </w:r>
      <w:r w:rsidR="00AF5EC0" w:rsidRPr="008762D1">
        <w:rPr>
          <w:rFonts w:ascii="ITC Avant Garde" w:hAnsi="ITC Avant Garde" w:cs="Arial"/>
          <w:snapToGrid w:val="0"/>
          <w:color w:val="000000" w:themeColor="text1"/>
        </w:rPr>
        <w:t xml:space="preserve"> respecto al pago que permita la recuperación de inversiones en caso de que alguna de las partes requiriese modificar los servicios de interconexión definidos y</w:t>
      </w:r>
      <w:r w:rsidR="00843B37" w:rsidRPr="008762D1">
        <w:rPr>
          <w:rFonts w:ascii="ITC Avant Garde" w:hAnsi="ITC Avant Garde" w:cs="Arial"/>
          <w:snapToGrid w:val="0"/>
          <w:color w:val="000000" w:themeColor="text1"/>
        </w:rPr>
        <w:t xml:space="preserve"> que</w:t>
      </w:r>
      <w:r w:rsidR="00AF5EC0" w:rsidRPr="008762D1">
        <w:rPr>
          <w:rFonts w:ascii="ITC Avant Garde" w:hAnsi="ITC Avant Garde" w:cs="Arial"/>
          <w:snapToGrid w:val="0"/>
          <w:color w:val="000000" w:themeColor="text1"/>
        </w:rPr>
        <w:t xml:space="preserve"> como consecuencia de ello haya un incremento de costos,</w:t>
      </w:r>
      <w:r w:rsidRPr="008762D1">
        <w:rPr>
          <w:rFonts w:ascii="ITC Avant Garde" w:hAnsi="ITC Avant Garde" w:cs="Arial"/>
          <w:snapToGrid w:val="0"/>
          <w:color w:val="000000" w:themeColor="text1"/>
        </w:rPr>
        <w:t xml:space="preserve"> el Instituto modificó el numeral 4.1.3 a efecto </w:t>
      </w:r>
      <w:r w:rsidR="00352EC4" w:rsidRPr="008762D1">
        <w:rPr>
          <w:rFonts w:ascii="ITC Avant Garde" w:hAnsi="ITC Avant Garde" w:cs="Arial"/>
          <w:snapToGrid w:val="0"/>
          <w:color w:val="000000" w:themeColor="text1"/>
        </w:rPr>
        <w:t>señalar</w:t>
      </w:r>
      <w:r w:rsidR="00AF5EC0" w:rsidRPr="008762D1">
        <w:rPr>
          <w:rFonts w:ascii="ITC Avant Garde" w:hAnsi="ITC Avant Garde" w:cs="Arial"/>
          <w:snapToGrid w:val="0"/>
          <w:color w:val="000000" w:themeColor="text1"/>
        </w:rPr>
        <w:t xml:space="preserve"> que el pago </w:t>
      </w:r>
      <w:r w:rsidR="0058207E" w:rsidRPr="008762D1">
        <w:rPr>
          <w:rFonts w:ascii="ITC Avant Garde" w:hAnsi="ITC Avant Garde" w:cs="Arial"/>
          <w:snapToGrid w:val="0"/>
          <w:color w:val="000000" w:themeColor="text1"/>
        </w:rPr>
        <w:t>debe permitir</w:t>
      </w:r>
      <w:r w:rsidR="00AF5EC0" w:rsidRPr="008762D1">
        <w:rPr>
          <w:rFonts w:ascii="ITC Avant Garde" w:hAnsi="ITC Avant Garde" w:cs="Arial"/>
          <w:snapToGrid w:val="0"/>
          <w:color w:val="000000" w:themeColor="text1"/>
        </w:rPr>
        <w:t xml:space="preserve"> la recuperación de los costos </w:t>
      </w:r>
      <w:r w:rsidRPr="008762D1">
        <w:rPr>
          <w:rFonts w:ascii="ITC Avant Garde" w:hAnsi="ITC Avant Garde" w:cs="Arial"/>
          <w:snapToGrid w:val="0"/>
          <w:color w:val="000000" w:themeColor="text1"/>
        </w:rPr>
        <w:t xml:space="preserve">y </w:t>
      </w:r>
      <w:r w:rsidR="00B5580E" w:rsidRPr="008762D1">
        <w:rPr>
          <w:rFonts w:ascii="ITC Avant Garde" w:hAnsi="ITC Avant Garde"/>
          <w:color w:val="000000" w:themeColor="text1"/>
        </w:rPr>
        <w:t>precisó</w:t>
      </w:r>
      <w:r w:rsidR="003108AA" w:rsidRPr="008762D1">
        <w:rPr>
          <w:rFonts w:ascii="ITC Avant Garde" w:hAnsi="ITC Avant Garde"/>
          <w:color w:val="000000" w:themeColor="text1"/>
        </w:rPr>
        <w:t xml:space="preserve"> que cualquier diferendo</w:t>
      </w:r>
      <w:r w:rsidRPr="008762D1">
        <w:rPr>
          <w:rFonts w:ascii="ITC Avant Garde" w:hAnsi="ITC Avant Garde"/>
          <w:color w:val="000000" w:themeColor="text1"/>
        </w:rPr>
        <w:t xml:space="preserve"> respecto de las tarifas o costos adicionales </w:t>
      </w:r>
      <w:r w:rsidR="003108AA" w:rsidRPr="008762D1">
        <w:rPr>
          <w:rFonts w:ascii="ITC Avant Garde" w:hAnsi="ITC Avant Garde"/>
          <w:color w:val="000000" w:themeColor="text1"/>
        </w:rPr>
        <w:t>estaría sujeto al procedimiento de resolución de desacuerdos previsto en el artículo 129 de la LFTR,</w:t>
      </w:r>
      <w:r w:rsidR="0058207E" w:rsidRPr="008762D1">
        <w:rPr>
          <w:rFonts w:ascii="ITC Avant Garde" w:hAnsi="ITC Avant Garde"/>
          <w:color w:val="000000" w:themeColor="text1"/>
        </w:rPr>
        <w:t xml:space="preserve"> </w:t>
      </w:r>
      <w:r w:rsidR="00527A14" w:rsidRPr="008762D1">
        <w:rPr>
          <w:rFonts w:ascii="ITC Avant Garde" w:hAnsi="ITC Avant Garde"/>
          <w:color w:val="000000" w:themeColor="text1"/>
        </w:rPr>
        <w:t>conforme lo siguiente</w:t>
      </w:r>
      <w:r w:rsidR="0058207E" w:rsidRPr="008762D1">
        <w:rPr>
          <w:rFonts w:ascii="ITC Avant Garde" w:hAnsi="ITC Avant Garde"/>
          <w:color w:val="000000" w:themeColor="text1"/>
        </w:rPr>
        <w:t>:</w:t>
      </w:r>
      <w:r w:rsidR="003108AA" w:rsidRPr="008762D1">
        <w:rPr>
          <w:rFonts w:ascii="ITC Avant Garde" w:hAnsi="ITC Avant Garde"/>
          <w:color w:val="000000" w:themeColor="text1"/>
        </w:rPr>
        <w:t xml:space="preserve"> </w:t>
      </w:r>
    </w:p>
    <w:p w14:paraId="20661331" w14:textId="77777777" w:rsidR="000F0B9F" w:rsidRPr="008762D1" w:rsidRDefault="00181D3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b/>
          <w:color w:val="000000" w:themeColor="text1"/>
          <w:sz w:val="18"/>
          <w:szCs w:val="18"/>
        </w:rPr>
        <w:t xml:space="preserve">4.1.3 </w:t>
      </w:r>
      <w:r w:rsidRPr="008762D1">
        <w:rPr>
          <w:rFonts w:ascii="ITC Avant Garde" w:hAnsi="ITC Avant Garde" w:cs="Arial"/>
          <w:b/>
          <w:color w:val="000000" w:themeColor="text1"/>
          <w:sz w:val="18"/>
          <w:szCs w:val="18"/>
          <w:u w:val="single"/>
        </w:rPr>
        <w:t>Modificaciones</w:t>
      </w:r>
      <w:r w:rsidRPr="008762D1">
        <w:rPr>
          <w:rFonts w:ascii="ITC Avant Garde" w:hAnsi="ITC Avant Garde" w:cs="Arial"/>
          <w:color w:val="000000" w:themeColor="text1"/>
          <w:sz w:val="18"/>
          <w:szCs w:val="18"/>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w:t>
      </w:r>
      <w:r w:rsidR="00B27307" w:rsidRPr="008762D1">
        <w:rPr>
          <w:rFonts w:ascii="ITC Avant Garde" w:hAnsi="ITC Avant Garde" w:cs="Arial"/>
          <w:strike/>
          <w:color w:val="000000" w:themeColor="text1"/>
          <w:sz w:val="18"/>
          <w:szCs w:val="18"/>
        </w:rPr>
        <w:t xml:space="preserve">inversiones </w:t>
      </w:r>
      <w:proofErr w:type="spellStart"/>
      <w:r w:rsidR="00B27307" w:rsidRPr="008762D1">
        <w:rPr>
          <w:rFonts w:ascii="ITC Avant Garde" w:hAnsi="ITC Avant Garde" w:cs="Arial"/>
          <w:strike/>
          <w:color w:val="000000" w:themeColor="text1"/>
          <w:sz w:val="18"/>
          <w:szCs w:val="18"/>
        </w:rPr>
        <w:lastRenderedPageBreak/>
        <w:t>específicas</w:t>
      </w:r>
      <w:r w:rsidRPr="008762D1">
        <w:rPr>
          <w:rFonts w:ascii="ITC Avant Garde" w:hAnsi="ITC Avant Garde" w:cs="Arial"/>
          <w:color w:val="000000" w:themeColor="text1"/>
          <w:sz w:val="18"/>
          <w:szCs w:val="18"/>
          <w:u w:val="single"/>
        </w:rPr>
        <w:t>costos</w:t>
      </w:r>
      <w:proofErr w:type="spellEnd"/>
      <w:r w:rsidRPr="008762D1">
        <w:rPr>
          <w:rFonts w:ascii="ITC Avant Garde" w:hAnsi="ITC Avant Garde" w:cs="Arial"/>
          <w:color w:val="000000" w:themeColor="text1"/>
          <w:sz w:val="18"/>
          <w:szCs w:val="18"/>
          <w:u w:val="single"/>
        </w:rPr>
        <w:t xml:space="preserve"> adicionales,</w:t>
      </w:r>
      <w:r w:rsidRPr="008762D1">
        <w:rPr>
          <w:rFonts w:ascii="ITC Avant Garde" w:hAnsi="ITC Avant Garde" w:cs="Arial"/>
          <w:color w:val="000000" w:themeColor="text1"/>
          <w:sz w:val="18"/>
          <w:szCs w:val="18"/>
        </w:rPr>
        <w:t xml:space="preserve"> la parte solicitante previo acuerdo con la parte solicitada, pagará a esta ultima la contraprestación o </w:t>
      </w:r>
      <w:r w:rsidR="00B27307" w:rsidRPr="008762D1">
        <w:rPr>
          <w:rFonts w:ascii="ITC Avant Garde" w:hAnsi="ITC Avant Garde" w:cs="Arial"/>
          <w:strike/>
          <w:color w:val="000000" w:themeColor="text1"/>
          <w:sz w:val="18"/>
          <w:szCs w:val="18"/>
        </w:rPr>
        <w:t xml:space="preserve">recuperación de </w:t>
      </w:r>
      <w:proofErr w:type="spellStart"/>
      <w:r w:rsidR="00B27307" w:rsidRPr="008762D1">
        <w:rPr>
          <w:rFonts w:ascii="ITC Avant Garde" w:hAnsi="ITC Avant Garde" w:cs="Arial"/>
          <w:strike/>
          <w:color w:val="000000" w:themeColor="text1"/>
          <w:sz w:val="18"/>
          <w:szCs w:val="18"/>
        </w:rPr>
        <w:t>inversiones</w:t>
      </w:r>
      <w:r w:rsidRPr="008762D1">
        <w:rPr>
          <w:rFonts w:ascii="ITC Avant Garde" w:hAnsi="ITC Avant Garde" w:cs="Arial"/>
          <w:color w:val="000000" w:themeColor="text1"/>
          <w:sz w:val="18"/>
          <w:szCs w:val="18"/>
          <w:u w:val="single"/>
        </w:rPr>
        <w:t>monto</w:t>
      </w:r>
      <w:proofErr w:type="spellEnd"/>
      <w:r w:rsidRPr="008762D1">
        <w:rPr>
          <w:rFonts w:ascii="ITC Avant Garde" w:hAnsi="ITC Avant Garde" w:cs="Arial"/>
          <w:color w:val="000000" w:themeColor="text1"/>
          <w:sz w:val="18"/>
          <w:szCs w:val="18"/>
        </w:rPr>
        <w:t xml:space="preserve"> que corresponda conforme a lo convenido para la situación original, más una cantidad que, en su caso, acuerden las Partes y que refleje el incremento en los costos correspondientes. En caso de </w:t>
      </w:r>
      <w:proofErr w:type="spellStart"/>
      <w:r w:rsidR="00B27307" w:rsidRPr="008762D1">
        <w:rPr>
          <w:rFonts w:ascii="ITC Avant Garde" w:hAnsi="ITC Avant Garde" w:cs="Arial"/>
          <w:strike/>
          <w:color w:val="000000" w:themeColor="text1"/>
          <w:sz w:val="18"/>
          <w:szCs w:val="18"/>
        </w:rPr>
        <w:t>controversia</w:t>
      </w:r>
      <w:r w:rsidRPr="008762D1">
        <w:rPr>
          <w:rFonts w:ascii="ITC Avant Garde" w:hAnsi="ITC Avant Garde" w:cs="Arial"/>
          <w:color w:val="000000" w:themeColor="text1"/>
          <w:sz w:val="18"/>
          <w:szCs w:val="18"/>
          <w:u w:val="single"/>
        </w:rPr>
        <w:t>desacuerdo</w:t>
      </w:r>
      <w:proofErr w:type="spellEnd"/>
      <w:r w:rsidRPr="008762D1">
        <w:rPr>
          <w:rFonts w:ascii="ITC Avant Garde" w:hAnsi="ITC Avant Garde" w:cs="Arial"/>
          <w:color w:val="000000" w:themeColor="text1"/>
          <w:sz w:val="18"/>
          <w:szCs w:val="18"/>
        </w:rPr>
        <w:t xml:space="preserve">, las Partes </w:t>
      </w:r>
      <w:proofErr w:type="spellStart"/>
      <w:r w:rsidR="00B27307" w:rsidRPr="008762D1">
        <w:rPr>
          <w:rFonts w:ascii="ITC Avant Garde" w:hAnsi="ITC Avant Garde" w:cs="Arial"/>
          <w:strike/>
          <w:color w:val="000000" w:themeColor="text1"/>
          <w:sz w:val="18"/>
          <w:szCs w:val="18"/>
        </w:rPr>
        <w:t>resolverán</w:t>
      </w:r>
      <w:r w:rsidRPr="008762D1">
        <w:rPr>
          <w:rFonts w:ascii="ITC Avant Garde" w:hAnsi="ITC Avant Garde" w:cs="Arial"/>
          <w:color w:val="000000" w:themeColor="text1"/>
          <w:sz w:val="18"/>
          <w:szCs w:val="18"/>
          <w:u w:val="single"/>
        </w:rPr>
        <w:t>podrán</w:t>
      </w:r>
      <w:proofErr w:type="spellEnd"/>
      <w:r w:rsidRPr="008762D1">
        <w:rPr>
          <w:rFonts w:ascii="ITC Avant Garde" w:hAnsi="ITC Avant Garde" w:cs="Arial"/>
          <w:color w:val="000000" w:themeColor="text1"/>
          <w:sz w:val="18"/>
          <w:szCs w:val="18"/>
        </w:rPr>
        <w:t xml:space="preserve"> </w:t>
      </w:r>
      <w:r w:rsidRPr="008762D1">
        <w:rPr>
          <w:rFonts w:ascii="ITC Avant Garde" w:hAnsi="ITC Avant Garde" w:cs="Arial"/>
          <w:color w:val="000000" w:themeColor="text1"/>
          <w:sz w:val="18"/>
          <w:szCs w:val="18"/>
          <w:u w:val="single"/>
        </w:rPr>
        <w:t>resolverlo</w:t>
      </w:r>
      <w:r w:rsidRPr="008762D1">
        <w:rPr>
          <w:rFonts w:ascii="ITC Avant Garde" w:hAnsi="ITC Avant Garde" w:cs="Arial"/>
          <w:color w:val="000000" w:themeColor="text1"/>
          <w:sz w:val="18"/>
          <w:szCs w:val="18"/>
        </w:rPr>
        <w:t xml:space="preserve"> </w:t>
      </w:r>
      <w:r w:rsidRPr="008762D1">
        <w:rPr>
          <w:rFonts w:ascii="ITC Avant Garde" w:hAnsi="ITC Avant Garde" w:cs="Arial"/>
          <w:color w:val="000000" w:themeColor="text1"/>
          <w:sz w:val="18"/>
          <w:szCs w:val="18"/>
          <w:u w:val="single"/>
        </w:rPr>
        <w:t xml:space="preserve">a través del Procedimiento de </w:t>
      </w:r>
      <w:r w:rsidR="00AA002D" w:rsidRPr="008762D1">
        <w:rPr>
          <w:rFonts w:ascii="ITC Avant Garde" w:hAnsi="ITC Avant Garde" w:cs="Arial"/>
          <w:color w:val="000000" w:themeColor="text1"/>
          <w:sz w:val="18"/>
          <w:szCs w:val="18"/>
          <w:u w:val="single"/>
        </w:rPr>
        <w:t xml:space="preserve">Arreglo Amistoso de Diferencias </w:t>
      </w:r>
      <w:r w:rsidRPr="008762D1">
        <w:rPr>
          <w:rFonts w:ascii="ITC Avant Garde" w:hAnsi="ITC Avant Garde" w:cs="Arial"/>
          <w:color w:val="000000" w:themeColor="text1"/>
          <w:sz w:val="18"/>
          <w:szCs w:val="18"/>
        </w:rPr>
        <w:t xml:space="preserve">previsto en el presente convenio, </w:t>
      </w:r>
      <w:r w:rsidRPr="008762D1">
        <w:rPr>
          <w:rFonts w:ascii="ITC Avant Garde" w:hAnsi="ITC Avant Garde" w:cs="Arial"/>
          <w:color w:val="000000" w:themeColor="text1"/>
          <w:sz w:val="18"/>
          <w:szCs w:val="18"/>
          <w:u w:val="single"/>
        </w:rPr>
        <w:t>o en su caso cualquiera de las Partes tendrá sus derechos a salvo para solicitar la intervención del Instituto, a fin de que éste determine las tarifas, términos y condiciones que deban ser aplicables de conformidad con la legislación vigente</w:t>
      </w:r>
      <w:r w:rsidRPr="008762D1">
        <w:rPr>
          <w:rFonts w:ascii="ITC Avant Garde" w:hAnsi="ITC Avant Garde" w:cs="Arial"/>
          <w:color w:val="000000" w:themeColor="text1"/>
          <w:sz w:val="18"/>
          <w:szCs w:val="18"/>
        </w:rPr>
        <w:t>.”</w:t>
      </w:r>
    </w:p>
    <w:p w14:paraId="661BD79B" w14:textId="77777777" w:rsidR="000F0B9F" w:rsidRPr="008762D1" w:rsidRDefault="0058207E"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493990D3" w14:textId="06FAFF2B" w:rsidR="00AD24B2" w:rsidRPr="008762D1" w:rsidRDefault="00AD24B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76F5BCDE" w14:textId="77777777" w:rsidR="000F0B9F" w:rsidRPr="008762D1" w:rsidRDefault="00181D3F"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presentó el </w:t>
      </w:r>
      <w:r w:rsidRPr="008762D1">
        <w:rPr>
          <w:rFonts w:ascii="ITC Avant Garde" w:hAnsi="ITC Avant Garde" w:cs="Arial"/>
          <w:color w:val="000000" w:themeColor="text1"/>
        </w:rPr>
        <w:t>numeral 4.1.3 de la Cláusula Cuarta en los términos señalados en el Acuerdo.</w:t>
      </w:r>
    </w:p>
    <w:p w14:paraId="056CEB3D" w14:textId="552B3DFC" w:rsidR="00AD24B2" w:rsidRPr="008762D1" w:rsidRDefault="00AD24B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6E32DF90" w14:textId="77777777" w:rsidR="000F0B9F" w:rsidRPr="008762D1" w:rsidRDefault="00C517B7"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s="Arial"/>
          <w:snapToGrid w:val="0"/>
          <w:color w:val="000000" w:themeColor="text1"/>
        </w:rPr>
        <w:t>Al respecto se observa que</w:t>
      </w:r>
      <w:r w:rsidRPr="008762D1">
        <w:rPr>
          <w:rFonts w:ascii="ITC Avant Garde" w:hAnsi="ITC Avant Garde"/>
          <w:color w:val="000000" w:themeColor="text1"/>
        </w:rPr>
        <w:t xml:space="preserve">, un CS puede requerir modificaciones en las interconexiones ya existentes como pueden ser reubicación, modernización, entre otros que implican que el concesionario que otorga la interconexión incurra en costos adicionales, por lo que resulta procedente que pueda ser remunerado por los mismos. </w:t>
      </w:r>
      <w:r w:rsidR="008A54A0" w:rsidRPr="008762D1">
        <w:rPr>
          <w:rFonts w:ascii="ITC Avant Garde" w:hAnsi="ITC Avant Garde"/>
          <w:color w:val="000000" w:themeColor="text1"/>
        </w:rPr>
        <w:t>Dicha remuneración</w:t>
      </w:r>
      <w:r w:rsidRPr="008762D1">
        <w:rPr>
          <w:rFonts w:ascii="ITC Avant Garde" w:hAnsi="ITC Avant Garde"/>
          <w:color w:val="000000" w:themeColor="text1"/>
        </w:rPr>
        <w:t>,</w:t>
      </w:r>
      <w:r w:rsidR="008A54A0" w:rsidRPr="008762D1">
        <w:rPr>
          <w:rFonts w:ascii="ITC Avant Garde" w:hAnsi="ITC Avant Garde"/>
          <w:color w:val="000000" w:themeColor="text1"/>
        </w:rPr>
        <w:t xml:space="preserve"> conforme lo establecido en el numeral señalado</w:t>
      </w:r>
      <w:r w:rsidRPr="008762D1">
        <w:rPr>
          <w:rFonts w:ascii="ITC Avant Garde" w:hAnsi="ITC Avant Garde"/>
          <w:color w:val="000000" w:themeColor="text1"/>
        </w:rPr>
        <w:t xml:space="preserve"> correspon</w:t>
      </w:r>
      <w:r w:rsidR="008A54A0" w:rsidRPr="008762D1">
        <w:rPr>
          <w:rFonts w:ascii="ITC Avant Garde" w:hAnsi="ITC Avant Garde"/>
          <w:color w:val="000000" w:themeColor="text1"/>
        </w:rPr>
        <w:t>derá</w:t>
      </w:r>
      <w:r w:rsidRPr="008762D1">
        <w:rPr>
          <w:rFonts w:ascii="ITC Avant Garde" w:hAnsi="ITC Avant Garde"/>
          <w:color w:val="000000" w:themeColor="text1"/>
        </w:rPr>
        <w:t xml:space="preserve"> únicamente a los costos adicionales que pudieran derivarse de dichas modificaciones. </w:t>
      </w:r>
    </w:p>
    <w:p w14:paraId="0C28ACB4" w14:textId="77777777" w:rsidR="000F0B9F" w:rsidRPr="008762D1" w:rsidRDefault="00C517B7"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Asimismo, </w:t>
      </w:r>
      <w:r w:rsidR="008A54A0" w:rsidRPr="008762D1">
        <w:rPr>
          <w:rFonts w:ascii="ITC Avant Garde" w:hAnsi="ITC Avant Garde"/>
          <w:color w:val="000000" w:themeColor="text1"/>
        </w:rPr>
        <w:t xml:space="preserve">el numeral señalado es acorde a lo establecido en el </w:t>
      </w:r>
      <w:r w:rsidRPr="008762D1">
        <w:rPr>
          <w:rFonts w:ascii="ITC Avant Garde" w:hAnsi="ITC Avant Garde"/>
          <w:color w:val="000000" w:themeColor="text1"/>
        </w:rPr>
        <w:t xml:space="preserve">artículo 129 de la </w:t>
      </w:r>
      <w:r w:rsidR="00FE148C" w:rsidRPr="008762D1">
        <w:rPr>
          <w:rFonts w:ascii="ITC Avant Garde" w:hAnsi="ITC Avant Garde"/>
          <w:color w:val="000000" w:themeColor="text1"/>
        </w:rPr>
        <w:t>LFTR</w:t>
      </w:r>
      <w:r w:rsidRPr="008762D1">
        <w:rPr>
          <w:rFonts w:ascii="ITC Avant Garde" w:hAnsi="ITC Avant Garde"/>
          <w:color w:val="000000" w:themeColor="text1"/>
        </w:rPr>
        <w:t>, y</w:t>
      </w:r>
      <w:r w:rsidR="008A54A0" w:rsidRPr="008762D1">
        <w:rPr>
          <w:rFonts w:ascii="ITC Avant Garde" w:hAnsi="ITC Avant Garde"/>
          <w:color w:val="000000" w:themeColor="text1"/>
        </w:rPr>
        <w:t>a que</w:t>
      </w:r>
      <w:r w:rsidRPr="008762D1">
        <w:rPr>
          <w:rFonts w:ascii="ITC Avant Garde" w:hAnsi="ITC Avant Garde"/>
          <w:color w:val="000000" w:themeColor="text1"/>
        </w:rPr>
        <w:t xml:space="preserve"> toda vez que los montos de las modificaciones no han sido acordados, estarían sujetos al procedimiento previsto en dicha ley, por lo que lo procedente es que, al amparo del mismo se resuelvan los desacuerdos respectivos. Por lo anterior, </w:t>
      </w:r>
      <w:r w:rsidR="009475E4" w:rsidRPr="008762D1">
        <w:rPr>
          <w:rFonts w:ascii="ITC Avant Garde" w:hAnsi="ITC Avant Garde"/>
          <w:color w:val="000000" w:themeColor="text1"/>
        </w:rPr>
        <w:t xml:space="preserve">y toda vez que Telmex no realizó manifestaciones sobre la modificación realizada por el Instituto, </w:t>
      </w:r>
      <w:r w:rsidRPr="008762D1">
        <w:rPr>
          <w:rFonts w:ascii="ITC Avant Garde" w:hAnsi="ITC Avant Garde"/>
          <w:color w:val="000000" w:themeColor="text1"/>
        </w:rPr>
        <w:t xml:space="preserve">se considera procedente la </w:t>
      </w:r>
      <w:r w:rsidR="00F46711" w:rsidRPr="008762D1">
        <w:rPr>
          <w:rFonts w:ascii="ITC Avant Garde" w:hAnsi="ITC Avant Garde"/>
          <w:color w:val="000000" w:themeColor="text1"/>
        </w:rPr>
        <w:t xml:space="preserve">aprobación </w:t>
      </w:r>
      <w:r w:rsidRPr="008762D1">
        <w:rPr>
          <w:rFonts w:ascii="ITC Avant Garde" w:hAnsi="ITC Avant Garde"/>
          <w:color w:val="000000" w:themeColor="text1"/>
        </w:rPr>
        <w:t>d</w:t>
      </w:r>
      <w:r w:rsidRPr="008762D1">
        <w:rPr>
          <w:rFonts w:ascii="ITC Avant Garde" w:hAnsi="ITC Avant Garde" w:cs="Arial"/>
          <w:snapToGrid w:val="0"/>
          <w:color w:val="000000" w:themeColor="text1"/>
        </w:rPr>
        <w:t>el numeral 4.1.3 en los términos señalados.</w:t>
      </w:r>
    </w:p>
    <w:p w14:paraId="44552F73" w14:textId="77777777" w:rsidR="000F0B9F" w:rsidRPr="008762D1" w:rsidRDefault="00DC4487" w:rsidP="000F0B9F">
      <w:pPr>
        <w:pStyle w:val="IFT1"/>
        <w:numPr>
          <w:ilvl w:val="2"/>
          <w:numId w:val="9"/>
        </w:numPr>
        <w:spacing w:before="240" w:after="0"/>
        <w:ind w:left="567" w:hanging="567"/>
        <w:rPr>
          <w:rFonts w:cs="Arial"/>
          <w:b/>
          <w:color w:val="000000" w:themeColor="text1"/>
        </w:rPr>
      </w:pPr>
      <w:r w:rsidRPr="008762D1">
        <w:rPr>
          <w:rFonts w:cs="Arial"/>
          <w:b/>
          <w:color w:val="000000" w:themeColor="text1"/>
        </w:rPr>
        <w:t>FACTURAS OBJETADAS</w:t>
      </w:r>
      <w:r w:rsidR="008479CE" w:rsidRPr="008762D1">
        <w:rPr>
          <w:rFonts w:cs="Arial"/>
          <w:b/>
          <w:color w:val="000000" w:themeColor="text1"/>
        </w:rPr>
        <w:t>.</w:t>
      </w:r>
    </w:p>
    <w:p w14:paraId="27625441" w14:textId="0F76317D" w:rsidR="002E7472"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05AB7F42" w14:textId="77777777" w:rsidR="000F0B9F" w:rsidRPr="008762D1" w:rsidRDefault="00B86619"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 xml:space="preserve">Del análisis del numeral 4.4.3 Facturas Objetadas de la Propuesta de CMI se observó que dicho numeral contiene el procedimiento para la presentación de objeciones </w:t>
      </w:r>
      <w:r w:rsidR="008A54A0" w:rsidRPr="008762D1">
        <w:rPr>
          <w:rFonts w:ascii="ITC Avant Garde" w:hAnsi="ITC Avant Garde" w:cs="Arial"/>
          <w:snapToGrid w:val="0"/>
          <w:color w:val="000000" w:themeColor="text1"/>
        </w:rPr>
        <w:t>de facturas, incluyendo</w:t>
      </w:r>
      <w:r w:rsidRPr="008762D1">
        <w:rPr>
          <w:rFonts w:ascii="ITC Avant Garde" w:hAnsi="ITC Avant Garde" w:cs="Arial"/>
          <w:snapToGrid w:val="0"/>
          <w:color w:val="000000" w:themeColor="text1"/>
        </w:rPr>
        <w:t xml:space="preserve"> los plazos para la presentación de la</w:t>
      </w:r>
      <w:r w:rsidR="008A54A0" w:rsidRPr="008762D1">
        <w:rPr>
          <w:rFonts w:ascii="ITC Avant Garde" w:hAnsi="ITC Avant Garde" w:cs="Arial"/>
          <w:snapToGrid w:val="0"/>
          <w:color w:val="000000" w:themeColor="text1"/>
        </w:rPr>
        <w:t>s</w:t>
      </w:r>
      <w:r w:rsidRPr="008762D1">
        <w:rPr>
          <w:rFonts w:ascii="ITC Avant Garde" w:hAnsi="ITC Avant Garde" w:cs="Arial"/>
          <w:snapToGrid w:val="0"/>
          <w:color w:val="000000" w:themeColor="text1"/>
        </w:rPr>
        <w:t xml:space="preserve"> </w:t>
      </w:r>
      <w:r w:rsidR="008A54A0" w:rsidRPr="008762D1">
        <w:rPr>
          <w:rFonts w:ascii="ITC Avant Garde" w:hAnsi="ITC Avant Garde" w:cs="Arial"/>
          <w:snapToGrid w:val="0"/>
          <w:color w:val="000000" w:themeColor="text1"/>
        </w:rPr>
        <w:t>mismas</w:t>
      </w:r>
      <w:r w:rsidRPr="008762D1">
        <w:rPr>
          <w:rFonts w:ascii="ITC Avant Garde" w:hAnsi="ITC Avant Garde" w:cs="Arial"/>
          <w:snapToGrid w:val="0"/>
          <w:color w:val="000000" w:themeColor="text1"/>
        </w:rPr>
        <w:t xml:space="preserve">, los documentos que deberán incluirse en la objeción, entre otros. </w:t>
      </w:r>
    </w:p>
    <w:p w14:paraId="1E96E0C5" w14:textId="77777777" w:rsidR="000F0B9F" w:rsidRPr="008762D1" w:rsidRDefault="00B86619"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lastRenderedPageBreak/>
        <w:t>No obsta</w:t>
      </w:r>
      <w:r w:rsidR="003108AA" w:rsidRPr="008762D1">
        <w:rPr>
          <w:rFonts w:ascii="ITC Avant Garde" w:hAnsi="ITC Avant Garde" w:cs="Arial"/>
          <w:snapToGrid w:val="0"/>
          <w:color w:val="000000" w:themeColor="text1"/>
        </w:rPr>
        <w:t xml:space="preserve">nte lo anterior, no </w:t>
      </w:r>
      <w:r w:rsidR="00DE7C69" w:rsidRPr="008762D1">
        <w:rPr>
          <w:rFonts w:ascii="ITC Avant Garde" w:hAnsi="ITC Avant Garde" w:cs="Arial"/>
          <w:snapToGrid w:val="0"/>
          <w:color w:val="000000" w:themeColor="text1"/>
        </w:rPr>
        <w:t xml:space="preserve">se encontraba considerado el </w:t>
      </w:r>
      <w:r w:rsidRPr="008762D1">
        <w:rPr>
          <w:rFonts w:ascii="ITC Avant Garde" w:hAnsi="ITC Avant Garde" w:cs="Arial"/>
          <w:snapToGrid w:val="0"/>
          <w:color w:val="000000" w:themeColor="text1"/>
        </w:rPr>
        <w:t xml:space="preserve">plazo con el que se contará para </w:t>
      </w:r>
      <w:r w:rsidR="000A083A" w:rsidRPr="008762D1">
        <w:rPr>
          <w:rFonts w:ascii="ITC Avant Garde" w:hAnsi="ITC Avant Garde" w:cs="Arial"/>
          <w:snapToGrid w:val="0"/>
          <w:color w:val="000000" w:themeColor="text1"/>
        </w:rPr>
        <w:t xml:space="preserve">analizar y determinar </w:t>
      </w:r>
      <w:r w:rsidRPr="008762D1">
        <w:rPr>
          <w:rFonts w:ascii="ITC Avant Garde" w:hAnsi="ITC Avant Garde" w:cs="Arial"/>
          <w:snapToGrid w:val="0"/>
          <w:color w:val="000000" w:themeColor="text1"/>
        </w:rPr>
        <w:t>la procedencia de la objeción de facturas, es así que a efecto de otorgar certeza a los concesiona</w:t>
      </w:r>
      <w:r w:rsidR="003108AA" w:rsidRPr="008762D1">
        <w:rPr>
          <w:rFonts w:ascii="ITC Avant Garde" w:hAnsi="ITC Avant Garde" w:cs="Arial"/>
          <w:snapToGrid w:val="0"/>
          <w:color w:val="000000" w:themeColor="text1"/>
        </w:rPr>
        <w:t xml:space="preserve">rios sobre dicho plazo se agregó la sub cláusula </w:t>
      </w:r>
      <w:r w:rsidRPr="008762D1">
        <w:rPr>
          <w:rFonts w:ascii="ITC Avant Garde" w:hAnsi="ITC Avant Garde" w:cs="Arial"/>
          <w:snapToGrid w:val="0"/>
          <w:color w:val="000000" w:themeColor="text1"/>
        </w:rPr>
        <w:t>4.4.3.1</w:t>
      </w:r>
      <w:r w:rsidR="003108AA" w:rsidRPr="008762D1">
        <w:rPr>
          <w:rFonts w:ascii="ITC Avant Garde" w:hAnsi="ITC Avant Garde" w:cs="Arial"/>
          <w:snapToGrid w:val="0"/>
          <w:color w:val="000000" w:themeColor="text1"/>
        </w:rPr>
        <w:t xml:space="preserve"> y se estableció que no se debe</w:t>
      </w:r>
      <w:r w:rsidR="008A54A0" w:rsidRPr="008762D1">
        <w:rPr>
          <w:rFonts w:ascii="ITC Avant Garde" w:hAnsi="ITC Avant Garde" w:cs="Arial"/>
          <w:snapToGrid w:val="0"/>
          <w:color w:val="000000" w:themeColor="text1"/>
        </w:rPr>
        <w:t>rá</w:t>
      </w:r>
      <w:r w:rsidR="003108AA" w:rsidRPr="008762D1">
        <w:rPr>
          <w:rFonts w:ascii="ITC Avant Garde" w:hAnsi="ITC Avant Garde" w:cs="Arial"/>
          <w:snapToGrid w:val="0"/>
          <w:color w:val="000000" w:themeColor="text1"/>
        </w:rPr>
        <w:t>n pagar intereses</w:t>
      </w:r>
      <w:r w:rsidR="00E01C7B" w:rsidRPr="008762D1">
        <w:rPr>
          <w:rFonts w:ascii="ITC Avant Garde" w:hAnsi="ITC Avant Garde" w:cs="Arial"/>
          <w:snapToGrid w:val="0"/>
          <w:color w:val="000000" w:themeColor="text1"/>
        </w:rPr>
        <w:t xml:space="preserve"> por un monto sujeto a revisión, en </w:t>
      </w:r>
      <w:r w:rsidR="008A54A0" w:rsidRPr="008762D1">
        <w:rPr>
          <w:rFonts w:ascii="ITC Avant Garde" w:hAnsi="ITC Avant Garde" w:cs="Arial"/>
          <w:snapToGrid w:val="0"/>
          <w:color w:val="000000" w:themeColor="text1"/>
        </w:rPr>
        <w:t xml:space="preserve">el </w:t>
      </w:r>
      <w:r w:rsidR="00DE7C69" w:rsidRPr="008762D1">
        <w:rPr>
          <w:rFonts w:ascii="ITC Avant Garde" w:hAnsi="ITC Avant Garde" w:cs="Arial"/>
          <w:snapToGrid w:val="0"/>
          <w:color w:val="000000" w:themeColor="text1"/>
        </w:rPr>
        <w:t>siguiente sentido</w:t>
      </w:r>
      <w:r w:rsidR="00E01C7B" w:rsidRPr="008762D1">
        <w:rPr>
          <w:rFonts w:ascii="ITC Avant Garde" w:hAnsi="ITC Avant Garde" w:cs="Arial"/>
          <w:snapToGrid w:val="0"/>
          <w:color w:val="000000" w:themeColor="text1"/>
        </w:rPr>
        <w:t>:</w:t>
      </w:r>
    </w:p>
    <w:p w14:paraId="5230FFDC" w14:textId="1F3DBD60" w:rsidR="00E01C7B" w:rsidRPr="008762D1" w:rsidRDefault="009628B1"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00E01C7B" w:rsidRPr="008762D1">
        <w:rPr>
          <w:rFonts w:ascii="ITC Avant Garde" w:hAnsi="ITC Avant Garde" w:cs="Arial"/>
          <w:color w:val="000000" w:themeColor="text1"/>
          <w:sz w:val="18"/>
          <w:szCs w:val="18"/>
        </w:rPr>
        <w:t>Las Facturas Objetadas se sujetarán a lo siguiente:</w:t>
      </w:r>
    </w:p>
    <w:p w14:paraId="4A48B7C6" w14:textId="77777777" w:rsidR="000F0B9F" w:rsidRPr="008762D1" w:rsidRDefault="00E01C7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4.4.3.1.-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2E1553E3" w14:textId="1D39B7B1" w:rsidR="00AD24B2" w:rsidRPr="008762D1" w:rsidRDefault="00AD24B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54DAF3BF" w14:textId="77777777" w:rsidR="000F0B9F" w:rsidRPr="008762D1" w:rsidRDefault="006F790C"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Telmex </w:t>
      </w:r>
      <w:r w:rsidR="009628B1" w:rsidRPr="008762D1">
        <w:rPr>
          <w:rFonts w:ascii="ITC Avant Garde" w:hAnsi="ITC Avant Garde"/>
          <w:color w:val="000000" w:themeColor="text1"/>
        </w:rPr>
        <w:t xml:space="preserve">señala en el Escrito de Respuesta que </w:t>
      </w:r>
      <w:r w:rsidRPr="008762D1">
        <w:rPr>
          <w:rFonts w:ascii="ITC Avant Garde" w:hAnsi="ITC Avant Garde"/>
          <w:color w:val="000000" w:themeColor="text1"/>
        </w:rPr>
        <w:t xml:space="preserve">no </w:t>
      </w:r>
      <w:r w:rsidR="00B5580E" w:rsidRPr="008762D1">
        <w:rPr>
          <w:rFonts w:ascii="ITC Avant Garde" w:hAnsi="ITC Avant Garde"/>
          <w:color w:val="000000" w:themeColor="text1"/>
        </w:rPr>
        <w:t>tiene</w:t>
      </w:r>
      <w:r w:rsidRPr="008762D1">
        <w:rPr>
          <w:rFonts w:ascii="ITC Avant Garde" w:hAnsi="ITC Avant Garde"/>
          <w:color w:val="000000" w:themeColor="text1"/>
        </w:rPr>
        <w:t xml:space="preserve"> inconveniente en la redacción propuesta por </w:t>
      </w:r>
      <w:r w:rsidR="009628B1" w:rsidRPr="008762D1">
        <w:rPr>
          <w:rFonts w:ascii="ITC Avant Garde" w:hAnsi="ITC Avant Garde"/>
          <w:color w:val="000000" w:themeColor="text1"/>
        </w:rPr>
        <w:t>el</w:t>
      </w:r>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lnst</w:t>
      </w:r>
      <w:r w:rsidR="005F209C" w:rsidRPr="008762D1">
        <w:rPr>
          <w:rFonts w:ascii="ITC Avant Garde" w:hAnsi="ITC Avant Garde"/>
          <w:color w:val="000000" w:themeColor="text1"/>
        </w:rPr>
        <w:t>ituto</w:t>
      </w:r>
      <w:proofErr w:type="spellEnd"/>
      <w:r w:rsidR="005F209C" w:rsidRPr="008762D1">
        <w:rPr>
          <w:rFonts w:ascii="ITC Avant Garde" w:hAnsi="ITC Avant Garde"/>
          <w:color w:val="000000" w:themeColor="text1"/>
        </w:rPr>
        <w:t>, sin embargo, considera</w:t>
      </w:r>
      <w:r w:rsidRPr="008762D1">
        <w:rPr>
          <w:rFonts w:ascii="ITC Avant Garde" w:hAnsi="ITC Avant Garde"/>
          <w:color w:val="000000" w:themeColor="text1"/>
        </w:rPr>
        <w:t xml:space="preserve"> </w:t>
      </w:r>
      <w:r w:rsidR="005F209C" w:rsidRPr="008762D1">
        <w:rPr>
          <w:rFonts w:ascii="ITC Avant Garde" w:hAnsi="ITC Avant Garde"/>
          <w:color w:val="000000" w:themeColor="text1"/>
        </w:rPr>
        <w:t>necesario establecer</w:t>
      </w:r>
      <w:r w:rsidRPr="008762D1">
        <w:rPr>
          <w:rFonts w:ascii="ITC Avant Garde" w:hAnsi="ITC Avant Garde"/>
          <w:color w:val="000000" w:themeColor="text1"/>
        </w:rPr>
        <w:t xml:space="preserve"> qué pasará una vez que transcurra el plazo de 60 días otorgado a las partes para la revisión de las facturas que hayan sido motivo de una objeción, siempre y cuando la misma cumpla con los requisitos establecidos para tal efecto.</w:t>
      </w:r>
    </w:p>
    <w:p w14:paraId="33ED9CEC" w14:textId="77777777" w:rsidR="000F0B9F" w:rsidRPr="008762D1" w:rsidRDefault="006F790C"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En virtud de lo anterior, Telmex propone la </w:t>
      </w:r>
      <w:r w:rsidR="003C2B14" w:rsidRPr="008762D1">
        <w:rPr>
          <w:rFonts w:ascii="ITC Avant Garde" w:hAnsi="ITC Avant Garde"/>
          <w:color w:val="000000" w:themeColor="text1"/>
        </w:rPr>
        <w:t>modificación del numeral 4.4.3.1</w:t>
      </w:r>
      <w:r w:rsidRPr="008762D1">
        <w:rPr>
          <w:rFonts w:ascii="ITC Avant Garde" w:hAnsi="ITC Avant Garde"/>
          <w:color w:val="000000" w:themeColor="text1"/>
        </w:rPr>
        <w:t xml:space="preserve"> en los términos siguientes:</w:t>
      </w:r>
    </w:p>
    <w:p w14:paraId="3A7245BB" w14:textId="3A2DA677" w:rsidR="000F0B9F" w:rsidRPr="008762D1" w:rsidRDefault="00383E49"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rPr>
        <w:t>“</w:t>
      </w:r>
      <w:r w:rsidR="006F790C" w:rsidRPr="008762D1">
        <w:rPr>
          <w:rFonts w:ascii="ITC Avant Garde" w:hAnsi="ITC Avant Garde"/>
          <w:color w:val="000000" w:themeColor="text1"/>
          <w:sz w:val="18"/>
          <w:szCs w:val="18"/>
        </w:rPr>
        <w:t>4.4.3.1.- Aquellas fact</w:t>
      </w:r>
      <w:r w:rsidR="005F209C" w:rsidRPr="008762D1">
        <w:rPr>
          <w:rFonts w:ascii="ITC Avant Garde" w:hAnsi="ITC Avant Garde"/>
          <w:color w:val="000000" w:themeColor="text1"/>
          <w:sz w:val="18"/>
          <w:szCs w:val="18"/>
        </w:rPr>
        <w:t>uras que alguna</w:t>
      </w:r>
      <w:r w:rsidR="006F790C" w:rsidRPr="008762D1">
        <w:rPr>
          <w:rFonts w:ascii="ITC Avant Garde" w:hAnsi="ITC Avant Garde"/>
          <w:color w:val="000000" w:themeColor="text1"/>
          <w:sz w:val="18"/>
          <w:szCs w:val="18"/>
        </w:rPr>
        <w:t xml:space="preserve"> de las Partes hubiese objetado, serán revisadas por ambas Partes para determinar el monto efectivo a pagar dentro de un plazo que no excederá de 60 (se</w:t>
      </w:r>
      <w:r w:rsidR="005F209C" w:rsidRPr="008762D1">
        <w:rPr>
          <w:rFonts w:ascii="ITC Avant Garde" w:hAnsi="ITC Avant Garde"/>
          <w:color w:val="000000" w:themeColor="text1"/>
          <w:sz w:val="18"/>
          <w:szCs w:val="18"/>
        </w:rPr>
        <w:t>senta) días naturales contados a</w:t>
      </w:r>
      <w:r w:rsidR="006F790C" w:rsidRPr="008762D1">
        <w:rPr>
          <w:rFonts w:ascii="ITC Avant Garde" w:hAnsi="ITC Avant Garde"/>
          <w:color w:val="000000" w:themeColor="text1"/>
          <w:sz w:val="18"/>
          <w:szCs w:val="18"/>
        </w:rPr>
        <w:t xml:space="preserve">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 </w:t>
      </w:r>
      <w:r w:rsidR="005F209C" w:rsidRPr="008762D1">
        <w:rPr>
          <w:rFonts w:ascii="ITC Avant Garde" w:hAnsi="ITC Avant Garde"/>
          <w:color w:val="000000" w:themeColor="text1"/>
          <w:sz w:val="18"/>
          <w:szCs w:val="18"/>
          <w:u w:val="single"/>
        </w:rPr>
        <w:t>Una</w:t>
      </w:r>
      <w:r w:rsidR="006F790C" w:rsidRPr="008762D1">
        <w:rPr>
          <w:rFonts w:ascii="ITC Avant Garde" w:hAnsi="ITC Avant Garde"/>
          <w:color w:val="000000" w:themeColor="text1"/>
          <w:sz w:val="18"/>
          <w:szCs w:val="18"/>
          <w:u w:val="single"/>
        </w:rPr>
        <w:t xml:space="preserve"> vez concluido el plazo de 60 días al que alude el presente numeral, sin que la objeción haya sido resuelta, la factura será exigible por Telmex en su totalidad, obligándose</w:t>
      </w:r>
      <w:r w:rsidR="005F209C" w:rsidRPr="008762D1">
        <w:rPr>
          <w:rFonts w:ascii="ITC Avant Garde" w:hAnsi="ITC Avant Garde"/>
          <w:color w:val="000000" w:themeColor="text1"/>
          <w:sz w:val="18"/>
          <w:szCs w:val="18"/>
          <w:u w:val="single"/>
        </w:rPr>
        <w:t xml:space="preserve"> </w:t>
      </w:r>
      <w:r w:rsidR="008762D1" w:rsidRPr="008762D1">
        <w:rPr>
          <w:rFonts w:cs="Arial"/>
          <w:b/>
          <w:color w:val="0000FF"/>
        </w:rPr>
        <w:t>(…)</w:t>
      </w:r>
      <w:r w:rsidR="008762D1">
        <w:rPr>
          <w:rFonts w:cs="Arial"/>
          <w:b/>
          <w:color w:val="0000FF"/>
        </w:rPr>
        <w:t xml:space="preserve"> </w:t>
      </w:r>
      <w:r w:rsidR="005F209C" w:rsidRPr="008762D1">
        <w:rPr>
          <w:rFonts w:ascii="ITC Avant Garde" w:hAnsi="ITC Avant Garde"/>
          <w:color w:val="000000" w:themeColor="text1"/>
          <w:sz w:val="18"/>
          <w:szCs w:val="18"/>
          <w:u w:val="single"/>
        </w:rPr>
        <w:t>al pago de la misma</w:t>
      </w:r>
      <w:r w:rsidR="006F790C" w:rsidRPr="008762D1">
        <w:rPr>
          <w:rFonts w:ascii="ITC Avant Garde" w:hAnsi="ITC Avant Garde"/>
          <w:color w:val="000000" w:themeColor="text1"/>
          <w:sz w:val="18"/>
          <w:szCs w:val="18"/>
          <w:u w:val="single"/>
        </w:rPr>
        <w:t xml:space="preserve"> dentro de los 5 días hábiles siguientes. Transcurrido d</w:t>
      </w:r>
      <w:r w:rsidR="005F209C" w:rsidRPr="008762D1">
        <w:rPr>
          <w:rFonts w:ascii="ITC Avant Garde" w:hAnsi="ITC Avant Garde"/>
          <w:color w:val="000000" w:themeColor="text1"/>
          <w:sz w:val="18"/>
          <w:szCs w:val="18"/>
          <w:u w:val="single"/>
        </w:rPr>
        <w:t xml:space="preserve">icho plazo sin que </w:t>
      </w:r>
      <w:r w:rsidR="008762D1" w:rsidRPr="008762D1">
        <w:rPr>
          <w:rFonts w:cs="Arial"/>
          <w:b/>
          <w:color w:val="0000FF"/>
        </w:rPr>
        <w:t>(…)</w:t>
      </w:r>
      <w:r w:rsidR="008762D1">
        <w:rPr>
          <w:rFonts w:cs="Arial"/>
          <w:b/>
          <w:color w:val="0000FF"/>
        </w:rPr>
        <w:t xml:space="preserve"> </w:t>
      </w:r>
      <w:r w:rsidR="005F209C" w:rsidRPr="008762D1">
        <w:rPr>
          <w:rFonts w:ascii="ITC Avant Garde" w:hAnsi="ITC Avant Garde"/>
          <w:color w:val="000000" w:themeColor="text1"/>
          <w:sz w:val="18"/>
          <w:szCs w:val="18"/>
          <w:u w:val="single"/>
        </w:rPr>
        <w:t>haya</w:t>
      </w:r>
      <w:r w:rsidR="006F790C" w:rsidRPr="008762D1">
        <w:rPr>
          <w:rFonts w:ascii="ITC Avant Garde" w:hAnsi="ITC Avant Garde"/>
          <w:color w:val="000000" w:themeColor="text1"/>
          <w:sz w:val="18"/>
          <w:szCs w:val="18"/>
          <w:u w:val="single"/>
        </w:rPr>
        <w:t xml:space="preserve"> efectuado el pago d</w:t>
      </w:r>
      <w:r w:rsidR="005F209C" w:rsidRPr="008762D1">
        <w:rPr>
          <w:rFonts w:ascii="ITC Avant Garde" w:hAnsi="ITC Avant Garde"/>
          <w:color w:val="000000" w:themeColor="text1"/>
          <w:sz w:val="18"/>
          <w:szCs w:val="18"/>
          <w:u w:val="single"/>
        </w:rPr>
        <w:t>e la factura correspondiente, la misma</w:t>
      </w:r>
      <w:r w:rsidR="006F790C" w:rsidRPr="008762D1">
        <w:rPr>
          <w:rFonts w:ascii="ITC Avant Garde" w:hAnsi="ITC Avant Garde"/>
          <w:color w:val="000000" w:themeColor="text1"/>
          <w:sz w:val="18"/>
          <w:szCs w:val="18"/>
          <w:u w:val="single"/>
        </w:rPr>
        <w:t xml:space="preserve"> se sujetará al procedimiento al que alude el </w:t>
      </w:r>
      <w:r w:rsidR="00B5580E" w:rsidRPr="008762D1">
        <w:rPr>
          <w:rFonts w:ascii="ITC Avant Garde" w:hAnsi="ITC Avant Garde"/>
          <w:color w:val="000000" w:themeColor="text1"/>
          <w:sz w:val="18"/>
          <w:szCs w:val="18"/>
          <w:u w:val="single"/>
        </w:rPr>
        <w:t>numeral</w:t>
      </w:r>
      <w:r w:rsidR="006F790C" w:rsidRPr="008762D1">
        <w:rPr>
          <w:rFonts w:ascii="ITC Avant Garde" w:hAnsi="ITC Avant Garde"/>
          <w:color w:val="000000" w:themeColor="text1"/>
          <w:sz w:val="18"/>
          <w:szCs w:val="18"/>
          <w:u w:val="single"/>
        </w:rPr>
        <w:t xml:space="preserve"> 4.4.4 del presente </w:t>
      </w:r>
      <w:r w:rsidRPr="008762D1">
        <w:rPr>
          <w:rFonts w:ascii="ITC Avant Garde" w:hAnsi="ITC Avant Garde"/>
          <w:color w:val="000000" w:themeColor="text1"/>
          <w:sz w:val="18"/>
          <w:szCs w:val="18"/>
          <w:u w:val="single"/>
        </w:rPr>
        <w:t>Convenio</w:t>
      </w:r>
      <w:r w:rsidR="006F790C" w:rsidRPr="008762D1">
        <w:rPr>
          <w:rFonts w:ascii="ITC Avant Garde" w:hAnsi="ITC Avant Garde"/>
          <w:color w:val="000000" w:themeColor="text1"/>
          <w:sz w:val="18"/>
          <w:szCs w:val="18"/>
          <w:u w:val="single"/>
        </w:rPr>
        <w:t>.</w:t>
      </w:r>
      <w:r w:rsidRPr="008762D1">
        <w:rPr>
          <w:rFonts w:ascii="ITC Avant Garde" w:hAnsi="ITC Avant Garde"/>
          <w:color w:val="000000" w:themeColor="text1"/>
          <w:sz w:val="18"/>
          <w:szCs w:val="18"/>
          <w:u w:val="single"/>
        </w:rPr>
        <w:t>”</w:t>
      </w:r>
    </w:p>
    <w:p w14:paraId="424B95B1" w14:textId="77777777" w:rsidR="000F0B9F" w:rsidRPr="008762D1" w:rsidRDefault="005F209C"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1C6DE5FD" w14:textId="4CE9D98B" w:rsidR="00AD24B2" w:rsidRPr="008762D1" w:rsidRDefault="00AD24B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57A2809C" w14:textId="77777777" w:rsidR="000F0B9F" w:rsidRPr="008762D1" w:rsidRDefault="00DB0915"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 xml:space="preserve">Al respecto se señala que la propuesta de Telmex respecto a que una vez que haya transcurrido el plazo para determinar la procedencia de una objeción de </w:t>
      </w:r>
      <w:r w:rsidRPr="008762D1">
        <w:rPr>
          <w:rFonts w:ascii="ITC Avant Garde" w:hAnsi="ITC Avant Garde" w:cs="Arial"/>
          <w:snapToGrid w:val="0"/>
          <w:color w:val="000000" w:themeColor="text1"/>
        </w:rPr>
        <w:lastRenderedPageBreak/>
        <w:t xml:space="preserve">factura, el CS deberá realizar el pago de la totalidad de la misma es improcedente, ya que el plazo de 60 (sesenta) días naturales para realizar el análisis correspondiente es obligatorio para ambas partes, por lo </w:t>
      </w:r>
      <w:r w:rsidR="00843B37" w:rsidRPr="008762D1">
        <w:rPr>
          <w:rFonts w:ascii="ITC Avant Garde" w:hAnsi="ITC Avant Garde" w:cs="Arial"/>
          <w:snapToGrid w:val="0"/>
          <w:color w:val="000000" w:themeColor="text1"/>
        </w:rPr>
        <w:t>que no ser</w:t>
      </w:r>
      <w:r w:rsidR="00843B37" w:rsidRPr="008762D1">
        <w:rPr>
          <w:rFonts w:ascii="ITC Avant Garde" w:hAnsi="ITC Avant Garde" w:cs="Arial" w:hint="eastAsia"/>
          <w:snapToGrid w:val="0"/>
          <w:color w:val="000000" w:themeColor="text1"/>
        </w:rPr>
        <w:t>í</w:t>
      </w:r>
      <w:r w:rsidR="00843B37" w:rsidRPr="008762D1">
        <w:rPr>
          <w:rFonts w:ascii="ITC Avant Garde" w:hAnsi="ITC Avant Garde" w:cs="Arial"/>
          <w:snapToGrid w:val="0"/>
          <w:color w:val="000000" w:themeColor="text1"/>
        </w:rPr>
        <w:t xml:space="preserve">a factible considerar el caso en el que no se cumpliera dicho plazo. </w:t>
      </w:r>
      <w:r w:rsidRPr="008762D1">
        <w:rPr>
          <w:rFonts w:ascii="ITC Avant Garde" w:hAnsi="ITC Avant Garde" w:cs="Arial"/>
          <w:snapToGrid w:val="0"/>
          <w:color w:val="000000" w:themeColor="text1"/>
        </w:rPr>
        <w:t xml:space="preserve"> </w:t>
      </w:r>
    </w:p>
    <w:p w14:paraId="211AE87F" w14:textId="0457E7F2" w:rsidR="00DB0915" w:rsidRPr="008762D1" w:rsidRDefault="003B7F01" w:rsidP="008762D1">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 xml:space="preserve">Asimismo, </w:t>
      </w:r>
      <w:r w:rsidR="00573699" w:rsidRPr="008762D1">
        <w:rPr>
          <w:rFonts w:ascii="ITC Avant Garde" w:hAnsi="ITC Avant Garde" w:cs="Arial"/>
          <w:snapToGrid w:val="0"/>
          <w:color w:val="000000" w:themeColor="text1"/>
        </w:rPr>
        <w:t xml:space="preserve">lo señalado por </w:t>
      </w:r>
      <w:r w:rsidRPr="008762D1">
        <w:rPr>
          <w:rFonts w:ascii="ITC Avant Garde" w:hAnsi="ITC Avant Garde" w:cs="Arial"/>
          <w:snapToGrid w:val="0"/>
          <w:color w:val="000000" w:themeColor="text1"/>
        </w:rPr>
        <w:t xml:space="preserve">Telmex </w:t>
      </w:r>
      <w:r w:rsidR="00573699" w:rsidRPr="008762D1">
        <w:rPr>
          <w:rFonts w:ascii="ITC Avant Garde" w:hAnsi="ITC Avant Garde" w:cs="Arial"/>
          <w:snapToGrid w:val="0"/>
          <w:color w:val="000000" w:themeColor="text1"/>
        </w:rPr>
        <w:t xml:space="preserve">resulta inconsistente </w:t>
      </w:r>
      <w:r w:rsidR="003752EC" w:rsidRPr="008762D1">
        <w:rPr>
          <w:rFonts w:ascii="ITC Avant Garde" w:hAnsi="ITC Avant Garde" w:cs="Arial"/>
          <w:snapToGrid w:val="0"/>
          <w:color w:val="000000" w:themeColor="text1"/>
        </w:rPr>
        <w:t xml:space="preserve">con lo establecido en la </w:t>
      </w:r>
      <w:r w:rsidR="003752EC" w:rsidRPr="008762D1">
        <w:rPr>
          <w:rFonts w:ascii="ITC Avant Garde" w:hAnsi="ITC Avant Garde" w:cs="Arial"/>
          <w:color w:val="000000" w:themeColor="text1"/>
        </w:rPr>
        <w:t>Metodología para la aclaración de consumos no reconocidos del Anexo D, toda vez que de acuerdo a la misma</w:t>
      </w:r>
      <w:r w:rsidR="009922A2" w:rsidRPr="008762D1">
        <w:rPr>
          <w:rFonts w:ascii="ITC Avant Garde" w:hAnsi="ITC Avant Garde" w:cs="Arial"/>
          <w:color w:val="000000" w:themeColor="text1"/>
        </w:rPr>
        <w:t>, es el CS quien realiza la objeción, para lo cual requisita los formatos correspondientes, y es Telmex quien debe validar los resultados, por lo que resulta incoherente que si es el propio Telmex quien debe resolver la objeción, ante una omisión de dicha empresa, sea el CS quien deba pagar la totalidad de la factura.</w:t>
      </w:r>
    </w:p>
    <w:p w14:paraId="1F803F51" w14:textId="77777777" w:rsidR="000F0B9F" w:rsidRPr="008762D1" w:rsidRDefault="003B7F01"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En el mismo sentido</w:t>
      </w:r>
      <w:r w:rsidR="00DB0915" w:rsidRPr="008762D1">
        <w:rPr>
          <w:rFonts w:ascii="ITC Avant Garde" w:hAnsi="ITC Avant Garde" w:cs="Arial"/>
          <w:snapToGrid w:val="0"/>
          <w:color w:val="000000" w:themeColor="text1"/>
        </w:rPr>
        <w:t>,</w:t>
      </w:r>
      <w:r w:rsidRPr="008762D1">
        <w:rPr>
          <w:rFonts w:ascii="ITC Avant Garde" w:hAnsi="ITC Avant Garde" w:cs="Arial"/>
          <w:snapToGrid w:val="0"/>
          <w:color w:val="000000" w:themeColor="text1"/>
        </w:rPr>
        <w:t xml:space="preserve"> en el caso de facturas objetadas por el CS</w:t>
      </w:r>
      <w:r w:rsidR="00DB0915" w:rsidRPr="008762D1">
        <w:rPr>
          <w:rFonts w:ascii="ITC Avant Garde" w:hAnsi="ITC Avant Garde" w:cs="Arial"/>
          <w:snapToGrid w:val="0"/>
          <w:color w:val="000000" w:themeColor="text1"/>
        </w:rPr>
        <w:t xml:space="preserve"> </w:t>
      </w:r>
      <w:r w:rsidR="00843B37" w:rsidRPr="008762D1">
        <w:rPr>
          <w:rFonts w:ascii="ITC Avant Garde" w:hAnsi="ITC Avant Garde" w:cs="Arial"/>
          <w:snapToGrid w:val="0"/>
          <w:color w:val="000000" w:themeColor="text1"/>
        </w:rPr>
        <w:t xml:space="preserve">el </w:t>
      </w:r>
      <w:r w:rsidRPr="008762D1">
        <w:rPr>
          <w:rFonts w:ascii="ITC Avant Garde" w:hAnsi="ITC Avant Garde" w:cs="Arial"/>
          <w:snapToGrid w:val="0"/>
          <w:color w:val="000000" w:themeColor="text1"/>
        </w:rPr>
        <w:t xml:space="preserve">establecer </w:t>
      </w:r>
      <w:r w:rsidR="005F00D3" w:rsidRPr="008762D1">
        <w:rPr>
          <w:rFonts w:ascii="ITC Avant Garde" w:hAnsi="ITC Avant Garde" w:cs="Arial"/>
          <w:snapToGrid w:val="0"/>
          <w:color w:val="000000" w:themeColor="text1"/>
        </w:rPr>
        <w:t xml:space="preserve">que una vez concluido el plazo para el análisis de la factura se deberá realizar el pago total de la misma a favor de Telmex, </w:t>
      </w:r>
      <w:r w:rsidR="003E1B72" w:rsidRPr="008762D1">
        <w:rPr>
          <w:rFonts w:ascii="ITC Avant Garde" w:hAnsi="ITC Avant Garde" w:cs="Arial"/>
          <w:snapToGrid w:val="0"/>
          <w:color w:val="000000" w:themeColor="text1"/>
        </w:rPr>
        <w:t xml:space="preserve">representa </w:t>
      </w:r>
      <w:r w:rsidR="00DB0915" w:rsidRPr="008762D1">
        <w:rPr>
          <w:rFonts w:ascii="ITC Avant Garde" w:hAnsi="ITC Avant Garde" w:cs="Arial"/>
          <w:snapToGrid w:val="0"/>
          <w:color w:val="000000" w:themeColor="text1"/>
        </w:rPr>
        <w:t>un</w:t>
      </w:r>
      <w:r w:rsidR="005F00D3" w:rsidRPr="008762D1">
        <w:rPr>
          <w:rFonts w:ascii="ITC Avant Garde" w:hAnsi="ITC Avant Garde" w:cs="Arial"/>
          <w:snapToGrid w:val="0"/>
          <w:color w:val="000000" w:themeColor="text1"/>
        </w:rPr>
        <w:t>a condición ventajosa para dicho concesionario y un</w:t>
      </w:r>
      <w:r w:rsidR="00DB0915" w:rsidRPr="008762D1">
        <w:rPr>
          <w:rFonts w:ascii="ITC Avant Garde" w:hAnsi="ITC Avant Garde" w:cs="Arial"/>
          <w:snapToGrid w:val="0"/>
          <w:color w:val="000000" w:themeColor="text1"/>
        </w:rPr>
        <w:t xml:space="preserve"> incentivo para </w:t>
      </w:r>
      <w:r w:rsidR="005F00D3" w:rsidRPr="008762D1">
        <w:rPr>
          <w:rFonts w:ascii="ITC Avant Garde" w:hAnsi="ITC Avant Garde" w:cs="Arial"/>
          <w:snapToGrid w:val="0"/>
          <w:color w:val="000000" w:themeColor="text1"/>
        </w:rPr>
        <w:t>que evite</w:t>
      </w:r>
      <w:r w:rsidR="00DB0915" w:rsidRPr="008762D1">
        <w:rPr>
          <w:rFonts w:ascii="ITC Avant Garde" w:hAnsi="ITC Avant Garde" w:cs="Arial"/>
          <w:snapToGrid w:val="0"/>
          <w:color w:val="000000" w:themeColor="text1"/>
        </w:rPr>
        <w:t xml:space="preserve"> realizar el análisis </w:t>
      </w:r>
      <w:r w:rsidR="003E1B72" w:rsidRPr="008762D1">
        <w:rPr>
          <w:rFonts w:ascii="ITC Avant Garde" w:hAnsi="ITC Avant Garde" w:cs="Arial"/>
          <w:snapToGrid w:val="0"/>
          <w:color w:val="000000" w:themeColor="text1"/>
        </w:rPr>
        <w:t xml:space="preserve">de la factura objetada dentro del plazo establecido. Por lo </w:t>
      </w:r>
      <w:r w:rsidR="005F00D3" w:rsidRPr="008762D1">
        <w:rPr>
          <w:rFonts w:ascii="ITC Avant Garde" w:hAnsi="ITC Avant Garde" w:cs="Arial"/>
          <w:snapToGrid w:val="0"/>
          <w:color w:val="000000" w:themeColor="text1"/>
        </w:rPr>
        <w:t>anterior, el Instituto no considera procedente la modificación propuesta por Telmex y se mantiene el numeral 4.4.3.1 en los términos señalados en el Acuerdo:</w:t>
      </w:r>
    </w:p>
    <w:p w14:paraId="248B5D99" w14:textId="102CBDF6" w:rsidR="005F00D3" w:rsidRPr="008762D1" w:rsidRDefault="005F00D3"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“Las Facturas Objetadas se sujetarán a lo siguiente:</w:t>
      </w:r>
    </w:p>
    <w:p w14:paraId="0E72A17D" w14:textId="77777777" w:rsidR="000F0B9F" w:rsidRPr="008762D1" w:rsidRDefault="005F00D3"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4.4.3.1.-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A26D9FB" w14:textId="77777777" w:rsidR="000F0B9F" w:rsidRPr="008762D1" w:rsidRDefault="00252885" w:rsidP="000F0B9F">
      <w:pPr>
        <w:pStyle w:val="IFT1"/>
        <w:numPr>
          <w:ilvl w:val="2"/>
          <w:numId w:val="9"/>
        </w:numPr>
        <w:spacing w:before="240" w:after="0"/>
        <w:ind w:left="567" w:hanging="567"/>
        <w:rPr>
          <w:rFonts w:cs="Arial"/>
          <w:b/>
          <w:color w:val="000000" w:themeColor="text1"/>
        </w:rPr>
      </w:pPr>
      <w:r w:rsidRPr="008762D1">
        <w:rPr>
          <w:rFonts w:cs="Arial"/>
          <w:color w:val="000000" w:themeColor="text1"/>
        </w:rPr>
        <w:t xml:space="preserve"> </w:t>
      </w:r>
      <w:r w:rsidR="00D06899" w:rsidRPr="008762D1">
        <w:rPr>
          <w:rFonts w:cs="Arial"/>
          <w:b/>
          <w:color w:val="000000" w:themeColor="text1"/>
        </w:rPr>
        <w:t>PAGOS RECIBIDOS EN EXCESO</w:t>
      </w:r>
      <w:r w:rsidR="006C0D4A" w:rsidRPr="008762D1">
        <w:rPr>
          <w:rFonts w:cs="Arial"/>
          <w:b/>
          <w:color w:val="000000" w:themeColor="text1"/>
        </w:rPr>
        <w:t>.</w:t>
      </w:r>
    </w:p>
    <w:p w14:paraId="76EA4CE6" w14:textId="5EA9FB9F" w:rsidR="00F416A9"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4EFB8E8B" w14:textId="77777777" w:rsidR="000F0B9F" w:rsidRPr="008762D1" w:rsidRDefault="00D06899"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En el numeral 4.4.3.1 de la Cláusula Cuarta de la Propuesta de CMI se establece</w:t>
      </w:r>
      <w:r w:rsidR="00776F81" w:rsidRPr="008762D1">
        <w:rPr>
          <w:rFonts w:ascii="ITC Avant Garde" w:hAnsi="ITC Avant Garde"/>
          <w:color w:val="000000" w:themeColor="text1"/>
        </w:rPr>
        <w:t xml:space="preserve">n los plazos para la devolución o reembolso de </w:t>
      </w:r>
      <w:r w:rsidRPr="008762D1">
        <w:rPr>
          <w:rFonts w:ascii="ITC Avant Garde" w:hAnsi="ITC Avant Garde"/>
          <w:color w:val="000000" w:themeColor="text1"/>
        </w:rPr>
        <w:t>pagos recibidos en exceso una vez declarada la procedencia de la objeción de facturas. En dicho numeral se establece que si la devolución se realiza con posterioridad a 60 (sesenta</w:t>
      </w:r>
      <w:r w:rsidR="00931C5B" w:rsidRPr="008762D1">
        <w:rPr>
          <w:rFonts w:ascii="ITC Avant Garde" w:hAnsi="ITC Avant Garde"/>
          <w:color w:val="000000" w:themeColor="text1"/>
        </w:rPr>
        <w:t>) días naturales la devolución s</w:t>
      </w:r>
      <w:r w:rsidRPr="008762D1">
        <w:rPr>
          <w:rFonts w:ascii="ITC Avant Garde" w:hAnsi="ITC Avant Garde"/>
          <w:color w:val="000000" w:themeColor="text1"/>
        </w:rPr>
        <w:t>e realizará junto con el interés que será igual a la Tasa de Interés Interbancaria de Equilibrio.</w:t>
      </w:r>
    </w:p>
    <w:p w14:paraId="2518AC41" w14:textId="3B0F2497" w:rsidR="000F0B9F" w:rsidRPr="008762D1" w:rsidRDefault="000D3DF9"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Del análisis de la Propuesta de CMI se observó que </w:t>
      </w:r>
      <w:r w:rsidR="00776F81" w:rsidRPr="008762D1">
        <w:rPr>
          <w:rFonts w:ascii="ITC Avant Garde" w:hAnsi="ITC Avant Garde"/>
          <w:color w:val="000000" w:themeColor="text1"/>
        </w:rPr>
        <w:t>no se</w:t>
      </w:r>
      <w:r w:rsidRPr="008762D1">
        <w:rPr>
          <w:rFonts w:ascii="ITC Avant Garde" w:hAnsi="ITC Avant Garde"/>
          <w:color w:val="000000" w:themeColor="text1"/>
        </w:rPr>
        <w:t xml:space="preserve"> establecía el plazo para que la parte prestadora del servicio devolviera</w:t>
      </w:r>
      <w:r w:rsidR="00CF1EB6" w:rsidRPr="008762D1">
        <w:rPr>
          <w:rFonts w:ascii="ITC Avant Garde" w:hAnsi="ITC Avant Garde"/>
          <w:color w:val="000000" w:themeColor="text1"/>
        </w:rPr>
        <w:t xml:space="preserve"> o reembolsara</w:t>
      </w:r>
      <w:r w:rsidR="00776F81" w:rsidRPr="008762D1">
        <w:rPr>
          <w:rFonts w:ascii="ITC Avant Garde" w:hAnsi="ITC Avant Garde"/>
          <w:color w:val="000000" w:themeColor="text1"/>
        </w:rPr>
        <w:t xml:space="preserve"> los pagos recibidos </w:t>
      </w:r>
      <w:r w:rsidR="00776F81" w:rsidRPr="008762D1">
        <w:rPr>
          <w:rFonts w:ascii="ITC Avant Garde" w:hAnsi="ITC Avant Garde"/>
          <w:color w:val="000000" w:themeColor="text1"/>
        </w:rPr>
        <w:lastRenderedPageBreak/>
        <w:t>en exceso</w:t>
      </w:r>
      <w:r w:rsidRPr="008762D1">
        <w:rPr>
          <w:rFonts w:ascii="ITC Avant Garde" w:hAnsi="ITC Avant Garde"/>
          <w:color w:val="000000" w:themeColor="text1"/>
        </w:rPr>
        <w:t>, de lo cual</w:t>
      </w:r>
      <w:r w:rsidR="00931C5B" w:rsidRPr="008762D1">
        <w:rPr>
          <w:rFonts w:ascii="ITC Avant Garde" w:hAnsi="ITC Avant Garde"/>
          <w:color w:val="000000" w:themeColor="text1"/>
        </w:rPr>
        <w:t xml:space="preserve"> el Instituto </w:t>
      </w:r>
      <w:r w:rsidR="00776F81" w:rsidRPr="008762D1">
        <w:rPr>
          <w:rFonts w:ascii="ITC Avant Garde" w:hAnsi="ITC Avant Garde"/>
          <w:color w:val="000000" w:themeColor="text1"/>
        </w:rPr>
        <w:t>modificó</w:t>
      </w:r>
      <w:r w:rsidR="003B67B7" w:rsidRPr="008762D1">
        <w:rPr>
          <w:rFonts w:ascii="ITC Avant Garde" w:hAnsi="ITC Avant Garde"/>
          <w:color w:val="000000" w:themeColor="text1"/>
        </w:rPr>
        <w:t xml:space="preserve"> </w:t>
      </w:r>
      <w:r w:rsidR="00776F81" w:rsidRPr="008762D1">
        <w:rPr>
          <w:rFonts w:ascii="ITC Avant Garde" w:hAnsi="ITC Avant Garde"/>
          <w:color w:val="000000" w:themeColor="text1"/>
        </w:rPr>
        <w:t xml:space="preserve">el numeral 4.4.3.1 </w:t>
      </w:r>
      <w:r w:rsidR="00931C5B" w:rsidRPr="008762D1">
        <w:rPr>
          <w:rFonts w:ascii="ITC Avant Garde" w:hAnsi="ITC Avant Garde"/>
          <w:color w:val="000000" w:themeColor="text1"/>
        </w:rPr>
        <w:t>a efecto de precisar</w:t>
      </w:r>
      <w:r w:rsidR="00CA636D" w:rsidRPr="008762D1">
        <w:rPr>
          <w:rFonts w:ascii="ITC Avant Garde" w:hAnsi="ITC Avant Garde"/>
          <w:color w:val="000000" w:themeColor="text1"/>
        </w:rPr>
        <w:t xml:space="preserve"> </w:t>
      </w:r>
      <w:r w:rsidR="00776F81" w:rsidRPr="008762D1">
        <w:rPr>
          <w:rFonts w:ascii="ITC Avant Garde" w:hAnsi="ITC Avant Garde"/>
          <w:color w:val="000000" w:themeColor="text1"/>
        </w:rPr>
        <w:t>el plazo</w:t>
      </w:r>
      <w:r w:rsidR="00CA636D" w:rsidRPr="008762D1">
        <w:rPr>
          <w:rFonts w:ascii="ITC Avant Garde" w:hAnsi="ITC Avant Garde"/>
          <w:color w:val="000000" w:themeColor="text1"/>
        </w:rPr>
        <w:t xml:space="preserve"> para la devolución de </w:t>
      </w:r>
      <w:r w:rsidRPr="008762D1">
        <w:rPr>
          <w:rFonts w:ascii="ITC Avant Garde" w:hAnsi="ITC Avant Garde"/>
          <w:color w:val="000000" w:themeColor="text1"/>
        </w:rPr>
        <w:t xml:space="preserve">los pagos recibidos en exceso y </w:t>
      </w:r>
      <w:r w:rsidR="00931C5B" w:rsidRPr="008762D1">
        <w:rPr>
          <w:rFonts w:ascii="ITC Avant Garde" w:hAnsi="ITC Avant Garde"/>
          <w:color w:val="000000" w:themeColor="text1"/>
        </w:rPr>
        <w:t xml:space="preserve">eliminó el pago de intereses </w:t>
      </w:r>
      <w:r w:rsidRPr="008762D1">
        <w:rPr>
          <w:rFonts w:ascii="ITC Avant Garde" w:hAnsi="ITC Avant Garde"/>
          <w:color w:val="000000" w:themeColor="text1"/>
        </w:rPr>
        <w:t xml:space="preserve">generados </w:t>
      </w:r>
      <w:r w:rsidR="00931C5B" w:rsidRPr="008762D1">
        <w:rPr>
          <w:rFonts w:ascii="ITC Avant Garde" w:hAnsi="ITC Avant Garde"/>
          <w:color w:val="000000" w:themeColor="text1"/>
        </w:rPr>
        <w:t xml:space="preserve">por </w:t>
      </w:r>
      <w:r w:rsidR="00776F81" w:rsidRPr="008762D1">
        <w:rPr>
          <w:rFonts w:ascii="ITC Avant Garde" w:hAnsi="ITC Avant Garde"/>
          <w:color w:val="000000" w:themeColor="text1"/>
        </w:rPr>
        <w:t>la devolución de los mismos después del plazo de 60 (sesenta) días naturales, lo anterior</w:t>
      </w:r>
      <w:r w:rsidR="00CF1EB6" w:rsidRPr="008762D1">
        <w:rPr>
          <w:rFonts w:ascii="ITC Avant Garde" w:hAnsi="ITC Avant Garde"/>
          <w:color w:val="000000" w:themeColor="text1"/>
        </w:rPr>
        <w:t xml:space="preserve"> </w:t>
      </w:r>
      <w:r w:rsidRPr="008762D1">
        <w:rPr>
          <w:rFonts w:ascii="ITC Avant Garde" w:hAnsi="ITC Avant Garde"/>
          <w:color w:val="000000" w:themeColor="text1"/>
        </w:rPr>
        <w:t xml:space="preserve">dada la naturaleza recíproca de </w:t>
      </w:r>
      <w:r w:rsidR="00CF1EB6" w:rsidRPr="008762D1">
        <w:rPr>
          <w:rFonts w:ascii="ITC Avant Garde" w:hAnsi="ITC Avant Garde"/>
          <w:color w:val="000000" w:themeColor="text1"/>
        </w:rPr>
        <w:t>los servicios de interconexión</w:t>
      </w:r>
      <w:r w:rsidR="0070084C" w:rsidRPr="008762D1">
        <w:rPr>
          <w:rFonts w:ascii="ITC Avant Garde" w:hAnsi="ITC Avant Garde"/>
          <w:color w:val="000000" w:themeColor="text1"/>
        </w:rPr>
        <w:t>, en el siguiente sentido:</w:t>
      </w:r>
    </w:p>
    <w:p w14:paraId="73A5CE06" w14:textId="77777777" w:rsidR="000F0B9F" w:rsidRPr="008762D1" w:rsidRDefault="00C05A9B"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003B67B7" w:rsidRPr="008762D1">
        <w:rPr>
          <w:rFonts w:ascii="ITC Avant Garde" w:hAnsi="ITC Avant Garde" w:cs="Arial"/>
          <w:b/>
          <w:color w:val="000000" w:themeColor="text1"/>
          <w:sz w:val="18"/>
          <w:szCs w:val="18"/>
        </w:rPr>
        <w:t>4.4.3.</w:t>
      </w:r>
      <w:r w:rsidR="003B67B7" w:rsidRPr="008762D1">
        <w:rPr>
          <w:rFonts w:ascii="ITC Avant Garde" w:hAnsi="ITC Avant Garde" w:cs="Arial"/>
          <w:b/>
          <w:strike/>
          <w:color w:val="000000" w:themeColor="text1"/>
          <w:sz w:val="18"/>
          <w:szCs w:val="18"/>
        </w:rPr>
        <w:t>1</w:t>
      </w:r>
      <w:r w:rsidR="00514DBC" w:rsidRPr="008762D1">
        <w:rPr>
          <w:rFonts w:ascii="ITC Avant Garde" w:hAnsi="ITC Avant Garde" w:cs="Arial"/>
          <w:b/>
          <w:color w:val="000000" w:themeColor="text1"/>
          <w:sz w:val="18"/>
          <w:szCs w:val="18"/>
        </w:rPr>
        <w:t>2</w:t>
      </w:r>
      <w:r w:rsidR="003B67B7" w:rsidRPr="008762D1">
        <w:rPr>
          <w:rFonts w:ascii="ITC Avant Garde" w:hAnsi="ITC Avant Garde" w:cs="Arial"/>
          <w:b/>
          <w:color w:val="000000" w:themeColor="text1"/>
          <w:sz w:val="18"/>
          <w:szCs w:val="18"/>
        </w:rPr>
        <w:t>.- Pagos Recibidos en Exceso.</w:t>
      </w:r>
      <w:r w:rsidR="003B67B7" w:rsidRPr="008762D1">
        <w:rPr>
          <w:rFonts w:ascii="ITC Avant Garde" w:hAnsi="ITC Avant Garde" w:cs="Arial"/>
          <w:color w:val="000000" w:themeColor="text1"/>
          <w:sz w:val="18"/>
          <w:szCs w:val="18"/>
        </w:rPr>
        <w:t xml:space="preserve"> Para el caso de (i) devoluciones o reembolsos de pagos recibidos en exceso por la Parte prestadora del servicio; y (ii) devolución de pagos bajo protesta; </w:t>
      </w:r>
      <w:r w:rsidR="00514DBC" w:rsidRPr="008762D1">
        <w:rPr>
          <w:rFonts w:ascii="ITC Avant Garde" w:hAnsi="ITC Avant Garde" w:cs="Arial"/>
          <w:color w:val="000000" w:themeColor="text1"/>
          <w:sz w:val="18"/>
          <w:szCs w:val="18"/>
          <w:u w:val="single"/>
        </w:rPr>
        <w:t xml:space="preserve">estos deberán realizarse en un plazo de 60 (sesenta) días </w:t>
      </w:r>
      <w:r w:rsidR="003B67B7" w:rsidRPr="008762D1">
        <w:rPr>
          <w:rFonts w:ascii="ITC Avant Garde" w:hAnsi="ITC Avant Garde" w:cs="Arial"/>
          <w:color w:val="000000" w:themeColor="text1"/>
          <w:sz w:val="18"/>
          <w:szCs w:val="18"/>
        </w:rPr>
        <w:t xml:space="preserve">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w:t>
      </w:r>
      <w:r w:rsidR="003B67B7" w:rsidRPr="008762D1">
        <w:rPr>
          <w:rFonts w:ascii="ITC Avant Garde" w:hAnsi="ITC Avant Garde" w:cs="Arial"/>
          <w:strike/>
          <w:color w:val="000000" w:themeColor="text1"/>
          <w:sz w:val="18"/>
          <w:szCs w:val="18"/>
        </w:rPr>
        <w:t xml:space="preserve">Para el caso en que la Parte receptora del servicio hubiese realizado un pago bajo protesta y la Parte prestadora del servicio opte por devolverlo a la Parte receptora dentro del plazo de 60 (sesenta) días naturales desde la fecha de reclamación. En el supuesto de que la devolución se realizara con posterioridad a un plazo de 60 (sesenta) días naturales, la devolución se hará junto con el interés que será igual a la Tasa de Interés </w:t>
      </w:r>
      <w:proofErr w:type="spellStart"/>
      <w:r w:rsidR="003B67B7" w:rsidRPr="008762D1">
        <w:rPr>
          <w:rFonts w:ascii="ITC Avant Garde" w:hAnsi="ITC Avant Garde" w:cs="Arial"/>
          <w:strike/>
          <w:color w:val="000000" w:themeColor="text1"/>
          <w:sz w:val="18"/>
          <w:szCs w:val="18"/>
        </w:rPr>
        <w:t>lnterbancaria</w:t>
      </w:r>
      <w:proofErr w:type="spellEnd"/>
      <w:r w:rsidR="003B67B7" w:rsidRPr="008762D1">
        <w:rPr>
          <w:rFonts w:ascii="ITC Avant Garde" w:hAnsi="ITC Avant Garde" w:cs="Arial"/>
          <w:strike/>
          <w:color w:val="000000" w:themeColor="text1"/>
          <w:sz w:val="18"/>
          <w:szCs w:val="18"/>
        </w:rPr>
        <w:t xml:space="preserve"> de Equilibrio. </w:t>
      </w:r>
      <w:r w:rsidR="003B67B7" w:rsidRPr="008762D1">
        <w:rPr>
          <w:rFonts w:ascii="ITC Avant Garde" w:hAnsi="ITC Avant Garde" w:cs="Arial"/>
          <w:color w:val="000000" w:themeColor="text1"/>
          <w:sz w:val="18"/>
          <w:szCs w:val="18"/>
        </w:rPr>
        <w:t>Aún en el supuesto de que la Parte prestadora hubiese devuelto los pagos bajo protesta, continuará el procedimiento de aclaración.</w:t>
      </w:r>
      <w:r w:rsidRPr="008762D1">
        <w:rPr>
          <w:rFonts w:ascii="ITC Avant Garde" w:hAnsi="ITC Avant Garde" w:cs="Arial"/>
          <w:color w:val="000000" w:themeColor="text1"/>
          <w:sz w:val="18"/>
          <w:szCs w:val="18"/>
        </w:rPr>
        <w:t>”</w:t>
      </w:r>
    </w:p>
    <w:p w14:paraId="0BEF2BB8" w14:textId="3E94F5C8" w:rsidR="00DD692A" w:rsidRPr="008762D1" w:rsidRDefault="00C05A9B"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716CE877" w14:textId="77777777" w:rsidR="00DD692A" w:rsidRPr="008762D1" w:rsidRDefault="00DD692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64D92CA5" w14:textId="77777777" w:rsidR="000F0B9F" w:rsidRPr="008762D1" w:rsidRDefault="003F6F41"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presentó el </w:t>
      </w:r>
      <w:r w:rsidR="0070084C" w:rsidRPr="008762D1">
        <w:rPr>
          <w:rFonts w:ascii="ITC Avant Garde" w:hAnsi="ITC Avant Garde" w:cs="Arial"/>
          <w:color w:val="000000" w:themeColor="text1"/>
        </w:rPr>
        <w:t>numeral 4.4.3.2</w:t>
      </w:r>
      <w:r w:rsidRPr="008762D1">
        <w:rPr>
          <w:rFonts w:ascii="ITC Avant Garde" w:hAnsi="ITC Avant Garde" w:cs="Arial"/>
          <w:color w:val="000000" w:themeColor="text1"/>
        </w:rPr>
        <w:t xml:space="preserve"> Pagos Recibidos en Exceso de la Cláusula Cuarta en los términos señalados en el Acuerdo.</w:t>
      </w:r>
    </w:p>
    <w:p w14:paraId="0590EECC" w14:textId="3ADDAA40" w:rsidR="00CB2BBC" w:rsidRPr="008762D1" w:rsidRDefault="00CB2BB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64971255" w14:textId="77777777" w:rsidR="000F0B9F" w:rsidRPr="008762D1" w:rsidRDefault="00776F81"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El numeral 4.4.3.2 de la Cláusula Cuarta proporciona certeza a las partes sobre el plazo con el que cuenta la parte prestadora del servicio para realizar la devolución o reembolso de pagos recibidos en exceso, una vez determinada la procedencia del mismo en un procedimiento de objeción de facturas.</w:t>
      </w:r>
    </w:p>
    <w:p w14:paraId="358FCB9D" w14:textId="77777777" w:rsidR="000F0B9F" w:rsidRPr="008762D1" w:rsidRDefault="00E11FFA"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Asimismo, no considera el pago de intereses por los pagos recibidos en exceso, lo cual es acorde a lo establecido en el numeral 4.4.3 respecto a que en caso de determinarse improcedente una objeción de facturas se deberá realizar el pago del monto objetado sin incluir intereses.</w:t>
      </w:r>
    </w:p>
    <w:p w14:paraId="07D2786A" w14:textId="77777777" w:rsidR="000F0B9F" w:rsidRPr="008762D1" w:rsidRDefault="00E11FFA"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Es así que, independientemente del resultado de una objeción de facturas los montos que se deberán pagar no generaran intereses para ninguna de las partes.</w:t>
      </w:r>
    </w:p>
    <w:p w14:paraId="42EF5E2F" w14:textId="77777777" w:rsidR="000F0B9F" w:rsidRPr="008762D1" w:rsidRDefault="00E11FFA"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Por lo anterior, </w:t>
      </w:r>
      <w:r w:rsidR="00874194" w:rsidRPr="008762D1">
        <w:rPr>
          <w:rFonts w:ascii="ITC Avant Garde" w:hAnsi="ITC Avant Garde"/>
          <w:color w:val="000000" w:themeColor="text1"/>
        </w:rPr>
        <w:t xml:space="preserve">y toda vez que Telmex no realizó manifestaciones sobre la modificación realizada por el Instituto, </w:t>
      </w:r>
      <w:r w:rsidRPr="008762D1">
        <w:rPr>
          <w:rFonts w:ascii="ITC Avant Garde" w:hAnsi="ITC Avant Garde"/>
          <w:color w:val="000000" w:themeColor="text1"/>
        </w:rPr>
        <w:t xml:space="preserve">se considera procedente la </w:t>
      </w:r>
      <w:r w:rsidR="00874194" w:rsidRPr="008762D1">
        <w:rPr>
          <w:rFonts w:ascii="ITC Avant Garde" w:hAnsi="ITC Avant Garde"/>
          <w:color w:val="000000" w:themeColor="text1"/>
        </w:rPr>
        <w:t xml:space="preserve">aprobación </w:t>
      </w:r>
      <w:r w:rsidRPr="008762D1">
        <w:rPr>
          <w:rFonts w:ascii="ITC Avant Garde" w:hAnsi="ITC Avant Garde"/>
          <w:color w:val="000000" w:themeColor="text1"/>
        </w:rPr>
        <w:t>del numeral 4.4.3.2 en los términos señalados.</w:t>
      </w:r>
    </w:p>
    <w:p w14:paraId="4BAFDAAA" w14:textId="77777777" w:rsidR="000F0B9F" w:rsidRPr="008762D1" w:rsidRDefault="00711963" w:rsidP="000F0B9F">
      <w:pPr>
        <w:pStyle w:val="IFT1"/>
        <w:numPr>
          <w:ilvl w:val="2"/>
          <w:numId w:val="9"/>
        </w:numPr>
        <w:spacing w:before="240" w:after="0"/>
        <w:ind w:left="567" w:hanging="567"/>
        <w:rPr>
          <w:b/>
          <w:color w:val="000000" w:themeColor="text1"/>
        </w:rPr>
      </w:pPr>
      <w:r w:rsidRPr="008762D1">
        <w:rPr>
          <w:b/>
          <w:color w:val="000000" w:themeColor="text1"/>
        </w:rPr>
        <w:lastRenderedPageBreak/>
        <w:t>ACUERDO COMPENSATORIO</w:t>
      </w:r>
      <w:r w:rsidR="005A3E96" w:rsidRPr="008762D1">
        <w:rPr>
          <w:b/>
          <w:color w:val="000000" w:themeColor="text1"/>
        </w:rPr>
        <w:t>.</w:t>
      </w:r>
    </w:p>
    <w:p w14:paraId="6506503B" w14:textId="73FCFE2C" w:rsidR="002E7472"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10D5FFB4" w14:textId="77777777" w:rsidR="000F0B9F" w:rsidRPr="008762D1" w:rsidRDefault="00420997"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Del análisis del numeral 4.6 Acuerdos Compensatorios de la Propuesta de CMI, se observó que los términos y condiciones planteados en dicha cláusula no se apega</w:t>
      </w:r>
      <w:r w:rsidR="00931C5B"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931C5B"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w:t>
      </w:r>
      <w:r w:rsidR="00931C5B"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53C6798B" w14:textId="77777777" w:rsidR="000F0B9F" w:rsidRPr="008762D1" w:rsidRDefault="00420997"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Lo anterior, dado que e</w:t>
      </w:r>
      <w:r w:rsidR="008A4408" w:rsidRPr="008762D1">
        <w:rPr>
          <w:rFonts w:ascii="ITC Avant Garde" w:hAnsi="ITC Avant Garde"/>
          <w:color w:val="000000" w:themeColor="text1"/>
        </w:rPr>
        <w:t>n la Cláusula 4.6 Telmex estableció que en caso de que dejara de tener el carácter de AEP las partes negociarían dentro de los 60 días naturales siguientes, los acuerdos de compensación recíproca de tráfico correspondientes.</w:t>
      </w:r>
    </w:p>
    <w:p w14:paraId="0AA773AD" w14:textId="77777777" w:rsidR="000F0B9F" w:rsidRPr="008762D1" w:rsidRDefault="00931C5B"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De lo cual</w:t>
      </w:r>
      <w:r w:rsidR="008A4408" w:rsidRPr="008762D1">
        <w:rPr>
          <w:rFonts w:ascii="ITC Avant Garde" w:hAnsi="ITC Avant Garde"/>
          <w:color w:val="000000" w:themeColor="text1"/>
        </w:rPr>
        <w:t>,</w:t>
      </w:r>
      <w:r w:rsidRPr="008762D1">
        <w:rPr>
          <w:rFonts w:ascii="ITC Avant Garde" w:hAnsi="ITC Avant Garde"/>
          <w:color w:val="000000" w:themeColor="text1"/>
        </w:rPr>
        <w:t xml:space="preserve"> el Instituto eliminó el numeral 4.6 y cualquier referencia a lo largo del CMI relacionada a acuerdos compensatorios ya que estos deberán cumplir con lo señalado en el artículo 131 de la LFTR</w:t>
      </w:r>
      <w:r w:rsidR="006E2C36" w:rsidRPr="008762D1">
        <w:rPr>
          <w:rFonts w:ascii="ITC Avant Garde" w:hAnsi="ITC Avant Garde"/>
          <w:color w:val="000000" w:themeColor="text1"/>
        </w:rPr>
        <w:t>:</w:t>
      </w:r>
    </w:p>
    <w:p w14:paraId="00BFDE7F" w14:textId="77777777" w:rsidR="000F0B9F" w:rsidRPr="008762D1" w:rsidRDefault="00CD6016"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“4.6 ACUERDOS COMPENSATORIOS. En caso de que TELMEX deje de tener el carácter de Agente Económico Preponderante en virtud de una resolución favorable que recaiga a los medios de impugnación interpuestos por ésta en contra de las resoluciones respectivas o porque así le sea notificado por el Instituto, las partes negociarán dentro de los 60 días naturales siguientes a la notificación de cualquiera de los supuestos anteriores, los acuerdos de compensación recíproca de tráfico correspondientes”.</w:t>
      </w:r>
    </w:p>
    <w:p w14:paraId="5BDD4B92" w14:textId="550D77F5" w:rsidR="00F713B4" w:rsidRPr="008762D1" w:rsidRDefault="00F713B4"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En el Anexo B:</w:t>
      </w:r>
    </w:p>
    <w:p w14:paraId="08C52F0F" w14:textId="77777777" w:rsidR="000F0B9F" w:rsidRPr="008762D1" w:rsidRDefault="00CD6016" w:rsidP="000F0B9F">
      <w:pPr>
        <w:spacing w:before="240" w:after="0"/>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w:t>
      </w:r>
      <w:r w:rsidR="00F713B4" w:rsidRPr="008762D1">
        <w:rPr>
          <w:rFonts w:ascii="ITC Avant Garde" w:hAnsi="ITC Avant Garde"/>
          <w:strike/>
          <w:color w:val="000000" w:themeColor="text1"/>
          <w:sz w:val="18"/>
          <w:szCs w:val="18"/>
        </w:rPr>
        <w:t>Acuerdo Compensatorio.</w:t>
      </w:r>
    </w:p>
    <w:p w14:paraId="31063024" w14:textId="77777777" w:rsidR="000F0B9F" w:rsidRPr="008762D1" w:rsidRDefault="00F713B4"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Mientras TELMEX tenga el carácter de Agente Económico Preponderante (“AEP”), no se aplicarán los Acuerdos Compensatorios; sin embargo, en caso de que TELMEX deje de tener el carácter de “AEP” en virtud de una resolución favorable que recaiga a los medios de impugnación interpuestos por ésta en contra de las resoluciones respectivas o porque así le sea notificado por el Instituto, las partes negociarán dentro de los 30 días naturales siguientes a la notificación de cualquiera de los supuestos anteriores, los acuerdos de compensación recíproca de tráfico correspondientes.</w:t>
      </w:r>
      <w:r w:rsidR="00CD6016" w:rsidRPr="008762D1">
        <w:rPr>
          <w:rFonts w:ascii="ITC Avant Garde" w:hAnsi="ITC Avant Garde"/>
          <w:strike/>
          <w:color w:val="000000" w:themeColor="text1"/>
          <w:sz w:val="18"/>
          <w:szCs w:val="18"/>
        </w:rPr>
        <w:t>”</w:t>
      </w:r>
    </w:p>
    <w:p w14:paraId="21A0F30E" w14:textId="0FAB130A" w:rsidR="00A77D5C" w:rsidRPr="008762D1" w:rsidRDefault="00A77D5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00A754B8" w14:textId="77777777" w:rsidR="000F0B9F" w:rsidRPr="008762D1" w:rsidRDefault="001D7232"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lastRenderedPageBreak/>
        <w:t xml:space="preserve">Telmex </w:t>
      </w:r>
      <w:r w:rsidR="00555CE5" w:rsidRPr="008762D1">
        <w:rPr>
          <w:rFonts w:ascii="ITC Avant Garde" w:hAnsi="ITC Avant Garde"/>
          <w:color w:val="000000" w:themeColor="text1"/>
        </w:rPr>
        <w:t>presentó</w:t>
      </w:r>
      <w:r w:rsidRPr="008762D1">
        <w:rPr>
          <w:rFonts w:ascii="ITC Avant Garde" w:hAnsi="ITC Avant Garde"/>
          <w:color w:val="000000" w:themeColor="text1"/>
        </w:rPr>
        <w:t xml:space="preserve"> el numeral 4.6 Acuerdos Compensatorios</w:t>
      </w:r>
      <w:r w:rsidR="006E2C36" w:rsidRPr="008762D1">
        <w:rPr>
          <w:rFonts w:ascii="ITC Avant Garde" w:hAnsi="ITC Avant Garde"/>
          <w:color w:val="000000" w:themeColor="text1"/>
        </w:rPr>
        <w:t xml:space="preserve"> y el Anexo B</w:t>
      </w:r>
      <w:r w:rsidR="0040743B" w:rsidRPr="008762D1">
        <w:rPr>
          <w:rFonts w:ascii="ITC Avant Garde" w:hAnsi="ITC Avant Garde"/>
          <w:color w:val="000000" w:themeColor="text1"/>
        </w:rPr>
        <w:t xml:space="preserve"> confo</w:t>
      </w:r>
      <w:r w:rsidR="00555CE5" w:rsidRPr="008762D1">
        <w:rPr>
          <w:rFonts w:ascii="ITC Avant Garde" w:hAnsi="ITC Avant Garde"/>
          <w:color w:val="000000" w:themeColor="text1"/>
        </w:rPr>
        <w:t>r</w:t>
      </w:r>
      <w:r w:rsidR="0040743B" w:rsidRPr="008762D1">
        <w:rPr>
          <w:rFonts w:ascii="ITC Avant Garde" w:hAnsi="ITC Avant Garde"/>
          <w:color w:val="000000" w:themeColor="text1"/>
        </w:rPr>
        <w:t>me a lo señalado en el Acuerdo</w:t>
      </w:r>
      <w:r w:rsidRPr="008762D1">
        <w:rPr>
          <w:rFonts w:ascii="ITC Avant Garde" w:hAnsi="ITC Avant Garde"/>
          <w:color w:val="000000" w:themeColor="text1"/>
        </w:rPr>
        <w:t>.</w:t>
      </w:r>
    </w:p>
    <w:p w14:paraId="40D6EF8F" w14:textId="55718FD2" w:rsidR="00A77D5C" w:rsidRPr="008762D1" w:rsidRDefault="00A77D5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29083A0B" w14:textId="77777777" w:rsidR="000F0B9F" w:rsidRPr="008762D1" w:rsidRDefault="006E2C36"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s="Arial"/>
          <w:snapToGrid w:val="0"/>
          <w:color w:val="000000" w:themeColor="text1"/>
        </w:rPr>
        <w:t xml:space="preserve">De acuerdo a lo establecido en el artículo 131 de la LFTR </w:t>
      </w:r>
      <w:r w:rsidR="001D7232" w:rsidRPr="008762D1">
        <w:rPr>
          <w:rFonts w:ascii="ITC Avant Garde" w:hAnsi="ITC Avant Garde"/>
          <w:color w:val="000000" w:themeColor="text1"/>
        </w:rPr>
        <w:t>cuando el Instituto considere que existen condiciones de competencia efectiva en el sector de las telecomunicaciones, determinará los criterios conforme a los cuales los concesionarios de redes públicas de telecomunicaciones, fijas y móviles, celebrarán de manera obligatoria acuerdos de compensación recíproca de tráfico, sin cargo alguno por terminación, incluyendo llamadas y mensajes cortos.</w:t>
      </w:r>
      <w:r w:rsidR="00171E64" w:rsidRPr="008762D1">
        <w:rPr>
          <w:rFonts w:ascii="ITC Avant Garde" w:hAnsi="ITC Avant Garde"/>
          <w:color w:val="000000" w:themeColor="text1"/>
        </w:rPr>
        <w:t xml:space="preserve"> Por lo anterior, se considera que la eliminación de las referencias a lo largo del CMI a Acuerdos Compensatorios cumple con la legislación aplicable por lo que</w:t>
      </w:r>
      <w:r w:rsidR="00874194" w:rsidRPr="008762D1">
        <w:rPr>
          <w:rFonts w:ascii="ITC Avant Garde" w:hAnsi="ITC Avant Garde"/>
          <w:color w:val="000000" w:themeColor="text1"/>
        </w:rPr>
        <w:t xml:space="preserve"> en términos de lo señalado y toda vez que Telmex no realizó manifestaciones sobre las modificaciones realizadas por el Instituto, </w:t>
      </w:r>
      <w:r w:rsidR="00171E64" w:rsidRPr="008762D1">
        <w:rPr>
          <w:rFonts w:ascii="ITC Avant Garde" w:hAnsi="ITC Avant Garde"/>
          <w:color w:val="000000" w:themeColor="text1"/>
        </w:rPr>
        <w:t xml:space="preserve"> </w:t>
      </w:r>
      <w:r w:rsidR="00874194" w:rsidRPr="008762D1">
        <w:rPr>
          <w:rFonts w:ascii="ITC Avant Garde" w:hAnsi="ITC Avant Garde"/>
          <w:color w:val="000000" w:themeColor="text1"/>
        </w:rPr>
        <w:t xml:space="preserve">se considera </w:t>
      </w:r>
      <w:r w:rsidR="00171E64" w:rsidRPr="008762D1">
        <w:rPr>
          <w:rFonts w:ascii="ITC Avant Garde" w:hAnsi="ITC Avant Garde"/>
          <w:color w:val="000000" w:themeColor="text1"/>
        </w:rPr>
        <w:t xml:space="preserve">procedente su </w:t>
      </w:r>
      <w:r w:rsidR="00F46711" w:rsidRPr="008762D1">
        <w:rPr>
          <w:rFonts w:ascii="ITC Avant Garde" w:hAnsi="ITC Avant Garde"/>
          <w:color w:val="000000" w:themeColor="text1"/>
        </w:rPr>
        <w:t>aprobación</w:t>
      </w:r>
      <w:r w:rsidR="00171E64" w:rsidRPr="008762D1">
        <w:rPr>
          <w:rFonts w:ascii="ITC Avant Garde" w:hAnsi="ITC Avant Garde"/>
          <w:color w:val="000000" w:themeColor="text1"/>
        </w:rPr>
        <w:t>.</w:t>
      </w:r>
      <w:r w:rsidR="001D7232" w:rsidRPr="008762D1">
        <w:rPr>
          <w:rFonts w:ascii="ITC Avant Garde" w:hAnsi="ITC Avant Garde"/>
          <w:color w:val="000000" w:themeColor="text1"/>
        </w:rPr>
        <w:t xml:space="preserve"> </w:t>
      </w:r>
    </w:p>
    <w:p w14:paraId="26BC3E8A" w14:textId="77777777" w:rsidR="000F0B9F" w:rsidRPr="008762D1" w:rsidRDefault="00420997"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Respecto del resto de los numerales incluidos en la Cláusula Cuarta se refieren a los siguientes aspectos del pago de contraprestaciones:</w:t>
      </w:r>
    </w:p>
    <w:p w14:paraId="101DF506" w14:textId="3BA792EC" w:rsidR="00420997" w:rsidRPr="008762D1" w:rsidRDefault="00420997" w:rsidP="000F0B9F">
      <w:pPr>
        <w:pStyle w:val="Prrafodelista"/>
        <w:numPr>
          <w:ilvl w:val="0"/>
          <w:numId w:val="12"/>
        </w:numPr>
        <w:autoSpaceDE w:val="0"/>
        <w:autoSpaceDN w:val="0"/>
        <w:adjustRightInd w:val="0"/>
        <w:spacing w:before="240" w:after="0"/>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Las contraprestaciones aplicables a los servicios de interconexión que las partes se provean de acuerdo al Convenio.</w:t>
      </w:r>
    </w:p>
    <w:p w14:paraId="684D9BDA" w14:textId="77777777" w:rsidR="00420997" w:rsidRPr="008762D1" w:rsidRDefault="00420997" w:rsidP="000F0B9F">
      <w:pPr>
        <w:pStyle w:val="Prrafodelista"/>
        <w:numPr>
          <w:ilvl w:val="0"/>
          <w:numId w:val="12"/>
        </w:numPr>
        <w:autoSpaceDE w:val="0"/>
        <w:autoSpaceDN w:val="0"/>
        <w:adjustRightInd w:val="0"/>
        <w:spacing w:before="240" w:after="0"/>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La vigencia del convenio.</w:t>
      </w:r>
    </w:p>
    <w:p w14:paraId="0460EEA3" w14:textId="77777777" w:rsidR="00171E64" w:rsidRPr="008762D1" w:rsidRDefault="00171E64" w:rsidP="000F0B9F">
      <w:pPr>
        <w:pStyle w:val="Prrafodelista"/>
        <w:numPr>
          <w:ilvl w:val="0"/>
          <w:numId w:val="12"/>
        </w:numPr>
        <w:autoSpaceDE w:val="0"/>
        <w:autoSpaceDN w:val="0"/>
        <w:adjustRightInd w:val="0"/>
        <w:spacing w:before="240" w:after="0"/>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Lugar de pago de las contraprestaciones, gastos o reembolsos.</w:t>
      </w:r>
    </w:p>
    <w:p w14:paraId="15AFA109" w14:textId="77777777" w:rsidR="00171E64" w:rsidRPr="008762D1" w:rsidRDefault="00171E64" w:rsidP="000F0B9F">
      <w:pPr>
        <w:pStyle w:val="Prrafodelista"/>
        <w:numPr>
          <w:ilvl w:val="0"/>
          <w:numId w:val="12"/>
        </w:numPr>
        <w:autoSpaceDE w:val="0"/>
        <w:autoSpaceDN w:val="0"/>
        <w:adjustRightInd w:val="0"/>
        <w:spacing w:before="240" w:after="0"/>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Condiciones de pago, entrega de facturas, plazo para el pago de facturas.</w:t>
      </w:r>
    </w:p>
    <w:p w14:paraId="0DC18421" w14:textId="77777777" w:rsidR="00420997" w:rsidRPr="008762D1" w:rsidRDefault="00420997" w:rsidP="000F0B9F">
      <w:pPr>
        <w:pStyle w:val="Prrafodelista"/>
        <w:numPr>
          <w:ilvl w:val="0"/>
          <w:numId w:val="12"/>
        </w:numPr>
        <w:autoSpaceDE w:val="0"/>
        <w:autoSpaceDN w:val="0"/>
        <w:adjustRightInd w:val="0"/>
        <w:spacing w:before="240" w:after="0"/>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Emisión de facturas complementarias.</w:t>
      </w:r>
    </w:p>
    <w:p w14:paraId="15983FA8" w14:textId="77777777" w:rsidR="000F0B9F" w:rsidRPr="008762D1" w:rsidRDefault="00171E64" w:rsidP="000F0B9F">
      <w:pPr>
        <w:pStyle w:val="Prrafodelista"/>
        <w:numPr>
          <w:ilvl w:val="0"/>
          <w:numId w:val="12"/>
        </w:numPr>
        <w:autoSpaceDE w:val="0"/>
        <w:autoSpaceDN w:val="0"/>
        <w:adjustRightInd w:val="0"/>
        <w:spacing w:before="240" w:after="0"/>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Pago de intereses moratorios por incumplimiento en el pago de las contraprestaciones o reembolsos de pagos recibidos en exceso.</w:t>
      </w:r>
    </w:p>
    <w:p w14:paraId="25F22CDA" w14:textId="77777777" w:rsidR="000F0B9F" w:rsidRPr="008762D1" w:rsidRDefault="00420997"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Dichos aspectos son necesarios a efecto de que las partes puedan llevar a cabo la prestación de los servicios y son habituales en los convenios de interconexión que se observan en la industria por lo que este Instituto considera que es procedente su </w:t>
      </w:r>
      <w:r w:rsidR="00F46711" w:rsidRPr="008762D1">
        <w:rPr>
          <w:rFonts w:ascii="ITC Avant Garde" w:hAnsi="ITC Avant Garde"/>
          <w:color w:val="000000" w:themeColor="text1"/>
        </w:rPr>
        <w:t>aprobación</w:t>
      </w:r>
      <w:r w:rsidRPr="008762D1">
        <w:rPr>
          <w:rFonts w:ascii="ITC Avant Garde" w:hAnsi="ITC Avant Garde"/>
          <w:color w:val="000000" w:themeColor="text1"/>
        </w:rPr>
        <w:t>. Asimismo</w:t>
      </w:r>
      <w:r w:rsidRPr="008762D1">
        <w:rPr>
          <w:rFonts w:ascii="ITC Avant Garde" w:hAnsi="ITC Avant Garde" w:cs="Arial"/>
          <w:color w:val="000000" w:themeColor="text1"/>
          <w:lang w:eastAsia="es-MX"/>
        </w:rPr>
        <w:t>, se señala que los mismos ya se habían autorizado en el CMI 2017.</w:t>
      </w:r>
    </w:p>
    <w:p w14:paraId="4A469ACC" w14:textId="23985499" w:rsidR="000F0B9F" w:rsidRPr="008762D1" w:rsidRDefault="003B36CA" w:rsidP="000F0B9F">
      <w:pPr>
        <w:pStyle w:val="IFT1"/>
        <w:numPr>
          <w:ilvl w:val="1"/>
          <w:numId w:val="9"/>
        </w:numPr>
        <w:tabs>
          <w:tab w:val="left" w:pos="426"/>
        </w:tabs>
        <w:spacing w:before="240" w:after="0"/>
        <w:ind w:left="284" w:hanging="284"/>
        <w:rPr>
          <w:rFonts w:cs="Arial"/>
          <w:b/>
          <w:color w:val="000000" w:themeColor="text1"/>
          <w:lang w:eastAsia="es-MX"/>
        </w:rPr>
      </w:pPr>
      <w:r w:rsidRPr="008762D1">
        <w:rPr>
          <w:rFonts w:cs="Arial"/>
          <w:b/>
          <w:color w:val="000000" w:themeColor="text1"/>
          <w:lang w:eastAsia="es-MX"/>
        </w:rPr>
        <w:t>CLÁUSULA QUINTA. ASPECTOS TÉCNICOS.</w:t>
      </w:r>
    </w:p>
    <w:p w14:paraId="45B76565" w14:textId="77777777" w:rsidR="000F0B9F" w:rsidRPr="008762D1" w:rsidRDefault="00C26A51" w:rsidP="000F0B9F">
      <w:pPr>
        <w:pStyle w:val="IFT1"/>
        <w:numPr>
          <w:ilvl w:val="2"/>
          <w:numId w:val="9"/>
        </w:numPr>
        <w:spacing w:before="240" w:after="0"/>
        <w:ind w:left="567" w:hanging="567"/>
        <w:rPr>
          <w:rFonts w:cs="Arial"/>
          <w:b/>
          <w:color w:val="000000" w:themeColor="text1"/>
        </w:rPr>
      </w:pPr>
      <w:r w:rsidRPr="008762D1">
        <w:rPr>
          <w:rFonts w:cs="Arial"/>
          <w:b/>
          <w:color w:val="000000" w:themeColor="text1"/>
        </w:rPr>
        <w:t>PDIC y COUBICACIONES.</w:t>
      </w:r>
    </w:p>
    <w:p w14:paraId="0F7AF728" w14:textId="11AD703C" w:rsidR="00C26A51" w:rsidRPr="008762D1" w:rsidRDefault="00C26A5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17FB5AD3" w14:textId="77777777" w:rsidR="000F0B9F" w:rsidRPr="008762D1" w:rsidRDefault="008746C1"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En </w:t>
      </w:r>
      <w:r w:rsidR="000818B9" w:rsidRPr="008762D1">
        <w:rPr>
          <w:rFonts w:ascii="ITC Avant Garde" w:hAnsi="ITC Avant Garde" w:cs="Arial"/>
          <w:color w:val="000000" w:themeColor="text1"/>
          <w:lang w:eastAsia="es-MX"/>
        </w:rPr>
        <w:t>la Cláusula Quinta</w:t>
      </w:r>
      <w:r w:rsidRPr="008762D1">
        <w:rPr>
          <w:rFonts w:ascii="ITC Avant Garde" w:hAnsi="ITC Avant Garde" w:cs="Arial"/>
          <w:color w:val="000000" w:themeColor="text1"/>
          <w:lang w:eastAsia="es-MX"/>
        </w:rPr>
        <w:t xml:space="preserve"> de la Propuesta de CMI, el Instituto consideró necesario señalar</w:t>
      </w:r>
      <w:r w:rsidR="00C26A51" w:rsidRPr="008762D1">
        <w:rPr>
          <w:rFonts w:ascii="ITC Avant Garde" w:hAnsi="ITC Avant Garde" w:cs="Arial"/>
          <w:color w:val="000000" w:themeColor="text1"/>
          <w:lang w:eastAsia="es-MX"/>
        </w:rPr>
        <w:t xml:space="preserve"> que en caso de que el AEP habilite nuevos puntos de interconexión en las ciudades que se han definido en el Acuerdo de Puntos de Interconexión, </w:t>
      </w:r>
      <w:r w:rsidR="00C53EAD" w:rsidRPr="008762D1">
        <w:rPr>
          <w:rFonts w:ascii="ITC Avant Garde" w:hAnsi="ITC Avant Garde"/>
          <w:color w:val="000000" w:themeColor="text1"/>
        </w:rPr>
        <w:t xml:space="preserve">dicha </w:t>
      </w:r>
      <w:r w:rsidR="00C53EAD" w:rsidRPr="008762D1">
        <w:rPr>
          <w:rFonts w:ascii="ITC Avant Garde" w:hAnsi="ITC Avant Garde"/>
          <w:color w:val="000000" w:themeColor="text1"/>
        </w:rPr>
        <w:lastRenderedPageBreak/>
        <w:t xml:space="preserve">información se </w:t>
      </w:r>
      <w:r w:rsidR="008E1AD0" w:rsidRPr="008762D1">
        <w:rPr>
          <w:rFonts w:ascii="ITC Avant Garde" w:hAnsi="ITC Avant Garde"/>
          <w:color w:val="000000" w:themeColor="text1"/>
        </w:rPr>
        <w:t>incorporara</w:t>
      </w:r>
      <w:r w:rsidR="00C26A51" w:rsidRPr="008762D1">
        <w:rPr>
          <w:rFonts w:ascii="ITC Avant Garde" w:hAnsi="ITC Avant Garde"/>
          <w:color w:val="000000" w:themeColor="text1"/>
        </w:rPr>
        <w:t xml:space="preserve"> </w:t>
      </w:r>
      <w:r w:rsidRPr="008762D1">
        <w:rPr>
          <w:rFonts w:ascii="ITC Avant Garde" w:hAnsi="ITC Avant Garde"/>
          <w:color w:val="000000" w:themeColor="text1"/>
        </w:rPr>
        <w:t>a</w:t>
      </w:r>
      <w:r w:rsidR="00C26A51" w:rsidRPr="008762D1">
        <w:rPr>
          <w:rFonts w:ascii="ITC Avant Garde" w:hAnsi="ITC Avant Garde"/>
          <w:color w:val="000000" w:themeColor="text1"/>
        </w:rPr>
        <w:t xml:space="preserve">l Sistema Electrónico de Gestión </w:t>
      </w:r>
      <w:r w:rsidRPr="008762D1">
        <w:rPr>
          <w:rFonts w:ascii="ITC Avant Garde" w:hAnsi="ITC Avant Garde" w:cs="Arial"/>
          <w:color w:val="000000" w:themeColor="text1"/>
          <w:lang w:eastAsia="es-MX"/>
        </w:rPr>
        <w:t xml:space="preserve">a efecto de que los CS </w:t>
      </w:r>
      <w:r w:rsidR="008E1AD0" w:rsidRPr="008762D1">
        <w:rPr>
          <w:rFonts w:ascii="ITC Avant Garde" w:hAnsi="ITC Avant Garde" w:cs="Arial"/>
          <w:color w:val="000000" w:themeColor="text1"/>
          <w:lang w:eastAsia="es-MX"/>
        </w:rPr>
        <w:t xml:space="preserve">tuvieran </w:t>
      </w:r>
      <w:r w:rsidR="00C26A51" w:rsidRPr="008762D1">
        <w:rPr>
          <w:rFonts w:ascii="ITC Avant Garde" w:hAnsi="ITC Avant Garde" w:cs="Arial"/>
          <w:color w:val="000000" w:themeColor="text1"/>
          <w:lang w:eastAsia="es-MX"/>
        </w:rPr>
        <w:t>cono</w:t>
      </w:r>
      <w:r w:rsidRPr="008762D1">
        <w:rPr>
          <w:rFonts w:ascii="ITC Avant Garde" w:hAnsi="ITC Avant Garde" w:cs="Arial"/>
          <w:color w:val="000000" w:themeColor="text1"/>
          <w:lang w:eastAsia="es-MX"/>
        </w:rPr>
        <w:t>cimiento, por lo que se modificó</w:t>
      </w:r>
      <w:r w:rsidR="00C26A51" w:rsidRPr="008762D1">
        <w:rPr>
          <w:rFonts w:ascii="ITC Avant Garde" w:hAnsi="ITC Avant Garde" w:cs="Arial"/>
          <w:color w:val="000000" w:themeColor="text1"/>
          <w:lang w:eastAsia="es-MX"/>
        </w:rPr>
        <w:t xml:space="preserve"> la Cláusula 5.2 </w:t>
      </w:r>
      <w:r w:rsidR="00C53EAD" w:rsidRPr="008762D1">
        <w:rPr>
          <w:rFonts w:ascii="ITC Avant Garde" w:hAnsi="ITC Avant Garde" w:cs="Arial"/>
          <w:color w:val="000000" w:themeColor="text1"/>
          <w:lang w:eastAsia="es-MX"/>
        </w:rPr>
        <w:t>en el siguiente sentido:</w:t>
      </w:r>
      <w:r w:rsidR="00C26A51" w:rsidRPr="008762D1">
        <w:rPr>
          <w:rFonts w:ascii="ITC Avant Garde" w:hAnsi="ITC Avant Garde" w:cs="Arial"/>
          <w:color w:val="000000" w:themeColor="text1"/>
          <w:lang w:eastAsia="es-MX"/>
        </w:rPr>
        <w:t xml:space="preserve"> </w:t>
      </w:r>
    </w:p>
    <w:p w14:paraId="23FDECB9" w14:textId="06426B76" w:rsidR="000F27F1" w:rsidRPr="008762D1" w:rsidRDefault="000F27F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color w:val="000000" w:themeColor="text1"/>
          <w:sz w:val="18"/>
          <w:szCs w:val="18"/>
        </w:rPr>
        <w:t xml:space="preserve">5.2. </w:t>
      </w:r>
      <w:proofErr w:type="spellStart"/>
      <w:r w:rsidRPr="008762D1">
        <w:rPr>
          <w:rFonts w:ascii="ITC Avant Garde" w:hAnsi="ITC Avant Garde"/>
          <w:b/>
          <w:color w:val="000000" w:themeColor="text1"/>
          <w:sz w:val="18"/>
          <w:szCs w:val="18"/>
        </w:rPr>
        <w:t>PDIC's</w:t>
      </w:r>
      <w:proofErr w:type="spellEnd"/>
      <w:r w:rsidRPr="008762D1">
        <w:rPr>
          <w:rFonts w:ascii="ITC Avant Garde" w:hAnsi="ITC Avant Garde"/>
          <w:b/>
          <w:color w:val="000000" w:themeColor="text1"/>
          <w:sz w:val="18"/>
          <w:szCs w:val="18"/>
        </w:rPr>
        <w:t xml:space="preserve"> Y COUBICACIONES.</w:t>
      </w:r>
      <w:r w:rsidRPr="008762D1">
        <w:rPr>
          <w:rFonts w:ascii="ITC Avant Garde" w:hAnsi="ITC Avant Garde"/>
          <w:color w:val="000000" w:themeColor="text1"/>
          <w:sz w:val="18"/>
          <w:szCs w:val="18"/>
        </w:rPr>
        <w:t xml:space="preserve"> Telmex se encuentra obligado a proporcionar, a solicitud de </w:t>
      </w:r>
      <w:r w:rsidR="008762D1" w:rsidRPr="008762D1">
        <w:rPr>
          <w:rFonts w:cs="Arial"/>
          <w:b/>
          <w:color w:val="0000FF"/>
        </w:rPr>
        <w:t>(…)</w:t>
      </w:r>
      <w:r w:rsidR="008762D1">
        <w:rPr>
          <w:rFonts w:cs="Arial"/>
          <w:b/>
          <w:color w:val="0000FF"/>
        </w:rPr>
        <w:t xml:space="preserve"> </w:t>
      </w:r>
      <w:r w:rsidRPr="008762D1">
        <w:rPr>
          <w:rFonts w:ascii="ITC Avant Garde" w:hAnsi="ITC Avant Garde"/>
          <w:color w:val="000000" w:themeColor="text1"/>
          <w:sz w:val="18"/>
          <w:szCs w:val="18"/>
        </w:rPr>
        <w:t xml:space="preserve">un listado actualizado de todos los </w:t>
      </w:r>
      <w:proofErr w:type="spellStart"/>
      <w:r w:rsidRPr="008762D1">
        <w:rPr>
          <w:rFonts w:ascii="ITC Avant Garde" w:hAnsi="ITC Avant Garde"/>
          <w:color w:val="000000" w:themeColor="text1"/>
          <w:sz w:val="18"/>
          <w:szCs w:val="18"/>
        </w:rPr>
        <w:t>PDIC's</w:t>
      </w:r>
      <w:proofErr w:type="spellEnd"/>
      <w:r w:rsidRPr="008762D1">
        <w:rPr>
          <w:rFonts w:ascii="ITC Avant Garde" w:hAnsi="ITC Avant Garde"/>
          <w:color w:val="000000" w:themeColor="text1"/>
          <w:sz w:val="18"/>
          <w:szCs w:val="18"/>
        </w:rPr>
        <w:t xml:space="preserve"> señalados en el Sub-Anexo A-1  que contenga la información que más adelante se indica. Las especificaciones técnicas de las </w:t>
      </w:r>
      <w:proofErr w:type="spellStart"/>
      <w:r w:rsidRPr="008762D1">
        <w:rPr>
          <w:rFonts w:ascii="ITC Avant Garde" w:hAnsi="ITC Avant Garde"/>
          <w:color w:val="000000" w:themeColor="text1"/>
          <w:sz w:val="18"/>
          <w:szCs w:val="18"/>
        </w:rPr>
        <w:t>Coubicaciones</w:t>
      </w:r>
      <w:proofErr w:type="spellEnd"/>
      <w:r w:rsidRPr="008762D1">
        <w:rPr>
          <w:rFonts w:ascii="ITC Avant Garde" w:hAnsi="ITC Avant Garde"/>
          <w:color w:val="000000" w:themeColor="text1"/>
          <w:sz w:val="18"/>
          <w:szCs w:val="18"/>
        </w:rPr>
        <w:t xml:space="preserve"> se definen en el Anexo A. </w:t>
      </w:r>
      <w:r w:rsidR="008762D1" w:rsidRPr="008762D1">
        <w:rPr>
          <w:rFonts w:cs="Arial"/>
          <w:b/>
          <w:color w:val="0000FF"/>
        </w:rPr>
        <w:t>(…)</w:t>
      </w:r>
      <w:r w:rsidRPr="008762D1">
        <w:rPr>
          <w:rFonts w:ascii="ITC Avant Garde" w:hAnsi="ITC Avant Garde"/>
          <w:color w:val="000000" w:themeColor="text1"/>
          <w:sz w:val="18"/>
          <w:szCs w:val="18"/>
        </w:rPr>
        <w:t xml:space="preserve"> podrá recibir en una </w:t>
      </w:r>
      <w:proofErr w:type="spellStart"/>
      <w:r w:rsidRPr="008762D1">
        <w:rPr>
          <w:rFonts w:ascii="ITC Avant Garde" w:hAnsi="ITC Avant Garde"/>
          <w:color w:val="000000" w:themeColor="text1"/>
          <w:sz w:val="18"/>
          <w:szCs w:val="18"/>
        </w:rPr>
        <w:t>Coubicación</w:t>
      </w:r>
      <w:proofErr w:type="spellEnd"/>
      <w:r w:rsidRPr="008762D1">
        <w:rPr>
          <w:rFonts w:ascii="ITC Avant Garde" w:hAnsi="ITC Avant Garde"/>
          <w:color w:val="000000" w:themeColor="text1"/>
          <w:sz w:val="18"/>
          <w:szCs w:val="18"/>
        </w:rPr>
        <w:t>, los Enlaces de Transmisión de Inter</w:t>
      </w:r>
      <w:r w:rsidR="00C53EAD" w:rsidRPr="008762D1">
        <w:rPr>
          <w:rFonts w:ascii="ITC Avant Garde" w:hAnsi="ITC Avant Garde"/>
          <w:color w:val="000000" w:themeColor="text1"/>
          <w:sz w:val="18"/>
          <w:szCs w:val="18"/>
        </w:rPr>
        <w:t xml:space="preserve">conexión que le provea Telmex. </w:t>
      </w:r>
    </w:p>
    <w:p w14:paraId="5F6F2E13" w14:textId="77777777" w:rsidR="000F27F1" w:rsidRPr="008762D1" w:rsidRDefault="00C53EAD"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474789EF" w14:textId="77777777" w:rsidR="000F27F1" w:rsidRPr="008762D1" w:rsidRDefault="000F27F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u w:val="single"/>
        </w:rPr>
        <w:t>En caso de que Telmex habilite nuevos nodos en sus puntos de interconexión deberá poner a disposición de los concesionarios solicitantes la información de los mismos en el Sistema Electrónico de Gestión</w:t>
      </w:r>
      <w:r w:rsidRPr="008762D1">
        <w:rPr>
          <w:rFonts w:ascii="ITC Avant Garde" w:hAnsi="ITC Avant Garde"/>
          <w:color w:val="000000" w:themeColor="text1"/>
          <w:sz w:val="18"/>
          <w:szCs w:val="18"/>
        </w:rPr>
        <w:t>.”</w:t>
      </w:r>
    </w:p>
    <w:p w14:paraId="1B7C2825" w14:textId="77777777" w:rsidR="000F0B9F" w:rsidRPr="008762D1" w:rsidRDefault="000F27F1"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760F8122" w14:textId="20D80D1F" w:rsidR="00CB2BBC" w:rsidRPr="008762D1" w:rsidRDefault="00CB2BB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3C97B094" w14:textId="77777777" w:rsidR="000F0B9F" w:rsidRPr="008762D1" w:rsidRDefault="000F27F1"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presentó el </w:t>
      </w:r>
      <w:r w:rsidRPr="008762D1">
        <w:rPr>
          <w:rFonts w:ascii="ITC Avant Garde" w:hAnsi="ITC Avant Garde" w:cs="Arial"/>
          <w:color w:val="000000" w:themeColor="text1"/>
        </w:rPr>
        <w:t>numeral 5.2 de la Cláusula Quinta en los términos señalados en el Acuerdo.</w:t>
      </w:r>
    </w:p>
    <w:p w14:paraId="768AE6F7" w14:textId="051CCAAB" w:rsidR="00CB2BBC" w:rsidRPr="008762D1" w:rsidRDefault="00CB2BB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7BD6055" w14:textId="77777777" w:rsidR="000F0B9F" w:rsidRPr="008762D1" w:rsidRDefault="007800A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Al respecto se señala que </w:t>
      </w:r>
      <w:r w:rsidR="00B74C6B" w:rsidRPr="008762D1">
        <w:rPr>
          <w:rFonts w:ascii="ITC Avant Garde" w:hAnsi="ITC Avant Garde"/>
          <w:color w:val="000000" w:themeColor="text1"/>
        </w:rPr>
        <w:t xml:space="preserve">el numeral 5.2 de la Cláusula Quinta, proporciona certeza a los CS sobre el medio en el cual podrán consultar los nuevos nodos que Telmex habilite en sus puntos de interconexión, asimismo es acorde a lo establecido en la Medida Cuadragésima </w:t>
      </w:r>
      <w:r w:rsidR="002D5FF1" w:rsidRPr="008762D1">
        <w:rPr>
          <w:rFonts w:ascii="ITC Avant Garde" w:hAnsi="ITC Avant Garde"/>
          <w:color w:val="000000" w:themeColor="text1"/>
        </w:rPr>
        <w:t>Segunda</w:t>
      </w:r>
      <w:r w:rsidR="00B74C6B" w:rsidRPr="008762D1">
        <w:rPr>
          <w:rFonts w:ascii="ITC Avant Garde" w:hAnsi="ITC Avant Garde"/>
          <w:color w:val="000000" w:themeColor="text1"/>
        </w:rPr>
        <w:t>, la cual establece:</w:t>
      </w:r>
    </w:p>
    <w:p w14:paraId="5976AEAA" w14:textId="225DE8EC" w:rsidR="007800A5" w:rsidRPr="008762D1" w:rsidRDefault="00B74C6B"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7800A5" w:rsidRPr="008762D1">
        <w:rPr>
          <w:rFonts w:ascii="ITC Avant Garde" w:hAnsi="ITC Avant Garde"/>
          <w:b/>
          <w:color w:val="000000" w:themeColor="text1"/>
          <w:sz w:val="18"/>
          <w:szCs w:val="18"/>
        </w:rPr>
        <w:t>CUADRAGÉSIMA SEGUNDA.-</w:t>
      </w:r>
      <w:r w:rsidR="007800A5" w:rsidRPr="008762D1">
        <w:rPr>
          <w:rFonts w:ascii="ITC Avant Garde" w:hAnsi="ITC Avant Garde"/>
          <w:color w:val="000000" w:themeColor="text1"/>
          <w:sz w:val="18"/>
          <w:szCs w:val="18"/>
        </w:rPr>
        <w:t xml:space="preserve"> </w:t>
      </w:r>
      <w:r w:rsidR="007800A5" w:rsidRPr="008762D1">
        <w:rPr>
          <w:rFonts w:ascii="ITC Avant Garde" w:hAnsi="ITC Avant Garde"/>
          <w:color w:val="000000" w:themeColor="text1"/>
          <w:sz w:val="18"/>
          <w:szCs w:val="18"/>
          <w:u w:val="single"/>
        </w:rPr>
        <w:t>El Agente Económico Preponderante deberá tener implementado un Sistema Electrónico de Gestión</w:t>
      </w:r>
      <w:r w:rsidR="007800A5" w:rsidRPr="008762D1">
        <w:rPr>
          <w:rFonts w:ascii="ITC Avant Garde" w:hAnsi="ITC Avant Garde"/>
          <w:color w:val="000000" w:themeColor="text1"/>
          <w:sz w:val="18"/>
          <w:szCs w:val="18"/>
        </w:rPr>
        <w:t xml:space="preserve"> </w:t>
      </w:r>
      <w:r w:rsidR="007800A5" w:rsidRPr="008762D1">
        <w:rPr>
          <w:rFonts w:ascii="ITC Avant Garde" w:hAnsi="ITC Avant Garde"/>
          <w:color w:val="000000" w:themeColor="text1"/>
          <w:sz w:val="18"/>
          <w:szCs w:val="18"/>
          <w:u w:val="single"/>
        </w:rPr>
        <w:t>al que podrán acceder</w:t>
      </w:r>
      <w:r w:rsidR="007800A5" w:rsidRPr="008762D1">
        <w:rPr>
          <w:rFonts w:ascii="ITC Avant Garde" w:hAnsi="ITC Avant Garde"/>
          <w:color w:val="000000" w:themeColor="text1"/>
          <w:sz w:val="18"/>
          <w:szCs w:val="18"/>
        </w:rPr>
        <w:t xml:space="preserve"> en todo momento el Instituto, </w:t>
      </w:r>
      <w:r w:rsidR="007800A5" w:rsidRPr="008762D1">
        <w:rPr>
          <w:rFonts w:ascii="ITC Avant Garde" w:hAnsi="ITC Avant Garde"/>
          <w:color w:val="000000" w:themeColor="text1"/>
          <w:sz w:val="18"/>
          <w:szCs w:val="18"/>
          <w:u w:val="single"/>
        </w:rPr>
        <w:t>los Concesionarios Solicitantes</w:t>
      </w:r>
      <w:r w:rsidR="007800A5" w:rsidRPr="008762D1">
        <w:rPr>
          <w:rFonts w:ascii="ITC Avant Garde" w:hAnsi="ITC Avant Garde"/>
          <w:color w:val="000000" w:themeColor="text1"/>
          <w:sz w:val="18"/>
          <w:szCs w:val="18"/>
        </w:rPr>
        <w:t xml:space="preserve"> y Autorizados Solicitantes, incluidos el propio Agente Económico Preponderante y las empresas pertenecientes y relacionadas con éste, por vía remota, </w:t>
      </w:r>
      <w:r w:rsidR="007800A5" w:rsidRPr="008762D1">
        <w:rPr>
          <w:rFonts w:ascii="ITC Avant Garde" w:hAnsi="ITC Avant Garde"/>
          <w:color w:val="000000" w:themeColor="text1"/>
          <w:sz w:val="18"/>
          <w:szCs w:val="18"/>
          <w:u w:val="single"/>
        </w:rPr>
        <w:t>para consultar información actualizada de la red pública de telecomunicaciones del Agente Económico Preponderante</w:t>
      </w:r>
      <w:r w:rsidR="007800A5" w:rsidRPr="008762D1">
        <w:rPr>
          <w:rFonts w:ascii="ITC Avant Garde" w:hAnsi="ITC Avant Garde"/>
          <w:color w:val="000000" w:themeColor="text1"/>
          <w:sz w:val="18"/>
          <w:szCs w:val="18"/>
        </w:rPr>
        <w:t xml:space="preserve"> y de la Infraestructura Pasiva, realizar la contratación de los servicios mayoristas regulados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r w:rsidRPr="008762D1">
        <w:rPr>
          <w:rFonts w:ascii="ITC Avant Garde" w:hAnsi="ITC Avant Garde"/>
          <w:color w:val="000000" w:themeColor="text1"/>
          <w:sz w:val="18"/>
          <w:szCs w:val="18"/>
        </w:rPr>
        <w:t>”</w:t>
      </w:r>
    </w:p>
    <w:p w14:paraId="241BBD48" w14:textId="77777777" w:rsidR="000F0B9F" w:rsidRPr="008762D1" w:rsidRDefault="00B74C6B"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683EC9D6" w14:textId="56AF74AC" w:rsidR="000F0B9F" w:rsidRPr="008762D1" w:rsidRDefault="001C3C97" w:rsidP="000F0B9F">
      <w:pPr>
        <w:spacing w:before="240" w:after="0" w:line="276" w:lineRule="auto"/>
        <w:ind w:right="-93"/>
        <w:jc w:val="both"/>
        <w:rPr>
          <w:rFonts w:ascii="ITC Avant Garde" w:hAnsi="ITC Avant Garde"/>
          <w:color w:val="000000" w:themeColor="text1"/>
        </w:rPr>
      </w:pPr>
      <w:r w:rsidRPr="008762D1">
        <w:rPr>
          <w:rFonts w:ascii="ITC Avant Garde" w:eastAsia="Times New Roman" w:hAnsi="ITC Avant Garde" w:cs="Arial"/>
          <w:iCs/>
          <w:color w:val="000000" w:themeColor="text1"/>
        </w:rPr>
        <w:t>En términos de lo anteriormente señal</w:t>
      </w:r>
      <w:r w:rsidR="00FD70D7" w:rsidRPr="008762D1">
        <w:rPr>
          <w:rFonts w:ascii="ITC Avant Garde" w:eastAsia="Times New Roman" w:hAnsi="ITC Avant Garde" w:cs="Arial"/>
          <w:iCs/>
          <w:color w:val="000000" w:themeColor="text1"/>
        </w:rPr>
        <w:t>a</w:t>
      </w:r>
      <w:r w:rsidRPr="008762D1">
        <w:rPr>
          <w:rFonts w:ascii="ITC Avant Garde" w:eastAsia="Times New Roman" w:hAnsi="ITC Avant Garde" w:cs="Arial"/>
          <w:iCs/>
          <w:color w:val="000000" w:themeColor="text1"/>
        </w:rPr>
        <w:t xml:space="preserve">do, </w:t>
      </w:r>
      <w:r w:rsidRPr="008762D1">
        <w:rPr>
          <w:rFonts w:ascii="ITC Avant Garde" w:hAnsi="ITC Avant Garde"/>
          <w:color w:val="000000" w:themeColor="text1"/>
        </w:rPr>
        <w:t xml:space="preserve">y toda vez que Telmex no realizó manifestaciones sobre la modificación realizada por el Instituto, </w:t>
      </w:r>
      <w:r w:rsidRPr="008762D1">
        <w:rPr>
          <w:rFonts w:ascii="ITC Avant Garde" w:eastAsia="Times New Roman" w:hAnsi="ITC Avant Garde" w:cs="Arial"/>
          <w:iCs/>
          <w:color w:val="000000" w:themeColor="text1"/>
        </w:rPr>
        <w:t>se considera q</w:t>
      </w:r>
      <w:r w:rsidR="00B74C6B" w:rsidRPr="008762D1">
        <w:rPr>
          <w:rFonts w:ascii="ITC Avant Garde" w:eastAsia="Times New Roman" w:hAnsi="ITC Avant Garde" w:cs="Arial"/>
          <w:iCs/>
          <w:color w:val="000000" w:themeColor="text1"/>
        </w:rPr>
        <w:t xml:space="preserve">ue lo </w:t>
      </w:r>
      <w:r w:rsidR="00B74C6B" w:rsidRPr="008762D1">
        <w:rPr>
          <w:rFonts w:ascii="ITC Avant Garde" w:eastAsia="Times New Roman" w:hAnsi="ITC Avant Garde" w:cs="Arial"/>
          <w:iCs/>
          <w:color w:val="000000" w:themeColor="text1"/>
        </w:rPr>
        <w:lastRenderedPageBreak/>
        <w:t xml:space="preserve">establecido en el numeral 5.2 </w:t>
      </w:r>
      <w:r w:rsidR="00B74C6B" w:rsidRPr="008762D1">
        <w:rPr>
          <w:rFonts w:ascii="ITC Avant Garde" w:hAnsi="ITC Avant Garde"/>
          <w:color w:val="000000" w:themeColor="text1"/>
        </w:rPr>
        <w:t xml:space="preserve">cumple con la legislación aplicable por lo que es procedente su </w:t>
      </w:r>
      <w:r w:rsidR="00F46711" w:rsidRPr="008762D1">
        <w:rPr>
          <w:rFonts w:ascii="ITC Avant Garde" w:hAnsi="ITC Avant Garde"/>
          <w:color w:val="000000" w:themeColor="text1"/>
        </w:rPr>
        <w:t>aprobación</w:t>
      </w:r>
      <w:r w:rsidR="00B74C6B" w:rsidRPr="008762D1">
        <w:rPr>
          <w:rFonts w:ascii="ITC Avant Garde" w:hAnsi="ITC Avant Garde"/>
          <w:color w:val="000000" w:themeColor="text1"/>
        </w:rPr>
        <w:t xml:space="preserve">. </w:t>
      </w:r>
    </w:p>
    <w:p w14:paraId="538DED31" w14:textId="77777777" w:rsidR="000F0B9F" w:rsidRPr="008762D1" w:rsidRDefault="005D5787" w:rsidP="000F0B9F">
      <w:pPr>
        <w:pStyle w:val="IFT1"/>
        <w:numPr>
          <w:ilvl w:val="2"/>
          <w:numId w:val="9"/>
        </w:numPr>
        <w:spacing w:before="240" w:after="0"/>
        <w:ind w:left="567" w:hanging="567"/>
        <w:rPr>
          <w:rFonts w:cs="Arial"/>
          <w:b/>
          <w:color w:val="000000" w:themeColor="text1"/>
        </w:rPr>
      </w:pPr>
      <w:r w:rsidRPr="008762D1">
        <w:rPr>
          <w:rFonts w:cs="Arial"/>
          <w:b/>
          <w:color w:val="000000" w:themeColor="text1"/>
        </w:rPr>
        <w:t>INTERCONEXIÓN ENTRE OTROS CONCESIONARIOS</w:t>
      </w:r>
      <w:r w:rsidR="009215E2" w:rsidRPr="008762D1">
        <w:rPr>
          <w:rFonts w:cs="Arial"/>
          <w:b/>
          <w:color w:val="000000" w:themeColor="text1"/>
        </w:rPr>
        <w:t>.</w:t>
      </w:r>
    </w:p>
    <w:p w14:paraId="168AD5C8" w14:textId="4BD2081C" w:rsidR="002E7472"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27A4B62E" w14:textId="77777777" w:rsidR="000F0B9F" w:rsidRPr="008762D1" w:rsidRDefault="002613EA"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Del anális</w:t>
      </w:r>
      <w:r w:rsidR="0054127B" w:rsidRPr="008762D1">
        <w:rPr>
          <w:rFonts w:ascii="ITC Avant Garde" w:eastAsia="Times New Roman" w:hAnsi="ITC Avant Garde" w:cs="Arial"/>
          <w:iCs/>
          <w:color w:val="000000" w:themeColor="text1"/>
        </w:rPr>
        <w:t>is de la Cláusula 5.3 se observó</w:t>
      </w:r>
      <w:r w:rsidRPr="008762D1">
        <w:rPr>
          <w:rFonts w:ascii="ITC Avant Garde" w:eastAsia="Times New Roman" w:hAnsi="ITC Avant Garde" w:cs="Arial"/>
          <w:iCs/>
          <w:color w:val="000000" w:themeColor="text1"/>
        </w:rPr>
        <w:t xml:space="preserve"> que el contenido de la misma no se apega</w:t>
      </w:r>
      <w:r w:rsidR="0054127B" w:rsidRPr="008762D1">
        <w:rPr>
          <w:rFonts w:ascii="ITC Avant Garde" w:eastAsia="Times New Roman" w:hAnsi="ITC Avant Garde" w:cs="Arial"/>
          <w:iCs/>
          <w:color w:val="000000" w:themeColor="text1"/>
        </w:rPr>
        <w:t>ba</w:t>
      </w:r>
      <w:r w:rsidRPr="008762D1">
        <w:rPr>
          <w:rFonts w:ascii="ITC Avant Garde" w:hAnsi="ITC Avant Garde" w:cs="Arial"/>
          <w:color w:val="000000" w:themeColor="text1"/>
        </w:rPr>
        <w:t xml:space="preserve">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 xml:space="preserve">P/IFT/EXT/241116/40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54127B"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w:t>
      </w:r>
      <w:r w:rsidR="0054127B"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63192B91" w14:textId="77777777" w:rsidR="000F0B9F" w:rsidRPr="008762D1" w:rsidRDefault="002613EA"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s="Arial"/>
          <w:color w:val="000000" w:themeColor="text1"/>
          <w:lang w:eastAsia="es-MX"/>
        </w:rPr>
        <w:t>Lo anterior, dado que e</w:t>
      </w:r>
      <w:r w:rsidR="0069484D" w:rsidRPr="008762D1">
        <w:rPr>
          <w:rFonts w:ascii="ITC Avant Garde" w:hAnsi="ITC Avant Garde" w:cs="Arial"/>
          <w:color w:val="000000" w:themeColor="text1"/>
          <w:lang w:eastAsia="es-MX"/>
        </w:rPr>
        <w:t>n la Cláusula 5.3</w:t>
      </w:r>
      <w:r w:rsidR="00C46DF0" w:rsidRPr="008762D1">
        <w:rPr>
          <w:rFonts w:ascii="ITC Avant Garde" w:hAnsi="ITC Avant Garde" w:cs="Arial"/>
          <w:color w:val="000000" w:themeColor="text1"/>
          <w:lang w:eastAsia="es-MX"/>
        </w:rPr>
        <w:t xml:space="preserve"> de la Propuesta de CMI</w:t>
      </w:r>
      <w:r w:rsidR="0026152B" w:rsidRPr="008762D1">
        <w:rPr>
          <w:rFonts w:ascii="ITC Avant Garde" w:hAnsi="ITC Avant Garde" w:cs="Arial"/>
          <w:color w:val="000000" w:themeColor="text1"/>
          <w:lang w:eastAsia="es-MX"/>
        </w:rPr>
        <w:t xml:space="preserve"> </w:t>
      </w:r>
      <w:r w:rsidR="00F53083" w:rsidRPr="008762D1">
        <w:rPr>
          <w:rFonts w:ascii="ITC Avant Garde" w:hAnsi="ITC Avant Garde" w:cs="Arial"/>
          <w:color w:val="000000" w:themeColor="text1"/>
          <w:lang w:val="es-ES" w:eastAsia="es-MX"/>
        </w:rPr>
        <w:t>de</w:t>
      </w:r>
      <w:r w:rsidR="00C46DF0" w:rsidRPr="008762D1">
        <w:rPr>
          <w:rFonts w:ascii="ITC Avant Garde" w:hAnsi="ITC Avant Garde" w:cs="Arial"/>
          <w:color w:val="000000" w:themeColor="text1"/>
          <w:lang w:eastAsia="es-MX"/>
        </w:rPr>
        <w:t xml:space="preserve"> Telmex</w:t>
      </w:r>
      <w:r w:rsidR="004E6848" w:rsidRPr="008762D1">
        <w:rPr>
          <w:rFonts w:ascii="ITC Avant Garde" w:hAnsi="ITC Avant Garde" w:cs="Arial"/>
          <w:color w:val="000000" w:themeColor="text1"/>
          <w:lang w:eastAsia="es-MX"/>
        </w:rPr>
        <w:t>,</w:t>
      </w:r>
      <w:r w:rsidR="00C46DF0" w:rsidRPr="008762D1">
        <w:rPr>
          <w:rFonts w:ascii="ITC Avant Garde" w:hAnsi="ITC Avant Garde" w:cs="Arial"/>
          <w:color w:val="000000" w:themeColor="text1"/>
          <w:lang w:eastAsia="es-MX"/>
        </w:rPr>
        <w:t xml:space="preserve"> </w:t>
      </w:r>
      <w:r w:rsidR="0054127B" w:rsidRPr="008762D1">
        <w:rPr>
          <w:rFonts w:ascii="ITC Avant Garde" w:hAnsi="ITC Avant Garde"/>
          <w:color w:val="000000" w:themeColor="text1"/>
        </w:rPr>
        <w:t>no se especificaban</w:t>
      </w:r>
      <w:r w:rsidR="007E6D12" w:rsidRPr="008762D1">
        <w:rPr>
          <w:rFonts w:ascii="ITC Avant Garde" w:hAnsi="ITC Avant Garde"/>
          <w:color w:val="000000" w:themeColor="text1"/>
        </w:rPr>
        <w:t xml:space="preserve"> los parámetros de calidad del servicio de enlace de </w:t>
      </w:r>
      <w:r w:rsidR="002B7126" w:rsidRPr="008762D1">
        <w:rPr>
          <w:rFonts w:ascii="ITC Avant Garde" w:hAnsi="ITC Avant Garde"/>
          <w:color w:val="000000" w:themeColor="text1"/>
        </w:rPr>
        <w:t>transmisión</w:t>
      </w:r>
      <w:r w:rsidR="007E6D12" w:rsidRPr="008762D1">
        <w:rPr>
          <w:rFonts w:ascii="ITC Avant Garde" w:hAnsi="ITC Avant Garde"/>
          <w:color w:val="000000" w:themeColor="text1"/>
        </w:rPr>
        <w:t xml:space="preserve"> no gestionado, plazo de entrega del servicio, procedimiento de entrega y recepción del servicio, procedimiento de atención a fallas, niveles de disponibilidad del servicio, entre otros</w:t>
      </w:r>
      <w:r w:rsidR="001468AF" w:rsidRPr="008762D1">
        <w:rPr>
          <w:rFonts w:ascii="ITC Avant Garde" w:hAnsi="ITC Avant Garde"/>
          <w:color w:val="000000" w:themeColor="text1"/>
        </w:rPr>
        <w:t xml:space="preserve">, </w:t>
      </w:r>
      <w:r w:rsidRPr="008762D1">
        <w:rPr>
          <w:rFonts w:ascii="ITC Avant Garde" w:hAnsi="ITC Avant Garde"/>
          <w:color w:val="000000" w:themeColor="text1"/>
        </w:rPr>
        <w:t>por lo que</w:t>
      </w:r>
      <w:r w:rsidR="007E6D12" w:rsidRPr="008762D1">
        <w:rPr>
          <w:rFonts w:ascii="ITC Avant Garde" w:hAnsi="ITC Avant Garde"/>
          <w:color w:val="000000" w:themeColor="text1"/>
        </w:rPr>
        <w:t xml:space="preserve"> Instituto modificó</w:t>
      </w:r>
      <w:r w:rsidR="001468AF" w:rsidRPr="008762D1">
        <w:rPr>
          <w:rFonts w:ascii="ITC Avant Garde" w:hAnsi="ITC Avant Garde"/>
          <w:color w:val="000000" w:themeColor="text1"/>
        </w:rPr>
        <w:t xml:space="preserve"> la redacción de</w:t>
      </w:r>
      <w:r w:rsidR="00A476AE" w:rsidRPr="008762D1">
        <w:rPr>
          <w:rFonts w:ascii="ITC Avant Garde" w:hAnsi="ITC Avant Garde"/>
          <w:color w:val="000000" w:themeColor="text1"/>
        </w:rPr>
        <w:t xml:space="preserve"> </w:t>
      </w:r>
      <w:r w:rsidR="001468AF" w:rsidRPr="008762D1">
        <w:rPr>
          <w:rFonts w:ascii="ITC Avant Garde" w:hAnsi="ITC Avant Garde"/>
          <w:color w:val="000000" w:themeColor="text1"/>
        </w:rPr>
        <w:t>l</w:t>
      </w:r>
      <w:r w:rsidR="00A476AE" w:rsidRPr="008762D1">
        <w:rPr>
          <w:rFonts w:ascii="ITC Avant Garde" w:hAnsi="ITC Avant Garde"/>
          <w:color w:val="000000" w:themeColor="text1"/>
        </w:rPr>
        <w:t>a Cláusula 5.3,</w:t>
      </w:r>
      <w:r w:rsidR="007E6D12" w:rsidRPr="008762D1">
        <w:rPr>
          <w:rFonts w:ascii="ITC Avant Garde" w:hAnsi="ITC Avant Garde"/>
          <w:color w:val="000000" w:themeColor="text1"/>
        </w:rPr>
        <w:t xml:space="preserve"> estableciendo que los parámetros de calidad de los enlaces d</w:t>
      </w:r>
      <w:r w:rsidR="005B25E5" w:rsidRPr="008762D1">
        <w:rPr>
          <w:rFonts w:ascii="ITC Avant Garde" w:hAnsi="ITC Avant Garde"/>
          <w:color w:val="000000" w:themeColor="text1"/>
        </w:rPr>
        <w:t xml:space="preserve">e transmisión no gestionados corresponden a los especificados </w:t>
      </w:r>
      <w:r w:rsidR="007E6D12" w:rsidRPr="008762D1">
        <w:rPr>
          <w:rFonts w:ascii="ITC Avant Garde" w:hAnsi="ITC Avant Garde"/>
          <w:color w:val="000000" w:themeColor="text1"/>
        </w:rPr>
        <w:t>en el Anexo E.</w:t>
      </w:r>
    </w:p>
    <w:p w14:paraId="1420FE7C" w14:textId="77777777" w:rsidR="000F0B9F" w:rsidRPr="008762D1" w:rsidRDefault="005B25E5"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color w:val="000000" w:themeColor="text1"/>
          <w:sz w:val="18"/>
          <w:szCs w:val="18"/>
        </w:rPr>
        <w:t>5.3 INTERCONEXIÓN ENTRE OTROS CONCESIONARIOS.</w:t>
      </w:r>
      <w:r w:rsidRPr="008762D1">
        <w:rPr>
          <w:rFonts w:ascii="ITC Avant Garde" w:hAnsi="ITC Avant Garde"/>
          <w:color w:val="000000" w:themeColor="text1"/>
          <w:sz w:val="18"/>
          <w:szCs w:val="18"/>
        </w:rPr>
        <w:t xml:space="preserve">  Telmex se obliga a atender a los principios de eficiencia y sana competencia en sus espacios de </w:t>
      </w:r>
      <w:proofErr w:type="spellStart"/>
      <w:r w:rsidRPr="008762D1">
        <w:rPr>
          <w:rFonts w:ascii="ITC Avant Garde" w:hAnsi="ITC Avant Garde"/>
          <w:color w:val="000000" w:themeColor="text1"/>
          <w:sz w:val="18"/>
          <w:szCs w:val="18"/>
        </w:rPr>
        <w:t>Coubicación</w:t>
      </w:r>
      <w:proofErr w:type="spellEnd"/>
      <w:r w:rsidRPr="008762D1">
        <w:rPr>
          <w:rFonts w:ascii="ITC Avant Garde" w:hAnsi="ITC Avant Garde"/>
          <w:color w:val="000000" w:themeColor="text1"/>
          <w:sz w:val="18"/>
          <w:szCs w:val="18"/>
        </w:rPr>
        <w:t xml:space="preserve">, por lo que permitirá a la Parte Solicitante interconectar su red dentro de las instalaciones de Telmex con la Red Pública de Telecomunicaciones de otro Concesionario que tengan presencia y/o espacios de </w:t>
      </w:r>
      <w:proofErr w:type="spellStart"/>
      <w:r w:rsidRPr="008762D1">
        <w:rPr>
          <w:rFonts w:ascii="ITC Avant Garde" w:hAnsi="ITC Avant Garde"/>
          <w:color w:val="000000" w:themeColor="text1"/>
          <w:sz w:val="18"/>
          <w:szCs w:val="18"/>
        </w:rPr>
        <w:t>coubicación</w:t>
      </w:r>
      <w:proofErr w:type="spellEnd"/>
      <w:r w:rsidRPr="008762D1">
        <w:rPr>
          <w:rFonts w:ascii="ITC Avant Garde" w:hAnsi="ITC Avant Garde"/>
          <w:color w:val="000000" w:themeColor="text1"/>
          <w:sz w:val="18"/>
          <w:szCs w:val="18"/>
        </w:rPr>
        <w:t xml:space="preserve"> en el mismo edificio de Telmex (Interconexión Cruzada), esto a través de:</w:t>
      </w:r>
    </w:p>
    <w:p w14:paraId="493912B5" w14:textId="77777777" w:rsidR="000F0B9F" w:rsidRPr="008762D1" w:rsidRDefault="005B25E5"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579A3866" w14:textId="50CFA6A6" w:rsidR="005B25E5" w:rsidRPr="008762D1" w:rsidRDefault="005B25E5"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Los parámetros de calidad de los enlaces de transmisión no gestionados se especifican en el Anexo E, mientras que los enlaces gestionados se sujetan a lo establecido en el Anexo G.</w:t>
      </w:r>
    </w:p>
    <w:p w14:paraId="527291E5" w14:textId="77777777" w:rsidR="005B25E5" w:rsidRPr="008762D1" w:rsidRDefault="005B25E5"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78029581" w14:textId="77777777" w:rsidR="000F0B9F" w:rsidRPr="008762D1" w:rsidRDefault="005B25E5"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0FE17703" w14:textId="77777777" w:rsidR="000F0B9F" w:rsidRPr="008762D1" w:rsidRDefault="005B25E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Asimismo, </w:t>
      </w:r>
      <w:r w:rsidR="007E6D12" w:rsidRPr="008762D1">
        <w:rPr>
          <w:rFonts w:ascii="ITC Avant Garde" w:hAnsi="ITC Avant Garde"/>
          <w:color w:val="000000" w:themeColor="text1"/>
        </w:rPr>
        <w:t>se modificó</w:t>
      </w:r>
      <w:r w:rsidR="00D31887" w:rsidRPr="008762D1">
        <w:rPr>
          <w:rFonts w:ascii="ITC Avant Garde" w:hAnsi="ITC Avant Garde"/>
          <w:color w:val="000000" w:themeColor="text1"/>
        </w:rPr>
        <w:t xml:space="preserve"> el</w:t>
      </w:r>
      <w:r w:rsidR="001468AF" w:rsidRPr="008762D1">
        <w:rPr>
          <w:rFonts w:ascii="ITC Avant Garde" w:hAnsi="ITC Avant Garde"/>
          <w:color w:val="000000" w:themeColor="text1"/>
        </w:rPr>
        <w:t xml:space="preserve"> Anexo E “Calidad” a efecto de </w:t>
      </w:r>
      <w:r w:rsidR="002B7126" w:rsidRPr="008762D1">
        <w:rPr>
          <w:rFonts w:ascii="ITC Avant Garde" w:hAnsi="ITC Avant Garde"/>
          <w:color w:val="000000" w:themeColor="text1"/>
        </w:rPr>
        <w:t>señalar</w:t>
      </w:r>
      <w:r w:rsidR="001468AF" w:rsidRPr="008762D1">
        <w:rPr>
          <w:rFonts w:ascii="ITC Avant Garde" w:hAnsi="ITC Avant Garde"/>
          <w:color w:val="000000" w:themeColor="text1"/>
        </w:rPr>
        <w:t xml:space="preserve"> </w:t>
      </w:r>
      <w:r w:rsidR="002B7126" w:rsidRPr="008762D1">
        <w:rPr>
          <w:rFonts w:ascii="ITC Avant Garde" w:hAnsi="ITC Avant Garde"/>
          <w:color w:val="000000" w:themeColor="text1"/>
        </w:rPr>
        <w:t xml:space="preserve">el plazo para la prestación del servicio </w:t>
      </w:r>
      <w:r w:rsidR="00D31887" w:rsidRPr="008762D1">
        <w:rPr>
          <w:rFonts w:ascii="ITC Avant Garde" w:hAnsi="ITC Avant Garde"/>
          <w:color w:val="000000" w:themeColor="text1"/>
        </w:rPr>
        <w:t>de enlaces de transmisión no gestionado</w:t>
      </w:r>
      <w:r w:rsidR="007E6D12" w:rsidRPr="008762D1">
        <w:rPr>
          <w:rFonts w:ascii="ITC Avant Garde" w:hAnsi="ITC Avant Garde"/>
          <w:color w:val="000000" w:themeColor="text1"/>
        </w:rPr>
        <w:t>s</w:t>
      </w:r>
      <w:r w:rsidR="002B7126" w:rsidRPr="008762D1">
        <w:rPr>
          <w:rFonts w:ascii="ITC Avant Garde" w:hAnsi="ITC Avant Garde"/>
          <w:color w:val="000000" w:themeColor="text1"/>
        </w:rPr>
        <w:t>:</w:t>
      </w:r>
    </w:p>
    <w:p w14:paraId="42E30328" w14:textId="162E78EA" w:rsidR="005A7146" w:rsidRPr="008762D1" w:rsidRDefault="005A7146" w:rsidP="000F0B9F">
      <w:pPr>
        <w:pStyle w:val="Textosinformato"/>
        <w:spacing w:before="240"/>
        <w:ind w:left="567" w:right="567"/>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Tabla 3</w:t>
      </w:r>
    </w:p>
    <w:tbl>
      <w:tblPr>
        <w:tblStyle w:val="Cuadrculadetablaclara"/>
        <w:tblW w:w="0" w:type="auto"/>
        <w:jc w:val="center"/>
        <w:tblLook w:val="01E0" w:firstRow="1" w:lastRow="1" w:firstColumn="1" w:lastColumn="1" w:noHBand="0" w:noVBand="0"/>
        <w:tblCaption w:val="Tabla"/>
        <w:tblDescription w:val="Anexo E “Calidad&quot;"/>
      </w:tblPr>
      <w:tblGrid>
        <w:gridCol w:w="3260"/>
        <w:gridCol w:w="1843"/>
        <w:gridCol w:w="1985"/>
      </w:tblGrid>
      <w:tr w:rsidR="008762D1" w:rsidRPr="008762D1" w14:paraId="1B7636C7" w14:textId="77777777" w:rsidTr="00C4264A">
        <w:trPr>
          <w:tblHeader/>
          <w:jc w:val="center"/>
        </w:trPr>
        <w:tc>
          <w:tcPr>
            <w:tcW w:w="3260" w:type="dxa"/>
          </w:tcPr>
          <w:p w14:paraId="17D99CCA" w14:textId="77777777" w:rsidR="005A7146" w:rsidRPr="008762D1" w:rsidRDefault="005A7146" w:rsidP="000F0B9F">
            <w:pPr>
              <w:pStyle w:val="Textosinformato"/>
              <w:tabs>
                <w:tab w:val="left" w:pos="2100"/>
              </w:tabs>
              <w:ind w:left="34" w:right="26"/>
              <w:jc w:val="both"/>
              <w:rPr>
                <w:rFonts w:ascii="ITC Avant Garde" w:hAnsi="ITC Avant Garde" w:cs="Arial"/>
                <w:color w:val="000000" w:themeColor="text1"/>
                <w:sz w:val="18"/>
                <w:szCs w:val="18"/>
              </w:rPr>
            </w:pPr>
          </w:p>
        </w:tc>
        <w:tc>
          <w:tcPr>
            <w:tcW w:w="1843" w:type="dxa"/>
          </w:tcPr>
          <w:p w14:paraId="1260B1C0" w14:textId="77777777" w:rsidR="005A7146" w:rsidRPr="008762D1" w:rsidRDefault="005A7146" w:rsidP="000F0B9F">
            <w:pPr>
              <w:pStyle w:val="Textosinformato"/>
              <w:ind w:right="7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Facilidad nueva</w:t>
            </w:r>
          </w:p>
          <w:p w14:paraId="228FC75A" w14:textId="77777777" w:rsidR="005A7146" w:rsidRPr="008762D1" w:rsidRDefault="005A7146" w:rsidP="000F0B9F">
            <w:pPr>
              <w:pStyle w:val="Textosinformato"/>
              <w:ind w:right="7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(Días hábiles)</w:t>
            </w:r>
          </w:p>
        </w:tc>
        <w:tc>
          <w:tcPr>
            <w:tcW w:w="1985" w:type="dxa"/>
          </w:tcPr>
          <w:p w14:paraId="00DF8ECE" w14:textId="77777777" w:rsidR="005A7146" w:rsidRPr="008762D1" w:rsidRDefault="005A7146" w:rsidP="000F0B9F">
            <w:pPr>
              <w:pStyle w:val="Textosinformato"/>
              <w:ind w:left="40" w:right="29"/>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Facilidad existente (ampliación días hábiles)</w:t>
            </w:r>
          </w:p>
        </w:tc>
      </w:tr>
      <w:tr w:rsidR="008762D1" w:rsidRPr="008762D1" w14:paraId="667E447B" w14:textId="77777777" w:rsidTr="00C4264A">
        <w:trPr>
          <w:jc w:val="center"/>
        </w:trPr>
        <w:tc>
          <w:tcPr>
            <w:tcW w:w="3260" w:type="dxa"/>
          </w:tcPr>
          <w:p w14:paraId="21201DC7" w14:textId="77777777" w:rsidR="005A7146" w:rsidRPr="008762D1" w:rsidRDefault="005A7146" w:rsidP="000F0B9F">
            <w:pPr>
              <w:pStyle w:val="Textosinformato"/>
              <w:tabs>
                <w:tab w:val="left" w:pos="2100"/>
              </w:tabs>
              <w:ind w:left="34" w:right="26"/>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Señalización (PAUSI-MX)</w:t>
            </w:r>
          </w:p>
        </w:tc>
        <w:tc>
          <w:tcPr>
            <w:tcW w:w="1843" w:type="dxa"/>
          </w:tcPr>
          <w:p w14:paraId="68232415" w14:textId="77777777" w:rsidR="005A7146" w:rsidRPr="008762D1" w:rsidRDefault="005A7146" w:rsidP="000F0B9F">
            <w:pPr>
              <w:pStyle w:val="Textosinformato"/>
              <w:ind w:right="7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985" w:type="dxa"/>
          </w:tcPr>
          <w:p w14:paraId="272C3872" w14:textId="77777777" w:rsidR="005A7146" w:rsidRPr="008762D1" w:rsidRDefault="005A7146" w:rsidP="000F0B9F">
            <w:pPr>
              <w:pStyle w:val="Textosinformato"/>
              <w:ind w:right="29"/>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7</w:t>
            </w:r>
          </w:p>
        </w:tc>
      </w:tr>
      <w:tr w:rsidR="008762D1" w:rsidRPr="008762D1" w14:paraId="4778811C" w14:textId="77777777" w:rsidTr="00C4264A">
        <w:trPr>
          <w:jc w:val="center"/>
        </w:trPr>
        <w:tc>
          <w:tcPr>
            <w:tcW w:w="3260" w:type="dxa"/>
          </w:tcPr>
          <w:p w14:paraId="1515FF13" w14:textId="77777777" w:rsidR="005A7146" w:rsidRPr="008762D1" w:rsidRDefault="005A7146" w:rsidP="000F0B9F">
            <w:pPr>
              <w:pStyle w:val="Textosinformato"/>
              <w:tabs>
                <w:tab w:val="left" w:pos="2100"/>
              </w:tabs>
              <w:ind w:left="34" w:right="26"/>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Señalización IP</w:t>
            </w:r>
          </w:p>
        </w:tc>
        <w:tc>
          <w:tcPr>
            <w:tcW w:w="1843" w:type="dxa"/>
          </w:tcPr>
          <w:p w14:paraId="07E72DF5" w14:textId="77777777" w:rsidR="005A7146" w:rsidRPr="008762D1" w:rsidRDefault="005A7146" w:rsidP="000F0B9F">
            <w:pPr>
              <w:pStyle w:val="Textosinformato"/>
              <w:ind w:right="7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985" w:type="dxa"/>
          </w:tcPr>
          <w:p w14:paraId="4ADAD05E" w14:textId="77777777" w:rsidR="005A7146" w:rsidRPr="008762D1" w:rsidRDefault="005A7146" w:rsidP="000F0B9F">
            <w:pPr>
              <w:pStyle w:val="Textosinformato"/>
              <w:ind w:right="29"/>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7</w:t>
            </w:r>
          </w:p>
        </w:tc>
      </w:tr>
      <w:tr w:rsidR="008762D1" w:rsidRPr="008762D1" w14:paraId="0EC035C9" w14:textId="77777777" w:rsidTr="00C4264A">
        <w:trPr>
          <w:jc w:val="center"/>
        </w:trPr>
        <w:tc>
          <w:tcPr>
            <w:tcW w:w="3260" w:type="dxa"/>
          </w:tcPr>
          <w:p w14:paraId="74FDFCA4" w14:textId="77777777" w:rsidR="005A7146" w:rsidRPr="008762D1" w:rsidRDefault="005A7146" w:rsidP="000F0B9F">
            <w:pPr>
              <w:pStyle w:val="Textosinformato"/>
              <w:tabs>
                <w:tab w:val="left" w:pos="2100"/>
              </w:tabs>
              <w:ind w:left="34" w:right="26"/>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Acceso</w:t>
            </w:r>
          </w:p>
        </w:tc>
        <w:tc>
          <w:tcPr>
            <w:tcW w:w="1843" w:type="dxa"/>
          </w:tcPr>
          <w:p w14:paraId="4ED207E1" w14:textId="77777777" w:rsidR="005A7146" w:rsidRPr="008762D1" w:rsidRDefault="005A7146" w:rsidP="000F0B9F">
            <w:pPr>
              <w:pStyle w:val="Textosinformato"/>
              <w:ind w:right="7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985" w:type="dxa"/>
          </w:tcPr>
          <w:p w14:paraId="6A851695" w14:textId="77777777" w:rsidR="005A7146" w:rsidRPr="008762D1" w:rsidRDefault="005A7146" w:rsidP="000F0B9F">
            <w:pPr>
              <w:pStyle w:val="Textosinformato"/>
              <w:ind w:right="29"/>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7</w:t>
            </w:r>
          </w:p>
        </w:tc>
      </w:tr>
      <w:tr w:rsidR="008762D1" w:rsidRPr="008762D1" w14:paraId="1C373182" w14:textId="77777777" w:rsidTr="00C4264A">
        <w:trPr>
          <w:jc w:val="center"/>
        </w:trPr>
        <w:tc>
          <w:tcPr>
            <w:tcW w:w="3260" w:type="dxa"/>
          </w:tcPr>
          <w:p w14:paraId="7EDC29D2" w14:textId="77777777" w:rsidR="005A7146" w:rsidRPr="008762D1" w:rsidRDefault="005A7146" w:rsidP="000F0B9F">
            <w:pPr>
              <w:pStyle w:val="Textosinformato"/>
              <w:tabs>
                <w:tab w:val="left" w:pos="2100"/>
              </w:tabs>
              <w:ind w:left="34" w:right="26"/>
              <w:jc w:val="both"/>
              <w:rPr>
                <w:rFonts w:ascii="ITC Avant Garde" w:hAnsi="ITC Avant Garde" w:cs="Arial"/>
                <w:color w:val="000000" w:themeColor="text1"/>
                <w:sz w:val="18"/>
                <w:szCs w:val="18"/>
              </w:rPr>
            </w:pPr>
            <w:proofErr w:type="spellStart"/>
            <w:r w:rsidRPr="008762D1">
              <w:rPr>
                <w:rFonts w:ascii="ITC Avant Garde" w:hAnsi="ITC Avant Garde" w:cs="Arial"/>
                <w:color w:val="000000" w:themeColor="text1"/>
                <w:sz w:val="18"/>
                <w:szCs w:val="18"/>
              </w:rPr>
              <w:t>Coubicación</w:t>
            </w:r>
            <w:proofErr w:type="spellEnd"/>
          </w:p>
        </w:tc>
        <w:tc>
          <w:tcPr>
            <w:tcW w:w="1843" w:type="dxa"/>
          </w:tcPr>
          <w:p w14:paraId="5F3D5A45" w14:textId="77777777" w:rsidR="005A7146" w:rsidRPr="008762D1" w:rsidRDefault="005A7146" w:rsidP="000F0B9F">
            <w:pPr>
              <w:pStyle w:val="Textosinformato"/>
              <w:ind w:right="7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985" w:type="dxa"/>
          </w:tcPr>
          <w:p w14:paraId="4FBCE201" w14:textId="77777777" w:rsidR="005A7146" w:rsidRPr="008762D1" w:rsidRDefault="005A7146" w:rsidP="000F0B9F">
            <w:pPr>
              <w:pStyle w:val="Textosinformato"/>
              <w:ind w:right="29"/>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No aplica</w:t>
            </w:r>
          </w:p>
        </w:tc>
      </w:tr>
      <w:tr w:rsidR="008762D1" w:rsidRPr="008762D1" w14:paraId="22C142E9" w14:textId="77777777" w:rsidTr="00C4264A">
        <w:trPr>
          <w:jc w:val="center"/>
        </w:trPr>
        <w:tc>
          <w:tcPr>
            <w:tcW w:w="3260" w:type="dxa"/>
          </w:tcPr>
          <w:p w14:paraId="0C730658" w14:textId="77777777" w:rsidR="005A7146" w:rsidRPr="008762D1" w:rsidRDefault="005A7146" w:rsidP="000F0B9F">
            <w:pPr>
              <w:pStyle w:val="Textosinformato"/>
              <w:tabs>
                <w:tab w:val="left" w:pos="2100"/>
              </w:tabs>
              <w:ind w:left="34" w:right="26"/>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Facturación</w:t>
            </w:r>
          </w:p>
        </w:tc>
        <w:tc>
          <w:tcPr>
            <w:tcW w:w="1843" w:type="dxa"/>
          </w:tcPr>
          <w:p w14:paraId="33C727B3" w14:textId="77777777" w:rsidR="005A7146" w:rsidRPr="008762D1" w:rsidRDefault="005A7146" w:rsidP="000F0B9F">
            <w:pPr>
              <w:pStyle w:val="Textosinformato"/>
              <w:ind w:right="7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985" w:type="dxa"/>
          </w:tcPr>
          <w:p w14:paraId="7A4ACDAC" w14:textId="77777777" w:rsidR="005A7146" w:rsidRPr="008762D1" w:rsidRDefault="005A7146" w:rsidP="000F0B9F">
            <w:pPr>
              <w:pStyle w:val="Textosinformato"/>
              <w:ind w:right="29"/>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10</w:t>
            </w:r>
          </w:p>
        </w:tc>
      </w:tr>
      <w:tr w:rsidR="008762D1" w:rsidRPr="008762D1" w14:paraId="325BAA66" w14:textId="77777777" w:rsidTr="00C4264A">
        <w:trPr>
          <w:jc w:val="center"/>
        </w:trPr>
        <w:tc>
          <w:tcPr>
            <w:tcW w:w="3260" w:type="dxa"/>
          </w:tcPr>
          <w:p w14:paraId="6B30AF32" w14:textId="77777777" w:rsidR="005A7146" w:rsidRPr="008762D1" w:rsidRDefault="005A7146" w:rsidP="000F0B9F">
            <w:pPr>
              <w:pStyle w:val="Textosinformato"/>
              <w:tabs>
                <w:tab w:val="left" w:pos="2100"/>
              </w:tabs>
              <w:ind w:left="34" w:right="26"/>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Tránsito</w:t>
            </w:r>
          </w:p>
        </w:tc>
        <w:tc>
          <w:tcPr>
            <w:tcW w:w="1843" w:type="dxa"/>
          </w:tcPr>
          <w:p w14:paraId="45BE071A" w14:textId="77777777" w:rsidR="005A7146" w:rsidRPr="008762D1" w:rsidRDefault="005A7146" w:rsidP="000F0B9F">
            <w:pPr>
              <w:pStyle w:val="Textosinformato"/>
              <w:ind w:right="7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7</w:t>
            </w:r>
          </w:p>
        </w:tc>
        <w:tc>
          <w:tcPr>
            <w:tcW w:w="1985" w:type="dxa"/>
          </w:tcPr>
          <w:p w14:paraId="262346B1" w14:textId="77777777" w:rsidR="005A7146" w:rsidRPr="008762D1" w:rsidDel="001B4B67" w:rsidRDefault="005A7146" w:rsidP="000F0B9F">
            <w:pPr>
              <w:pStyle w:val="Textosinformato"/>
              <w:ind w:right="29"/>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3</w:t>
            </w:r>
          </w:p>
        </w:tc>
      </w:tr>
      <w:tr w:rsidR="008762D1" w:rsidRPr="008762D1" w14:paraId="0A06D695" w14:textId="77777777" w:rsidTr="00C4264A">
        <w:trPr>
          <w:jc w:val="center"/>
        </w:trPr>
        <w:tc>
          <w:tcPr>
            <w:tcW w:w="3260" w:type="dxa"/>
          </w:tcPr>
          <w:p w14:paraId="01A4EA71" w14:textId="77777777" w:rsidR="005A7146" w:rsidRPr="008762D1" w:rsidRDefault="005A7146" w:rsidP="000F0B9F">
            <w:pPr>
              <w:pStyle w:val="Textosinformato"/>
              <w:tabs>
                <w:tab w:val="left" w:pos="2100"/>
              </w:tabs>
              <w:ind w:left="34" w:right="26"/>
              <w:jc w:val="both"/>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 xml:space="preserve">Enlace de Transmisión entre </w:t>
            </w:r>
            <w:proofErr w:type="spellStart"/>
            <w:r w:rsidRPr="008762D1">
              <w:rPr>
                <w:rFonts w:ascii="ITC Avant Garde" w:hAnsi="ITC Avant Garde" w:cs="Arial"/>
                <w:color w:val="000000" w:themeColor="text1"/>
                <w:sz w:val="18"/>
                <w:szCs w:val="18"/>
                <w:u w:val="single"/>
              </w:rPr>
              <w:t>coubicaciones</w:t>
            </w:r>
            <w:proofErr w:type="spellEnd"/>
            <w:r w:rsidRPr="008762D1">
              <w:rPr>
                <w:rFonts w:ascii="ITC Avant Garde" w:hAnsi="ITC Avant Garde" w:cs="Arial"/>
                <w:color w:val="000000" w:themeColor="text1"/>
                <w:sz w:val="18"/>
                <w:szCs w:val="18"/>
                <w:u w:val="single"/>
              </w:rPr>
              <w:t xml:space="preserve"> no gestionado</w:t>
            </w:r>
          </w:p>
        </w:tc>
        <w:tc>
          <w:tcPr>
            <w:tcW w:w="1843" w:type="dxa"/>
          </w:tcPr>
          <w:p w14:paraId="2EC2AD4B" w14:textId="77777777" w:rsidR="005A7146" w:rsidRPr="008762D1" w:rsidDel="001B4B67" w:rsidRDefault="005A7146" w:rsidP="000F0B9F">
            <w:pPr>
              <w:pStyle w:val="Textosinformato"/>
              <w:ind w:right="70"/>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15</w:t>
            </w:r>
          </w:p>
        </w:tc>
        <w:tc>
          <w:tcPr>
            <w:tcW w:w="1985" w:type="dxa"/>
          </w:tcPr>
          <w:p w14:paraId="7D7EF195" w14:textId="77777777" w:rsidR="005A7146" w:rsidRPr="008762D1" w:rsidRDefault="005A7146" w:rsidP="000F0B9F">
            <w:pPr>
              <w:pStyle w:val="Textosinformato"/>
              <w:ind w:right="29"/>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No aplica</w:t>
            </w:r>
          </w:p>
        </w:tc>
      </w:tr>
    </w:tbl>
    <w:p w14:paraId="18F02388" w14:textId="77777777" w:rsidR="000F0B9F" w:rsidRPr="008762D1" w:rsidRDefault="005A7146" w:rsidP="000F0B9F">
      <w:pPr>
        <w:spacing w:before="240" w:after="0" w:line="276" w:lineRule="auto"/>
        <w:ind w:right="567"/>
        <w:jc w:val="right"/>
        <w:rPr>
          <w:rFonts w:ascii="ITC Avant Garde" w:eastAsia="Times New Roman" w:hAnsi="ITC Avant Garde" w:cs="Arial"/>
          <w:iCs/>
          <w:color w:val="000000" w:themeColor="text1"/>
          <w:sz w:val="18"/>
          <w:szCs w:val="18"/>
        </w:rPr>
      </w:pPr>
      <w:r w:rsidRPr="008762D1">
        <w:rPr>
          <w:rFonts w:ascii="ITC Avant Garde" w:eastAsia="Times New Roman" w:hAnsi="ITC Avant Garde" w:cs="Arial"/>
          <w:iCs/>
          <w:color w:val="000000" w:themeColor="text1"/>
          <w:sz w:val="18"/>
          <w:szCs w:val="18"/>
        </w:rPr>
        <w:t>Énfasis añadido</w:t>
      </w:r>
    </w:p>
    <w:p w14:paraId="6C38E6BE" w14:textId="579F64F0" w:rsidR="00CB2BBC" w:rsidRPr="008762D1" w:rsidRDefault="00CB2BB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5B70848E" w14:textId="77777777" w:rsidR="000F0B9F" w:rsidRPr="008762D1" w:rsidRDefault="00BA0E8D" w:rsidP="000F0B9F">
      <w:pPr>
        <w:spacing w:before="240" w:after="0" w:line="276" w:lineRule="auto"/>
        <w:jc w:val="both"/>
        <w:rPr>
          <w:rFonts w:ascii="ITC Avant Garde" w:hAnsi="ITC Avant Garde" w:cs="Arial"/>
          <w:color w:val="000000" w:themeColor="text1"/>
        </w:rPr>
      </w:pPr>
      <w:r w:rsidRPr="008762D1">
        <w:rPr>
          <w:rFonts w:ascii="ITC Avant Garde" w:eastAsia="Times New Roman" w:hAnsi="ITC Avant Garde" w:cs="Arial"/>
          <w:iCs/>
          <w:color w:val="000000" w:themeColor="text1"/>
        </w:rPr>
        <w:t xml:space="preserve">Telmex presentó el </w:t>
      </w:r>
      <w:r w:rsidRPr="008762D1">
        <w:rPr>
          <w:rFonts w:ascii="ITC Avant Garde" w:hAnsi="ITC Avant Garde" w:cs="Arial"/>
          <w:color w:val="000000" w:themeColor="text1"/>
        </w:rPr>
        <w:t xml:space="preserve">numeral </w:t>
      </w:r>
      <w:r w:rsidR="000871EB" w:rsidRPr="008762D1">
        <w:rPr>
          <w:rFonts w:ascii="ITC Avant Garde" w:hAnsi="ITC Avant Garde" w:cs="Arial"/>
          <w:color w:val="000000" w:themeColor="text1"/>
        </w:rPr>
        <w:t>5.3</w:t>
      </w:r>
      <w:r w:rsidRPr="008762D1">
        <w:rPr>
          <w:rFonts w:ascii="ITC Avant Garde" w:hAnsi="ITC Avant Garde" w:cs="Arial"/>
          <w:color w:val="000000" w:themeColor="text1"/>
        </w:rPr>
        <w:t xml:space="preserve"> de la Cláusula Quinta </w:t>
      </w:r>
      <w:r w:rsidR="00560428" w:rsidRPr="008762D1">
        <w:rPr>
          <w:rFonts w:ascii="ITC Avant Garde" w:hAnsi="ITC Avant Garde" w:cs="Arial"/>
          <w:color w:val="000000" w:themeColor="text1"/>
        </w:rPr>
        <w:t xml:space="preserve">y el Anexo E Calidad </w:t>
      </w:r>
      <w:r w:rsidRPr="008762D1">
        <w:rPr>
          <w:rFonts w:ascii="ITC Avant Garde" w:hAnsi="ITC Avant Garde" w:cs="Arial"/>
          <w:color w:val="000000" w:themeColor="text1"/>
        </w:rPr>
        <w:t>en los términos señalados en el Acuerdo.</w:t>
      </w:r>
    </w:p>
    <w:p w14:paraId="7DCDB5DC" w14:textId="4F8FD1CD" w:rsidR="00CB2BBC" w:rsidRPr="008762D1" w:rsidRDefault="00CB2BB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4AA51752" w14:textId="77777777" w:rsidR="000F0B9F" w:rsidRPr="008762D1" w:rsidRDefault="00846DBF"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Al respecto se señala que el numeral 5.3 de la Cláusula Quinta y el Anexo E Calidad establecen los términos y condiciones para la prestación del servicio de enlace de transmisión no gestionado, lo cual proporciona certeza a los CS respecto a la prestación de dicho servicio y, adicionalmente da cumplimiento a lo establecido en la Medida Duodécima de las Medidas Fijas respecto a que en el Convenio Marco de Interconexión se deberán incluir las obligaciones, condiciones, especificaciones y procesos para la debida prestación de los servicios incluidos en dicho CMI. </w:t>
      </w:r>
      <w:r w:rsidR="001C3C97" w:rsidRPr="008762D1">
        <w:rPr>
          <w:rFonts w:ascii="ITC Avant Garde" w:eastAsia="Times New Roman" w:hAnsi="ITC Avant Garde" w:cs="Arial"/>
          <w:iCs/>
          <w:color w:val="000000" w:themeColor="text1"/>
        </w:rPr>
        <w:t xml:space="preserve">En virtud de análisis antes mencionado, </w:t>
      </w:r>
      <w:r w:rsidR="001C3C97" w:rsidRPr="008762D1">
        <w:rPr>
          <w:rFonts w:ascii="ITC Avant Garde" w:hAnsi="ITC Avant Garde"/>
          <w:color w:val="000000" w:themeColor="text1"/>
        </w:rPr>
        <w:t>y toda vez que Telmex no realizó manifestaciones sobre la modificación realizada por el Instituto,</w:t>
      </w:r>
      <w:r w:rsidRPr="008762D1">
        <w:rPr>
          <w:rFonts w:ascii="ITC Avant Garde" w:eastAsia="Times New Roman" w:hAnsi="ITC Avant Garde" w:cs="Arial"/>
          <w:iCs/>
          <w:color w:val="000000" w:themeColor="text1"/>
        </w:rPr>
        <w:t xml:space="preserve"> se considera procedente la </w:t>
      </w:r>
      <w:r w:rsidR="00F46711" w:rsidRPr="008762D1">
        <w:rPr>
          <w:rFonts w:ascii="ITC Avant Garde" w:eastAsia="Times New Roman" w:hAnsi="ITC Avant Garde" w:cs="Arial"/>
          <w:iCs/>
          <w:color w:val="000000" w:themeColor="text1"/>
        </w:rPr>
        <w:t xml:space="preserve">aprobación </w:t>
      </w:r>
      <w:r w:rsidRPr="008762D1">
        <w:rPr>
          <w:rFonts w:ascii="ITC Avant Garde" w:eastAsia="Times New Roman" w:hAnsi="ITC Avant Garde" w:cs="Arial"/>
          <w:iCs/>
          <w:color w:val="000000" w:themeColor="text1"/>
        </w:rPr>
        <w:t xml:space="preserve">del numeral 5.3 de la Cláusula Quinta y el Anexo E Calidad, en los términos </w:t>
      </w:r>
      <w:r w:rsidR="00B642A0" w:rsidRPr="008762D1">
        <w:rPr>
          <w:rFonts w:ascii="ITC Avant Garde" w:eastAsia="Times New Roman" w:hAnsi="ITC Avant Garde" w:cs="Arial"/>
          <w:iCs/>
          <w:color w:val="000000" w:themeColor="text1"/>
        </w:rPr>
        <w:t xml:space="preserve">anteriormente </w:t>
      </w:r>
      <w:r w:rsidRPr="008762D1">
        <w:rPr>
          <w:rFonts w:ascii="ITC Avant Garde" w:eastAsia="Times New Roman" w:hAnsi="ITC Avant Garde" w:cs="Arial"/>
          <w:iCs/>
          <w:color w:val="000000" w:themeColor="text1"/>
        </w:rPr>
        <w:t>señalados.</w:t>
      </w:r>
    </w:p>
    <w:p w14:paraId="6C6052D6" w14:textId="573941FB" w:rsidR="000F0B9F" w:rsidRPr="008762D1" w:rsidRDefault="002A5567" w:rsidP="000F0B9F">
      <w:pPr>
        <w:pStyle w:val="IFT1"/>
        <w:numPr>
          <w:ilvl w:val="2"/>
          <w:numId w:val="9"/>
        </w:numPr>
        <w:spacing w:before="240" w:after="0"/>
        <w:ind w:left="567" w:hanging="567"/>
        <w:rPr>
          <w:rFonts w:cs="Arial"/>
          <w:b/>
          <w:color w:val="000000" w:themeColor="text1"/>
        </w:rPr>
      </w:pPr>
      <w:r w:rsidRPr="008762D1">
        <w:rPr>
          <w:rFonts w:cs="Arial"/>
          <w:b/>
          <w:color w:val="000000" w:themeColor="text1"/>
        </w:rPr>
        <w:t>ENLACES DEDICADOS DE INTERCONEXIÓN</w:t>
      </w:r>
      <w:r w:rsidR="00EF3481" w:rsidRPr="008762D1">
        <w:rPr>
          <w:rFonts w:cs="Arial"/>
          <w:b/>
          <w:color w:val="000000" w:themeColor="text1"/>
        </w:rPr>
        <w:t>.</w:t>
      </w:r>
    </w:p>
    <w:p w14:paraId="65E9BA18" w14:textId="18A4265C" w:rsidR="002E7472"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0D7D01E0" w14:textId="77777777" w:rsidR="000F0B9F" w:rsidRPr="008762D1" w:rsidRDefault="0027109A"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Del análisis de la Cláusula 5.5 d</w:t>
      </w:r>
      <w:r w:rsidR="00E12AE0" w:rsidRPr="008762D1">
        <w:rPr>
          <w:rFonts w:ascii="ITC Avant Garde" w:eastAsia="Times New Roman" w:hAnsi="ITC Avant Garde" w:cs="Arial"/>
          <w:iCs/>
          <w:color w:val="000000" w:themeColor="text1"/>
        </w:rPr>
        <w:t>e la Propuesta de CMI se observó</w:t>
      </w:r>
      <w:r w:rsidRPr="008762D1">
        <w:rPr>
          <w:rFonts w:ascii="ITC Avant Garde" w:eastAsia="Times New Roman" w:hAnsi="ITC Avant Garde" w:cs="Arial"/>
          <w:iCs/>
          <w:color w:val="000000" w:themeColor="text1"/>
        </w:rPr>
        <w:t xml:space="preserve"> que la misma no se apega</w:t>
      </w:r>
      <w:r w:rsidR="00E12AE0" w:rsidRPr="008762D1">
        <w:rPr>
          <w:rFonts w:ascii="ITC Avant Garde" w:eastAsia="Times New Roman" w:hAnsi="ITC Avant Garde" w:cs="Arial"/>
          <w:iCs/>
          <w:color w:val="000000" w:themeColor="text1"/>
        </w:rPr>
        <w:t>ba</w:t>
      </w:r>
      <w:r w:rsidRPr="008762D1">
        <w:rPr>
          <w:rFonts w:ascii="ITC Avant Garde" w:hAnsi="ITC Avant Garde" w:cs="Arial"/>
          <w:color w:val="000000" w:themeColor="text1"/>
        </w:rPr>
        <w:t xml:space="preserve"> al marco regulatorio vigente 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E12AE0"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marco de interconexión</w:t>
      </w:r>
      <w:r w:rsidR="00E12AE0" w:rsidRPr="008762D1">
        <w:rPr>
          <w:rFonts w:ascii="ITC Avant Garde" w:hAnsi="ITC Avant Garde"/>
          <w:bCs/>
          <w:color w:val="000000" w:themeColor="text1"/>
        </w:rPr>
        <w:t xml:space="preserve"> se plantearan</w:t>
      </w:r>
      <w:r w:rsidRPr="008762D1">
        <w:rPr>
          <w:rFonts w:ascii="ITC Avant Garde" w:hAnsi="ITC Avant Garde"/>
          <w:bCs/>
          <w:color w:val="000000" w:themeColor="text1"/>
        </w:rPr>
        <w:t xml:space="preserve"> términos y condiciones menos favorables que los ya autorizados por el Instituto.</w:t>
      </w:r>
    </w:p>
    <w:p w14:paraId="776D2B95" w14:textId="77777777" w:rsidR="000F0B9F" w:rsidRPr="008762D1" w:rsidRDefault="0027109A"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lastRenderedPageBreak/>
        <w:t>Lo anterior, dado que e</w:t>
      </w:r>
      <w:r w:rsidR="00534373" w:rsidRPr="008762D1">
        <w:rPr>
          <w:rFonts w:ascii="ITC Avant Garde" w:hAnsi="ITC Avant Garde" w:cs="Arial"/>
          <w:color w:val="000000" w:themeColor="text1"/>
          <w:lang w:eastAsia="es-MX"/>
        </w:rPr>
        <w:t xml:space="preserve">n </w:t>
      </w:r>
      <w:r w:rsidR="002A5567" w:rsidRPr="008762D1">
        <w:rPr>
          <w:rFonts w:ascii="ITC Avant Garde" w:hAnsi="ITC Avant Garde" w:cs="Arial"/>
          <w:color w:val="000000" w:themeColor="text1"/>
          <w:lang w:eastAsia="es-MX"/>
        </w:rPr>
        <w:t>la Cláusula 5.5</w:t>
      </w:r>
      <w:r w:rsidR="002A28DC" w:rsidRPr="008762D1">
        <w:rPr>
          <w:rFonts w:ascii="ITC Avant Garde" w:hAnsi="ITC Avant Garde" w:cs="Arial"/>
          <w:color w:val="000000" w:themeColor="text1"/>
          <w:lang w:eastAsia="es-MX"/>
        </w:rPr>
        <w:t xml:space="preserve"> Telmex </w:t>
      </w:r>
      <w:r w:rsidR="00534373" w:rsidRPr="008762D1">
        <w:rPr>
          <w:rFonts w:ascii="ITC Avant Garde" w:hAnsi="ITC Avant Garde" w:cs="Arial"/>
          <w:color w:val="000000" w:themeColor="text1"/>
          <w:lang w:eastAsia="es-MX"/>
        </w:rPr>
        <w:t>señal</w:t>
      </w:r>
      <w:r w:rsidR="002A28DC" w:rsidRPr="008762D1">
        <w:rPr>
          <w:rFonts w:ascii="ITC Avant Garde" w:hAnsi="ITC Avant Garde" w:cs="Arial"/>
          <w:color w:val="000000" w:themeColor="text1"/>
          <w:lang w:eastAsia="es-MX"/>
        </w:rPr>
        <w:t>ó</w:t>
      </w:r>
      <w:r w:rsidR="002A5567" w:rsidRPr="008762D1">
        <w:rPr>
          <w:rFonts w:ascii="ITC Avant Garde" w:hAnsi="ITC Avant Garde" w:cs="Arial"/>
          <w:color w:val="000000" w:themeColor="text1"/>
          <w:lang w:eastAsia="es-MX"/>
        </w:rPr>
        <w:t xml:space="preserve"> que </w:t>
      </w:r>
      <w:r w:rsidR="00D565FF" w:rsidRPr="008762D1">
        <w:rPr>
          <w:rFonts w:ascii="ITC Avant Garde" w:hAnsi="ITC Avant Garde" w:cs="Arial"/>
          <w:color w:val="000000" w:themeColor="text1"/>
          <w:lang w:eastAsia="es-MX"/>
        </w:rPr>
        <w:t>únicamente deberá</w:t>
      </w:r>
      <w:r w:rsidR="002A5567" w:rsidRPr="008762D1">
        <w:rPr>
          <w:rFonts w:ascii="ITC Avant Garde" w:hAnsi="ITC Avant Garde" w:cs="Arial"/>
          <w:color w:val="000000" w:themeColor="text1"/>
          <w:lang w:eastAsia="es-MX"/>
        </w:rPr>
        <w:t xml:space="preserve"> proporcionar los enlaces dedicados de in</w:t>
      </w:r>
      <w:r w:rsidRPr="008762D1">
        <w:rPr>
          <w:rFonts w:ascii="ITC Avant Garde" w:hAnsi="ITC Avant Garde" w:cs="Arial"/>
          <w:color w:val="000000" w:themeColor="text1"/>
          <w:lang w:eastAsia="es-MX"/>
        </w:rPr>
        <w:t xml:space="preserve">terconexión Ethernet de 1 </w:t>
      </w:r>
      <w:proofErr w:type="spellStart"/>
      <w:r w:rsidRPr="008762D1">
        <w:rPr>
          <w:rFonts w:ascii="ITC Avant Garde" w:hAnsi="ITC Avant Garde" w:cs="Arial"/>
          <w:color w:val="000000" w:themeColor="text1"/>
          <w:lang w:eastAsia="es-MX"/>
        </w:rPr>
        <w:t>Gbps</w:t>
      </w:r>
      <w:proofErr w:type="spellEnd"/>
      <w:r w:rsidRPr="008762D1">
        <w:rPr>
          <w:rFonts w:ascii="ITC Avant Garde" w:hAnsi="ITC Avant Garde" w:cs="Arial"/>
          <w:color w:val="000000" w:themeColor="text1"/>
          <w:lang w:eastAsia="es-MX"/>
        </w:rPr>
        <w:t xml:space="preserve">, </w:t>
      </w:r>
      <w:r w:rsidR="00D565FF" w:rsidRPr="008762D1">
        <w:rPr>
          <w:rFonts w:ascii="ITC Avant Garde" w:hAnsi="ITC Avant Garde" w:cs="Arial"/>
          <w:color w:val="000000" w:themeColor="text1"/>
          <w:lang w:eastAsia="es-MX"/>
        </w:rPr>
        <w:t xml:space="preserve">por lo que el Instituto consideró </w:t>
      </w:r>
      <w:r w:rsidR="00EA5A99" w:rsidRPr="008762D1">
        <w:rPr>
          <w:rFonts w:ascii="ITC Avant Garde" w:hAnsi="ITC Avant Garde" w:cs="Arial"/>
          <w:color w:val="000000" w:themeColor="text1"/>
          <w:lang w:eastAsia="es-MX"/>
        </w:rPr>
        <w:t>necesario ampliar la oferta de enlaces de interconexión mediante</w:t>
      </w:r>
      <w:r w:rsidR="00693022" w:rsidRPr="008762D1">
        <w:rPr>
          <w:rFonts w:ascii="ITC Avant Garde" w:hAnsi="ITC Avant Garde" w:cs="Arial"/>
          <w:color w:val="000000" w:themeColor="text1"/>
          <w:lang w:eastAsia="es-MX"/>
        </w:rPr>
        <w:t xml:space="preserve"> dicha</w:t>
      </w:r>
      <w:r w:rsidR="00EA5A99" w:rsidRPr="008762D1">
        <w:rPr>
          <w:rFonts w:ascii="ITC Avant Garde" w:hAnsi="ITC Avant Garde" w:cs="Arial"/>
          <w:color w:val="000000" w:themeColor="text1"/>
          <w:lang w:eastAsia="es-MX"/>
        </w:rPr>
        <w:t xml:space="preserve"> tecnología</w:t>
      </w:r>
      <w:r w:rsidR="00D565FF" w:rsidRPr="008762D1">
        <w:rPr>
          <w:rFonts w:ascii="ITC Avant Garde" w:hAnsi="ITC Avant Garde" w:cs="Arial"/>
          <w:color w:val="000000" w:themeColor="text1"/>
          <w:lang w:eastAsia="es-MX"/>
        </w:rPr>
        <w:t>, por lo que se modificó</w:t>
      </w:r>
      <w:r w:rsidR="00EA5A99" w:rsidRPr="008762D1">
        <w:rPr>
          <w:rFonts w:ascii="ITC Avant Garde" w:hAnsi="ITC Avant Garde" w:cs="Arial"/>
          <w:color w:val="000000" w:themeColor="text1"/>
          <w:lang w:eastAsia="es-MX"/>
        </w:rPr>
        <w:t xml:space="preserve"> la Cláusula 5.5</w:t>
      </w:r>
      <w:r w:rsidR="00C81B56" w:rsidRPr="008762D1">
        <w:rPr>
          <w:rFonts w:ascii="ITC Avant Garde" w:hAnsi="ITC Avant Garde" w:cs="Arial"/>
          <w:color w:val="000000" w:themeColor="text1"/>
          <w:lang w:eastAsia="es-MX"/>
        </w:rPr>
        <w:t xml:space="preserve"> en el siguiente sentido:</w:t>
      </w:r>
    </w:p>
    <w:p w14:paraId="262AC915" w14:textId="77777777" w:rsidR="000F0B9F" w:rsidRPr="008762D1" w:rsidRDefault="00C81B56"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“5.5. ENLACES DEDICADOS DE  INTERCONEXIÓN.</w:t>
      </w:r>
    </w:p>
    <w:p w14:paraId="20286FC0" w14:textId="00FF1668" w:rsidR="00C81B56" w:rsidRPr="008762D1" w:rsidRDefault="00C81B56"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 xml:space="preserve">Telmex deberá proporcionar a </w:t>
      </w:r>
      <w:r w:rsidR="008762D1" w:rsidRPr="008762D1">
        <w:rPr>
          <w:rFonts w:cs="Arial"/>
          <w:b/>
          <w:color w:val="0000FF"/>
        </w:rPr>
        <w:t>(…)</w:t>
      </w:r>
      <w:r w:rsidR="008762D1">
        <w:rPr>
          <w:rFonts w:cs="Arial"/>
          <w:b/>
          <w:color w:val="0000FF"/>
        </w:rPr>
        <w:t xml:space="preserve"> </w:t>
      </w:r>
      <w:r w:rsidRPr="008762D1">
        <w:rPr>
          <w:rFonts w:ascii="ITC Avant Garde" w:hAnsi="ITC Avant Garde" w:cs="Arial"/>
          <w:color w:val="000000" w:themeColor="text1"/>
          <w:sz w:val="18"/>
          <w:szCs w:val="18"/>
          <w:lang w:eastAsia="es-MX"/>
        </w:rPr>
        <w:t xml:space="preserve">los siguientes tipos de Enlaces Dedicados de  Interconexión: Enlaces E1, E3, STM1, así como Ethernet de 1 </w:t>
      </w:r>
      <w:proofErr w:type="spellStart"/>
      <w:r w:rsidRPr="008762D1">
        <w:rPr>
          <w:rFonts w:ascii="ITC Avant Garde" w:hAnsi="ITC Avant Garde" w:cs="Arial"/>
          <w:color w:val="000000" w:themeColor="text1"/>
          <w:sz w:val="18"/>
          <w:szCs w:val="18"/>
          <w:lang w:eastAsia="es-MX"/>
        </w:rPr>
        <w:t>Gbps</w:t>
      </w:r>
      <w:proofErr w:type="spellEnd"/>
      <w:r w:rsidRPr="008762D1">
        <w:rPr>
          <w:rFonts w:ascii="ITC Avant Garde" w:hAnsi="ITC Avant Garde" w:cs="Arial"/>
          <w:color w:val="000000" w:themeColor="text1"/>
          <w:sz w:val="18"/>
          <w:szCs w:val="18"/>
          <w:lang w:eastAsia="es-MX"/>
        </w:rPr>
        <w:t xml:space="preserve">, </w:t>
      </w:r>
      <w:r w:rsidRPr="008762D1">
        <w:rPr>
          <w:rFonts w:ascii="ITC Avant Garde" w:hAnsi="ITC Avant Garde" w:cs="Arial"/>
          <w:color w:val="000000" w:themeColor="text1"/>
          <w:sz w:val="18"/>
          <w:szCs w:val="18"/>
          <w:u w:val="single"/>
          <w:lang w:eastAsia="es-MX"/>
        </w:rPr>
        <w:t xml:space="preserve">10 </w:t>
      </w:r>
      <w:proofErr w:type="spellStart"/>
      <w:r w:rsidRPr="008762D1">
        <w:rPr>
          <w:rFonts w:ascii="ITC Avant Garde" w:hAnsi="ITC Avant Garde" w:cs="Arial"/>
          <w:color w:val="000000" w:themeColor="text1"/>
          <w:sz w:val="18"/>
          <w:szCs w:val="18"/>
          <w:u w:val="single"/>
          <w:lang w:eastAsia="es-MX"/>
        </w:rPr>
        <w:t>Gbps</w:t>
      </w:r>
      <w:proofErr w:type="spellEnd"/>
      <w:r w:rsidRPr="008762D1">
        <w:rPr>
          <w:rFonts w:ascii="ITC Avant Garde" w:hAnsi="ITC Avant Garde" w:cs="Arial"/>
          <w:color w:val="000000" w:themeColor="text1"/>
          <w:sz w:val="18"/>
          <w:szCs w:val="18"/>
          <w:lang w:eastAsia="es-MX"/>
        </w:rPr>
        <w:t>. Estos enlaces de transmisión de interconexión podrán ser utilizados para conducción de Tráfico Público Conmutado de cualquier tipo ya sea servicio fijo, móvil o de tránsito.</w:t>
      </w:r>
    </w:p>
    <w:p w14:paraId="4A53E793" w14:textId="77777777" w:rsidR="00C81B56" w:rsidRPr="008762D1" w:rsidRDefault="00C81B56"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w:t>
      </w:r>
    </w:p>
    <w:p w14:paraId="503915A4" w14:textId="77777777" w:rsidR="000F0B9F" w:rsidRPr="008762D1" w:rsidRDefault="00C81B56" w:rsidP="000F0B9F">
      <w:pPr>
        <w:pStyle w:val="IFT1"/>
        <w:spacing w:before="240" w:after="0"/>
        <w:ind w:right="567"/>
        <w:jc w:val="right"/>
        <w:rPr>
          <w:color w:val="000000" w:themeColor="text1"/>
        </w:rPr>
      </w:pPr>
      <w:r w:rsidRPr="008762D1">
        <w:rPr>
          <w:rFonts w:cs="Arial"/>
          <w:iCs w:val="0"/>
          <w:color w:val="000000" w:themeColor="text1"/>
          <w:sz w:val="18"/>
          <w:szCs w:val="18"/>
        </w:rPr>
        <w:t>Énfasis añadido</w:t>
      </w:r>
    </w:p>
    <w:p w14:paraId="00F9E2BF" w14:textId="5270E61F" w:rsidR="00D52816" w:rsidRPr="008762D1" w:rsidRDefault="00D52816"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550D2FD3" w14:textId="77777777" w:rsidR="000F0B9F" w:rsidRPr="008762D1" w:rsidRDefault="00083F0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En el Escrito de Respuesta Telmex señala que en el Acuerdo el </w:t>
      </w:r>
      <w:r w:rsidR="00B5580E" w:rsidRPr="008762D1">
        <w:rPr>
          <w:rFonts w:ascii="ITC Avant Garde" w:hAnsi="ITC Avant Garde"/>
          <w:color w:val="000000" w:themeColor="text1"/>
        </w:rPr>
        <w:t>Instituto</w:t>
      </w:r>
      <w:r w:rsidR="00FF0A2B" w:rsidRPr="008762D1">
        <w:rPr>
          <w:rFonts w:ascii="ITC Avant Garde" w:hAnsi="ITC Avant Garde"/>
          <w:color w:val="000000" w:themeColor="text1"/>
        </w:rPr>
        <w:t xml:space="preserve"> no establece los argumentos técnicos para determinar: (i) que la capacidad de 1 </w:t>
      </w:r>
      <w:proofErr w:type="spellStart"/>
      <w:r w:rsidR="00FF0A2B" w:rsidRPr="008762D1">
        <w:rPr>
          <w:rFonts w:ascii="ITC Avant Garde" w:hAnsi="ITC Avant Garde"/>
          <w:color w:val="000000" w:themeColor="text1"/>
        </w:rPr>
        <w:t>Gbps</w:t>
      </w:r>
      <w:proofErr w:type="spellEnd"/>
      <w:r w:rsidR="00FF0A2B" w:rsidRPr="008762D1">
        <w:rPr>
          <w:rFonts w:ascii="ITC Avant Garde" w:hAnsi="ITC Avant Garde"/>
          <w:color w:val="000000" w:themeColor="text1"/>
        </w:rPr>
        <w:t xml:space="preserve"> resulte insuficiente para satisfacer las necesidades de los concesionarios solicitantes y menos aún (ii) que sea justificable pretend</w:t>
      </w:r>
      <w:r w:rsidR="00864061" w:rsidRPr="008762D1">
        <w:rPr>
          <w:rFonts w:ascii="ITC Avant Garde" w:hAnsi="ITC Avant Garde"/>
          <w:color w:val="000000" w:themeColor="text1"/>
        </w:rPr>
        <w:t xml:space="preserve">er incrementos de capacidad en “saltos” de 10 </w:t>
      </w:r>
      <w:proofErr w:type="spellStart"/>
      <w:r w:rsidR="00FF0A2B" w:rsidRPr="008762D1">
        <w:rPr>
          <w:rFonts w:ascii="ITC Avant Garde" w:hAnsi="ITC Avant Garde"/>
          <w:color w:val="000000" w:themeColor="text1"/>
        </w:rPr>
        <w:t>Gbps</w:t>
      </w:r>
      <w:proofErr w:type="spellEnd"/>
      <w:r w:rsidR="00FF0A2B" w:rsidRPr="008762D1">
        <w:rPr>
          <w:rFonts w:ascii="ITC Avant Garde" w:hAnsi="ITC Avant Garde"/>
          <w:color w:val="000000" w:themeColor="text1"/>
        </w:rPr>
        <w:t xml:space="preserve">. </w:t>
      </w:r>
      <w:r w:rsidR="00B5580E" w:rsidRPr="008762D1">
        <w:rPr>
          <w:rFonts w:ascii="ITC Avant Garde" w:hAnsi="ITC Avant Garde"/>
          <w:color w:val="000000" w:themeColor="text1"/>
        </w:rPr>
        <w:t>Esta determinación</w:t>
      </w:r>
      <w:r w:rsidR="00FF0A2B" w:rsidRPr="008762D1">
        <w:rPr>
          <w:rFonts w:ascii="ITC Avant Garde" w:hAnsi="ITC Avant Garde"/>
          <w:color w:val="000000" w:themeColor="text1"/>
        </w:rPr>
        <w:t xml:space="preserve"> del </w:t>
      </w:r>
      <w:proofErr w:type="spellStart"/>
      <w:r w:rsidR="00FF0A2B" w:rsidRPr="008762D1">
        <w:rPr>
          <w:rFonts w:ascii="ITC Avant Garde" w:hAnsi="ITC Avant Garde"/>
          <w:color w:val="000000" w:themeColor="text1"/>
        </w:rPr>
        <w:t>lnstituto</w:t>
      </w:r>
      <w:proofErr w:type="spellEnd"/>
      <w:r w:rsidR="00FF0A2B" w:rsidRPr="008762D1">
        <w:rPr>
          <w:rFonts w:ascii="ITC Avant Garde" w:hAnsi="ITC Avant Garde"/>
          <w:color w:val="000000" w:themeColor="text1"/>
        </w:rPr>
        <w:t xml:space="preserve"> no es </w:t>
      </w:r>
      <w:r w:rsidR="00B5580E" w:rsidRPr="008762D1">
        <w:rPr>
          <w:rFonts w:ascii="ITC Avant Garde" w:hAnsi="ITC Avant Garde"/>
          <w:color w:val="000000" w:themeColor="text1"/>
        </w:rPr>
        <w:t>congruente</w:t>
      </w:r>
      <w:r w:rsidR="00FF0A2B" w:rsidRPr="008762D1">
        <w:rPr>
          <w:rFonts w:ascii="ITC Avant Garde" w:hAnsi="ITC Avant Garde"/>
          <w:color w:val="000000" w:themeColor="text1"/>
        </w:rPr>
        <w:t xml:space="preserve"> con lo dispuesto en los Convenios Marco de </w:t>
      </w:r>
      <w:proofErr w:type="spellStart"/>
      <w:r w:rsidR="00FF0A2B" w:rsidRPr="008762D1">
        <w:rPr>
          <w:rFonts w:ascii="ITC Avant Garde" w:hAnsi="ITC Avant Garde"/>
          <w:color w:val="000000" w:themeColor="text1"/>
        </w:rPr>
        <w:t>lnterconexión</w:t>
      </w:r>
      <w:proofErr w:type="spellEnd"/>
      <w:r w:rsidR="00FF0A2B" w:rsidRPr="008762D1">
        <w:rPr>
          <w:rFonts w:ascii="ITC Avant Garde" w:hAnsi="ITC Avant Garde"/>
          <w:color w:val="000000" w:themeColor="text1"/>
        </w:rPr>
        <w:t xml:space="preserve"> aprobados</w:t>
      </w:r>
      <w:r w:rsidRPr="008762D1">
        <w:rPr>
          <w:rFonts w:ascii="ITC Avant Garde" w:hAnsi="ITC Avant Garde"/>
          <w:color w:val="000000" w:themeColor="text1"/>
        </w:rPr>
        <w:t xml:space="preserve"> anteriormente</w:t>
      </w:r>
      <w:r w:rsidR="00FF0A2B" w:rsidRPr="008762D1">
        <w:rPr>
          <w:rFonts w:ascii="ITC Avant Garde" w:hAnsi="ITC Avant Garde"/>
          <w:color w:val="000000" w:themeColor="text1"/>
        </w:rPr>
        <w:t>.</w:t>
      </w:r>
    </w:p>
    <w:p w14:paraId="270D5EFE" w14:textId="77777777" w:rsidR="000F0B9F" w:rsidRPr="008762D1" w:rsidRDefault="00083F0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Telmex señala que l</w:t>
      </w:r>
      <w:r w:rsidR="00B5580E" w:rsidRPr="008762D1">
        <w:rPr>
          <w:rFonts w:ascii="ITC Avant Garde" w:hAnsi="ITC Avant Garde"/>
          <w:color w:val="000000" w:themeColor="text1"/>
        </w:rPr>
        <w:t xml:space="preserve">a modificación del </w:t>
      </w:r>
      <w:r w:rsidR="00FF0A2B" w:rsidRPr="008762D1">
        <w:rPr>
          <w:rFonts w:ascii="ITC Avant Garde" w:hAnsi="ITC Avant Garde"/>
          <w:color w:val="000000" w:themeColor="text1"/>
        </w:rPr>
        <w:t xml:space="preserve"> </w:t>
      </w:r>
      <w:proofErr w:type="spellStart"/>
      <w:r w:rsidR="00FF0A2B" w:rsidRPr="008762D1">
        <w:rPr>
          <w:rFonts w:ascii="ITC Avant Garde" w:hAnsi="ITC Avant Garde"/>
          <w:color w:val="000000" w:themeColor="text1"/>
        </w:rPr>
        <w:t>lnstituto</w:t>
      </w:r>
      <w:proofErr w:type="spellEnd"/>
      <w:r w:rsidR="00FF0A2B" w:rsidRPr="008762D1">
        <w:rPr>
          <w:rFonts w:ascii="ITC Avant Garde" w:hAnsi="ITC Avant Garde"/>
          <w:color w:val="000000" w:themeColor="text1"/>
        </w:rPr>
        <w:t xml:space="preserve"> se vuelve de imposible cumplimiento, toda vez</w:t>
      </w:r>
      <w:r w:rsidR="00B5580E" w:rsidRPr="008762D1">
        <w:rPr>
          <w:rFonts w:ascii="ITC Avant Garde" w:hAnsi="ITC Avant Garde"/>
          <w:color w:val="000000" w:themeColor="text1"/>
        </w:rPr>
        <w:t xml:space="preserve"> </w:t>
      </w:r>
      <w:r w:rsidR="00FF0A2B" w:rsidRPr="008762D1">
        <w:rPr>
          <w:rFonts w:ascii="ITC Avant Garde" w:hAnsi="ITC Avant Garde"/>
          <w:color w:val="000000" w:themeColor="text1"/>
        </w:rPr>
        <w:t xml:space="preserve">que no cuenta con equipos que permitan la entrega de enlaces con la capacidad de 10 </w:t>
      </w:r>
      <w:proofErr w:type="spellStart"/>
      <w:r w:rsidR="00FF0A2B" w:rsidRPr="008762D1">
        <w:rPr>
          <w:rFonts w:ascii="ITC Avant Garde" w:hAnsi="ITC Avant Garde"/>
          <w:color w:val="000000" w:themeColor="text1"/>
        </w:rPr>
        <w:t>Gbps</w:t>
      </w:r>
      <w:proofErr w:type="spellEnd"/>
      <w:r w:rsidR="00FF0A2B" w:rsidRPr="008762D1">
        <w:rPr>
          <w:rFonts w:ascii="ITC Avant Garde" w:hAnsi="ITC Avant Garde"/>
          <w:color w:val="000000" w:themeColor="text1"/>
        </w:rPr>
        <w:t xml:space="preserve">, por lo que para habilitar este servicio en la red </w:t>
      </w:r>
      <w:r w:rsidRPr="008762D1">
        <w:rPr>
          <w:rFonts w:ascii="ITC Avant Garde" w:hAnsi="ITC Avant Garde"/>
          <w:color w:val="000000" w:themeColor="text1"/>
        </w:rPr>
        <w:t>tendría</w:t>
      </w:r>
      <w:r w:rsidR="00FF0A2B" w:rsidRPr="008762D1">
        <w:rPr>
          <w:rFonts w:ascii="ITC Avant Garde" w:hAnsi="ITC Avant Garde"/>
          <w:color w:val="000000" w:themeColor="text1"/>
        </w:rPr>
        <w:t xml:space="preserve"> que realizar cuantiosas inve</w:t>
      </w:r>
      <w:r w:rsidRPr="008762D1">
        <w:rPr>
          <w:rFonts w:ascii="ITC Avant Garde" w:hAnsi="ITC Avant Garde"/>
          <w:color w:val="000000" w:themeColor="text1"/>
        </w:rPr>
        <w:t>rsiones, asimismo requeriría de tiempo para seleccionar, valorar e i</w:t>
      </w:r>
      <w:r w:rsidR="00FF0A2B" w:rsidRPr="008762D1">
        <w:rPr>
          <w:rFonts w:ascii="ITC Avant Garde" w:hAnsi="ITC Avant Garde"/>
          <w:color w:val="000000" w:themeColor="text1"/>
        </w:rPr>
        <w:t xml:space="preserve">mplementar los equipos que permitan el manejo de esta capacidad, lo anterior sin tener la certeza de que algún Concesionario justifique la asignación de un enlace de 10 </w:t>
      </w:r>
      <w:proofErr w:type="spellStart"/>
      <w:r w:rsidR="00FF0A2B" w:rsidRPr="008762D1">
        <w:rPr>
          <w:rFonts w:ascii="ITC Avant Garde" w:hAnsi="ITC Avant Garde"/>
          <w:color w:val="000000" w:themeColor="text1"/>
        </w:rPr>
        <w:t>Gbps</w:t>
      </w:r>
      <w:proofErr w:type="spellEnd"/>
      <w:r w:rsidR="00FF0A2B" w:rsidRPr="008762D1">
        <w:rPr>
          <w:rFonts w:ascii="ITC Avant Garde" w:hAnsi="ITC Avant Garde"/>
          <w:color w:val="000000" w:themeColor="text1"/>
        </w:rPr>
        <w:t xml:space="preserve">, o simplemente se convierta en equipo subutilizado o capacidad ociosa como lo han representado los Puntos de </w:t>
      </w:r>
      <w:proofErr w:type="spellStart"/>
      <w:r w:rsidR="00FF0A2B" w:rsidRPr="008762D1">
        <w:rPr>
          <w:rFonts w:ascii="ITC Avant Garde" w:hAnsi="ITC Avant Garde"/>
          <w:color w:val="000000" w:themeColor="text1"/>
        </w:rPr>
        <w:t>lnterconexión</w:t>
      </w:r>
      <w:proofErr w:type="spellEnd"/>
      <w:r w:rsidR="00FF0A2B" w:rsidRPr="008762D1">
        <w:rPr>
          <w:rFonts w:ascii="ITC Avant Garde" w:hAnsi="ITC Avant Garde"/>
          <w:color w:val="000000" w:themeColor="text1"/>
        </w:rPr>
        <w:t xml:space="preserve"> </w:t>
      </w:r>
      <w:proofErr w:type="spellStart"/>
      <w:r w:rsidR="00FF0A2B" w:rsidRPr="008762D1">
        <w:rPr>
          <w:rFonts w:ascii="ITC Avant Garde" w:hAnsi="ITC Avant Garde"/>
          <w:color w:val="000000" w:themeColor="text1"/>
        </w:rPr>
        <w:t>lP</w:t>
      </w:r>
      <w:proofErr w:type="spellEnd"/>
      <w:r w:rsidR="00FF0A2B" w:rsidRPr="008762D1">
        <w:rPr>
          <w:rFonts w:ascii="ITC Avant Garde" w:hAnsi="ITC Avant Garde"/>
          <w:color w:val="000000" w:themeColor="text1"/>
        </w:rPr>
        <w:t xml:space="preserve"> determinados por el </w:t>
      </w:r>
      <w:proofErr w:type="spellStart"/>
      <w:r w:rsidR="00FF0A2B" w:rsidRPr="008762D1">
        <w:rPr>
          <w:rFonts w:ascii="ITC Avant Garde" w:hAnsi="ITC Avant Garde"/>
          <w:color w:val="000000" w:themeColor="text1"/>
        </w:rPr>
        <w:t>lnstituto</w:t>
      </w:r>
      <w:proofErr w:type="spellEnd"/>
      <w:r w:rsidR="00FF0A2B" w:rsidRPr="008762D1">
        <w:rPr>
          <w:rFonts w:ascii="ITC Avant Garde" w:hAnsi="ITC Avant Garde"/>
          <w:color w:val="000000" w:themeColor="text1"/>
        </w:rPr>
        <w:t xml:space="preserve">. Por lo anterior, la propuesta de Telmex es mantener el uso de los enlaces de 1 </w:t>
      </w:r>
      <w:proofErr w:type="spellStart"/>
      <w:r w:rsidR="00FF0A2B" w:rsidRPr="008762D1">
        <w:rPr>
          <w:rFonts w:ascii="ITC Avant Garde" w:hAnsi="ITC Avant Garde"/>
          <w:color w:val="000000" w:themeColor="text1"/>
        </w:rPr>
        <w:t>Gbps</w:t>
      </w:r>
      <w:proofErr w:type="spellEnd"/>
      <w:r w:rsidR="00FF0A2B" w:rsidRPr="008762D1">
        <w:rPr>
          <w:rFonts w:ascii="ITC Avant Garde" w:hAnsi="ITC Avant Garde"/>
          <w:color w:val="000000" w:themeColor="text1"/>
        </w:rPr>
        <w:t>.</w:t>
      </w:r>
    </w:p>
    <w:p w14:paraId="31CCE144" w14:textId="77777777" w:rsidR="000F0B9F" w:rsidRPr="008762D1" w:rsidRDefault="00083F0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Telmex señala que c</w:t>
      </w:r>
      <w:r w:rsidR="00FF0A2B" w:rsidRPr="008762D1">
        <w:rPr>
          <w:rFonts w:ascii="ITC Avant Garde" w:hAnsi="ITC Avant Garde"/>
          <w:color w:val="000000" w:themeColor="text1"/>
        </w:rPr>
        <w:t>onsiderand</w:t>
      </w:r>
      <w:r w:rsidRPr="008762D1">
        <w:rPr>
          <w:rFonts w:ascii="ITC Avant Garde" w:hAnsi="ITC Avant Garde"/>
          <w:color w:val="000000" w:themeColor="text1"/>
        </w:rPr>
        <w:t>o el escenario de trá</w:t>
      </w:r>
      <w:r w:rsidR="00FF0A2B" w:rsidRPr="008762D1">
        <w:rPr>
          <w:rFonts w:ascii="ITC Avant Garde" w:hAnsi="ITC Avant Garde"/>
          <w:color w:val="000000" w:themeColor="text1"/>
        </w:rPr>
        <w:t>fico distribuido a lo largo de las 24 horas en un periodo de un mes,</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 xml:space="preserve">en el que un enlace de 1 </w:t>
      </w:r>
      <w:proofErr w:type="spellStart"/>
      <w:r w:rsidR="00FF0A2B" w:rsidRPr="008762D1">
        <w:rPr>
          <w:rFonts w:ascii="ITC Avant Garde" w:hAnsi="ITC Avant Garde"/>
          <w:color w:val="000000" w:themeColor="text1"/>
        </w:rPr>
        <w:t>Gbps</w:t>
      </w:r>
      <w:proofErr w:type="spellEnd"/>
      <w:r w:rsidR="00FF0A2B" w:rsidRPr="008762D1">
        <w:rPr>
          <w:rFonts w:ascii="ITC Avant Garde" w:hAnsi="ITC Avant Garde"/>
          <w:color w:val="000000" w:themeColor="text1"/>
        </w:rPr>
        <w:t xml:space="preserve"> esté siempre en uso, y respetando el umbral de ocupación del 85%,</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supone una capacidad de transmisión de 918 millones de minutos mensuales (MMM),</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 xml:space="preserve">considerando un valor de compresión por el </w:t>
      </w:r>
      <w:r w:rsidR="00811D97" w:rsidRPr="008762D1">
        <w:rPr>
          <w:rFonts w:ascii="ITC Avant Garde" w:hAnsi="ITC Avant Garde"/>
          <w:color w:val="000000" w:themeColor="text1"/>
        </w:rPr>
        <w:t>c</w:t>
      </w:r>
      <w:r w:rsidR="00FF0A2B" w:rsidRPr="008762D1">
        <w:rPr>
          <w:rFonts w:ascii="ITC Avant Garde" w:hAnsi="ITC Avant Garde"/>
          <w:color w:val="000000" w:themeColor="text1"/>
        </w:rPr>
        <w:t>ódec de 40 Kbps. Tomando en cuenta al concesionario</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(Telcel) que a la fecha cursa la mayor cantidad de tráfico (terminación y tránsito) a través de la red de</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 xml:space="preserve">Telmex, que cursa un volumen aproximado de 1,111 MMM, y </w:t>
      </w:r>
      <w:r w:rsidR="00FF0A2B" w:rsidRPr="008762D1">
        <w:rPr>
          <w:rFonts w:ascii="ITC Avant Garde" w:hAnsi="ITC Avant Garde"/>
          <w:color w:val="000000" w:themeColor="text1"/>
        </w:rPr>
        <w:lastRenderedPageBreak/>
        <w:t>suponiendo que este concesionario</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 xml:space="preserve">decidiera entregar su tráfico en un solo Punto de </w:t>
      </w:r>
      <w:proofErr w:type="spellStart"/>
      <w:r w:rsidR="00FF0A2B" w:rsidRPr="008762D1">
        <w:rPr>
          <w:rFonts w:ascii="ITC Avant Garde" w:hAnsi="ITC Avant Garde"/>
          <w:color w:val="000000" w:themeColor="text1"/>
        </w:rPr>
        <w:t>lnterconexión</w:t>
      </w:r>
      <w:proofErr w:type="spellEnd"/>
      <w:r w:rsidR="00FF0A2B" w:rsidRPr="008762D1">
        <w:rPr>
          <w:rFonts w:ascii="ITC Avant Garde" w:hAnsi="ITC Avant Garde"/>
          <w:color w:val="000000" w:themeColor="text1"/>
        </w:rPr>
        <w:t xml:space="preserve"> a nivel nacional, requeriría un enlace</w:t>
      </w:r>
      <w:r w:rsidR="003A2B0A" w:rsidRPr="008762D1">
        <w:rPr>
          <w:rFonts w:ascii="ITC Avant Garde" w:hAnsi="ITC Avant Garde"/>
          <w:color w:val="000000" w:themeColor="text1"/>
        </w:rPr>
        <w:t xml:space="preserve"> con una capacidad de 1</w:t>
      </w:r>
      <w:r w:rsidR="00FF0A2B" w:rsidRPr="008762D1">
        <w:rPr>
          <w:rFonts w:ascii="ITC Avant Garde" w:hAnsi="ITC Avant Garde"/>
          <w:color w:val="000000" w:themeColor="text1"/>
        </w:rPr>
        <w:t xml:space="preserve">.2 </w:t>
      </w:r>
      <w:proofErr w:type="spellStart"/>
      <w:r w:rsidR="00FF0A2B" w:rsidRPr="008762D1">
        <w:rPr>
          <w:rFonts w:ascii="ITC Avant Garde" w:hAnsi="ITC Avant Garde"/>
          <w:color w:val="000000" w:themeColor="text1"/>
        </w:rPr>
        <w:t>Gbps</w:t>
      </w:r>
      <w:proofErr w:type="spellEnd"/>
      <w:r w:rsidR="00FF0A2B" w:rsidRPr="008762D1">
        <w:rPr>
          <w:rFonts w:ascii="ITC Avant Garde" w:hAnsi="ITC Avant Garde"/>
          <w:color w:val="000000" w:themeColor="text1"/>
        </w:rPr>
        <w:t>.</w:t>
      </w:r>
    </w:p>
    <w:p w14:paraId="15AE96EF" w14:textId="77777777" w:rsidR="000F0B9F" w:rsidRPr="008762D1" w:rsidRDefault="00083F0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De lo anterior</w:t>
      </w:r>
      <w:r w:rsidR="00FF0A2B" w:rsidRPr="008762D1">
        <w:rPr>
          <w:rFonts w:ascii="ITC Avant Garde" w:hAnsi="ITC Avant Garde"/>
          <w:color w:val="000000" w:themeColor="text1"/>
        </w:rPr>
        <w:t xml:space="preserve">, </w:t>
      </w:r>
      <w:r w:rsidRPr="008762D1">
        <w:rPr>
          <w:rFonts w:ascii="ITC Avant Garde" w:hAnsi="ITC Avant Garde"/>
          <w:color w:val="000000" w:themeColor="text1"/>
        </w:rPr>
        <w:t xml:space="preserve">Telmex señala que </w:t>
      </w:r>
      <w:r w:rsidR="00FF0A2B" w:rsidRPr="008762D1">
        <w:rPr>
          <w:rFonts w:ascii="ITC Avant Garde" w:hAnsi="ITC Avant Garde"/>
          <w:color w:val="000000" w:themeColor="text1"/>
        </w:rPr>
        <w:t xml:space="preserve">el uso de la capacidad de 10 </w:t>
      </w:r>
      <w:proofErr w:type="spellStart"/>
      <w:r w:rsidR="00FF0A2B" w:rsidRPr="008762D1">
        <w:rPr>
          <w:rFonts w:ascii="ITC Avant Garde" w:hAnsi="ITC Avant Garde"/>
          <w:color w:val="000000" w:themeColor="text1"/>
        </w:rPr>
        <w:t>Gbps</w:t>
      </w:r>
      <w:proofErr w:type="spellEnd"/>
      <w:r w:rsidR="00FF0A2B" w:rsidRPr="008762D1">
        <w:rPr>
          <w:rFonts w:ascii="ITC Avant Garde" w:hAnsi="ITC Avant Garde"/>
          <w:color w:val="000000" w:themeColor="text1"/>
        </w:rPr>
        <w:t xml:space="preserve"> en enlaces de interconexión no se justifica</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ni siquiera para el concesionario con la mayor cantidad de tráfico mensual, asumiendo que</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 xml:space="preserve">concentrara su tráfico en un solo Punto de </w:t>
      </w:r>
      <w:proofErr w:type="spellStart"/>
      <w:r w:rsidR="00FF0A2B" w:rsidRPr="008762D1">
        <w:rPr>
          <w:rFonts w:ascii="ITC Avant Garde" w:hAnsi="ITC Avant Garde"/>
          <w:color w:val="000000" w:themeColor="text1"/>
        </w:rPr>
        <w:t>lnterconexión</w:t>
      </w:r>
      <w:proofErr w:type="spellEnd"/>
      <w:r w:rsidR="00FF0A2B" w:rsidRPr="008762D1">
        <w:rPr>
          <w:rFonts w:ascii="ITC Avant Garde" w:hAnsi="ITC Avant Garde"/>
          <w:color w:val="000000" w:themeColor="text1"/>
        </w:rPr>
        <w:t xml:space="preserve">. Adicionalmente, </w:t>
      </w:r>
      <w:r w:rsidRPr="008762D1">
        <w:rPr>
          <w:rFonts w:ascii="ITC Avant Garde" w:hAnsi="ITC Avant Garde"/>
          <w:color w:val="000000" w:themeColor="text1"/>
        </w:rPr>
        <w:t xml:space="preserve">señala que </w:t>
      </w:r>
      <w:r w:rsidR="00FF0A2B" w:rsidRPr="008762D1">
        <w:rPr>
          <w:rFonts w:ascii="ITC Avant Garde" w:hAnsi="ITC Avant Garde"/>
          <w:color w:val="000000" w:themeColor="text1"/>
        </w:rPr>
        <w:t>en la</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práctica real los incrementos de 10 o 100</w:t>
      </w:r>
      <w:r w:rsidR="00A84D00" w:rsidRPr="008762D1">
        <w:rPr>
          <w:rFonts w:ascii="ITC Avant Garde" w:hAnsi="ITC Avant Garde"/>
          <w:color w:val="000000" w:themeColor="text1"/>
        </w:rPr>
        <w:t xml:space="preserve"> Mbps a los que alude el Anexo “</w:t>
      </w:r>
      <w:r w:rsidR="00FF0A2B" w:rsidRPr="008762D1">
        <w:rPr>
          <w:rFonts w:ascii="ITC Avant Garde" w:hAnsi="ITC Avant Garde"/>
          <w:color w:val="000000" w:themeColor="text1"/>
        </w:rPr>
        <w:t>F</w:t>
      </w:r>
      <w:r w:rsidR="00A84D00" w:rsidRPr="008762D1">
        <w:rPr>
          <w:rFonts w:ascii="ITC Avant Garde" w:hAnsi="ITC Avant Garde"/>
          <w:color w:val="000000" w:themeColor="text1"/>
        </w:rPr>
        <w:t>”</w:t>
      </w:r>
      <w:r w:rsidR="00FF0A2B" w:rsidRPr="008762D1">
        <w:rPr>
          <w:rFonts w:ascii="ITC Avant Garde" w:hAnsi="ITC Avant Garde"/>
          <w:color w:val="000000" w:themeColor="text1"/>
        </w:rPr>
        <w:t xml:space="preserve"> del CMI han sido</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suficientes para los concesionarios que así lo han requerido, incrementos</w:t>
      </w:r>
      <w:r w:rsidR="00B5580E" w:rsidRPr="008762D1">
        <w:rPr>
          <w:rFonts w:ascii="ITC Avant Garde" w:hAnsi="ITC Avant Garde"/>
          <w:color w:val="000000" w:themeColor="text1"/>
        </w:rPr>
        <w:t xml:space="preserve"> </w:t>
      </w:r>
      <w:r w:rsidR="00FF0A2B" w:rsidRPr="008762D1">
        <w:rPr>
          <w:rFonts w:ascii="ITC Avant Garde" w:hAnsi="ITC Avant Garde"/>
          <w:color w:val="000000" w:themeColor="text1"/>
        </w:rPr>
        <w:t>que pueden ser llevados a</w:t>
      </w:r>
      <w:r w:rsidR="003A2B0A" w:rsidRPr="008762D1">
        <w:rPr>
          <w:rFonts w:ascii="ITC Avant Garde" w:hAnsi="ITC Avant Garde"/>
          <w:color w:val="000000" w:themeColor="text1"/>
        </w:rPr>
        <w:t xml:space="preserve"> </w:t>
      </w:r>
      <w:r w:rsidR="00FF0A2B" w:rsidRPr="008762D1">
        <w:rPr>
          <w:rFonts w:ascii="ITC Avant Garde" w:hAnsi="ITC Avant Garde"/>
          <w:color w:val="000000" w:themeColor="text1"/>
        </w:rPr>
        <w:t xml:space="preserve">cabo por </w:t>
      </w:r>
      <w:r w:rsidRPr="008762D1">
        <w:rPr>
          <w:rFonts w:ascii="ITC Avant Garde" w:hAnsi="ITC Avant Garde"/>
          <w:color w:val="000000" w:themeColor="text1"/>
        </w:rPr>
        <w:t>Telmex</w:t>
      </w:r>
      <w:r w:rsidR="00FF0A2B" w:rsidRPr="008762D1">
        <w:rPr>
          <w:rFonts w:ascii="ITC Avant Garde" w:hAnsi="ITC Avant Garde"/>
          <w:color w:val="000000" w:themeColor="text1"/>
        </w:rPr>
        <w:t xml:space="preserve"> en un corto plazo y sin ningún inconveniente.</w:t>
      </w:r>
    </w:p>
    <w:p w14:paraId="062D3E1C" w14:textId="77777777" w:rsidR="000F0B9F" w:rsidRPr="008762D1" w:rsidRDefault="00432B99"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Señala Telmex que, llama la atención que esta modificación sea realizada por ese </w:t>
      </w:r>
      <w:proofErr w:type="spellStart"/>
      <w:r w:rsidRPr="008762D1">
        <w:rPr>
          <w:rFonts w:ascii="ITC Avant Garde" w:hAnsi="ITC Avant Garde"/>
          <w:color w:val="000000" w:themeColor="text1"/>
        </w:rPr>
        <w:t>lnstituto</w:t>
      </w:r>
      <w:proofErr w:type="spellEnd"/>
      <w:r w:rsidRPr="008762D1">
        <w:rPr>
          <w:rFonts w:ascii="ITC Avant Garde" w:hAnsi="ITC Avant Garde"/>
          <w:color w:val="000000" w:themeColor="text1"/>
        </w:rPr>
        <w:t xml:space="preserve"> a petición de un concesionario (petición realizada mediante la Consulta Pública a que fue sometido el CMI) que en la actualidad no requiere dichos enlaces ya que a la fecha no ha mostrado interés en interconectarse con Telmex en protocolo </w:t>
      </w:r>
      <w:proofErr w:type="spellStart"/>
      <w:r w:rsidRPr="008762D1">
        <w:rPr>
          <w:rFonts w:ascii="ITC Avant Garde" w:hAnsi="ITC Avant Garde"/>
          <w:color w:val="000000" w:themeColor="text1"/>
        </w:rPr>
        <w:t>lP</w:t>
      </w:r>
      <w:proofErr w:type="spellEnd"/>
      <w:r w:rsidR="00365FB8" w:rsidRPr="008762D1">
        <w:rPr>
          <w:rFonts w:ascii="ITC Avant Garde" w:hAnsi="ITC Avant Garde"/>
          <w:color w:val="000000" w:themeColor="text1"/>
        </w:rPr>
        <w:t>, por lo que no necesitaría estos servicios a corto plazo, siendo además que dicha petición no fue acompañada de sustento técnico ni lógico alguno para demostrar la procedencia y necesidad de implementar dicha modificación.</w:t>
      </w:r>
    </w:p>
    <w:p w14:paraId="77167401" w14:textId="77777777" w:rsidR="000F0B9F" w:rsidRPr="008762D1" w:rsidRDefault="00E9066B"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Por lo anterior, Telmex presentó el numeral 5.7.3 Especificaciones Técnicas de los Enlaces Dedicados de Interconexión en los siguientes términos:</w:t>
      </w:r>
    </w:p>
    <w:p w14:paraId="02653357" w14:textId="77777777" w:rsidR="000F0B9F" w:rsidRPr="008762D1" w:rsidRDefault="00E9066B" w:rsidP="000F0B9F">
      <w:pPr>
        <w:pStyle w:val="Textosinformato"/>
        <w:numPr>
          <w:ilvl w:val="0"/>
          <w:numId w:val="16"/>
        </w:numPr>
        <w:spacing w:before="240"/>
        <w:ind w:left="567" w:right="567" w:firstLine="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Dentro de la interfaz activa se crecerá la capacidad de manejo de tráfico con incrementos de 10 Mbps o 100 Mbps. Los crecimientos se realizarán al llegar al 85% de ocupación de la interfaz.</w:t>
      </w:r>
    </w:p>
    <w:p w14:paraId="3E58EE45" w14:textId="336D47B8" w:rsidR="00D52816" w:rsidRPr="008762D1" w:rsidRDefault="00D52816"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6C067A9E" w14:textId="77777777" w:rsidR="000F0B9F" w:rsidRPr="008762D1" w:rsidRDefault="00B642A0"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Al respecto,  se señala que Telmex no </w:t>
      </w:r>
      <w:r w:rsidR="00426485" w:rsidRPr="008762D1">
        <w:rPr>
          <w:rFonts w:ascii="ITC Avant Garde" w:hAnsi="ITC Avant Garde" w:cs="Arial"/>
          <w:color w:val="000000" w:themeColor="text1"/>
          <w:lang w:eastAsia="es-MX"/>
        </w:rPr>
        <w:t xml:space="preserve">proporciona completamente los supuestos </w:t>
      </w:r>
      <w:r w:rsidR="009C3A5F" w:rsidRPr="008762D1">
        <w:rPr>
          <w:rFonts w:ascii="ITC Avant Garde" w:hAnsi="ITC Avant Garde" w:cs="Arial"/>
          <w:color w:val="000000" w:themeColor="text1"/>
          <w:lang w:eastAsia="es-MX"/>
        </w:rPr>
        <w:t>utilizados</w:t>
      </w:r>
      <w:r w:rsidR="00426485" w:rsidRPr="008762D1">
        <w:rPr>
          <w:rFonts w:ascii="ITC Avant Garde" w:hAnsi="ITC Avant Garde" w:cs="Arial"/>
          <w:color w:val="000000" w:themeColor="text1"/>
          <w:lang w:eastAsia="es-MX"/>
        </w:rPr>
        <w:t xml:space="preserve"> para realizar </w:t>
      </w:r>
      <w:r w:rsidRPr="008762D1">
        <w:rPr>
          <w:rFonts w:ascii="ITC Avant Garde" w:hAnsi="ITC Avant Garde" w:cs="Arial"/>
          <w:color w:val="000000" w:themeColor="text1"/>
          <w:lang w:eastAsia="es-MX"/>
        </w:rPr>
        <w:t>sus cálculos</w:t>
      </w:r>
      <w:r w:rsidR="00426485" w:rsidRPr="008762D1">
        <w:rPr>
          <w:rFonts w:ascii="ITC Avant Garde" w:hAnsi="ITC Avant Garde" w:cs="Arial"/>
          <w:color w:val="000000" w:themeColor="text1"/>
          <w:lang w:eastAsia="es-MX"/>
        </w:rPr>
        <w:t>, con lo cual</w:t>
      </w:r>
      <w:r w:rsidRPr="008762D1">
        <w:rPr>
          <w:rFonts w:ascii="ITC Avant Garde" w:hAnsi="ITC Avant Garde" w:cs="Arial"/>
          <w:color w:val="000000" w:themeColor="text1"/>
          <w:lang w:eastAsia="es-MX"/>
        </w:rPr>
        <w:t xml:space="preserve"> los resultados que señala en el </w:t>
      </w:r>
      <w:r w:rsidR="001A0A45" w:rsidRPr="008762D1">
        <w:rPr>
          <w:rFonts w:ascii="ITC Avant Garde" w:hAnsi="ITC Avant Garde" w:cs="Arial"/>
          <w:color w:val="000000" w:themeColor="text1"/>
          <w:lang w:eastAsia="es-MX"/>
        </w:rPr>
        <w:t>Escrito de Respuesta</w:t>
      </w:r>
      <w:r w:rsidRPr="008762D1">
        <w:rPr>
          <w:rFonts w:ascii="ITC Avant Garde" w:hAnsi="ITC Avant Garde" w:cs="Arial"/>
          <w:color w:val="000000" w:themeColor="text1"/>
          <w:lang w:eastAsia="es-MX"/>
        </w:rPr>
        <w:t xml:space="preserve"> </w:t>
      </w:r>
      <w:r w:rsidR="00426485" w:rsidRPr="008762D1">
        <w:rPr>
          <w:rFonts w:ascii="ITC Avant Garde" w:hAnsi="ITC Avant Garde" w:cs="Arial"/>
          <w:color w:val="000000" w:themeColor="text1"/>
          <w:lang w:eastAsia="es-MX"/>
        </w:rPr>
        <w:t xml:space="preserve">acerca del tráfico que puede ser transportado en un enlace de 1 </w:t>
      </w:r>
      <w:proofErr w:type="spellStart"/>
      <w:r w:rsidR="00426485" w:rsidRPr="008762D1">
        <w:rPr>
          <w:rFonts w:ascii="ITC Avant Garde" w:hAnsi="ITC Avant Garde" w:cs="Arial"/>
          <w:color w:val="000000" w:themeColor="text1"/>
          <w:lang w:eastAsia="es-MX"/>
        </w:rPr>
        <w:t>Gbps</w:t>
      </w:r>
      <w:proofErr w:type="spellEnd"/>
      <w:r w:rsidR="00426485" w:rsidRPr="008762D1">
        <w:rPr>
          <w:rFonts w:ascii="ITC Avant Garde" w:hAnsi="ITC Avant Garde" w:cs="Arial"/>
          <w:color w:val="000000" w:themeColor="text1"/>
          <w:lang w:eastAsia="es-MX"/>
        </w:rPr>
        <w:t xml:space="preserve"> con tecnología Ethernet </w:t>
      </w:r>
      <w:r w:rsidRPr="008762D1">
        <w:rPr>
          <w:rFonts w:ascii="ITC Avant Garde" w:hAnsi="ITC Avant Garde" w:cs="Arial"/>
          <w:color w:val="000000" w:themeColor="text1"/>
          <w:lang w:eastAsia="es-MX"/>
        </w:rPr>
        <w:t>resultan excesivos, lo anterior dado que</w:t>
      </w:r>
      <w:r w:rsidR="00D049C8" w:rsidRPr="008762D1">
        <w:rPr>
          <w:rFonts w:ascii="ITC Avant Garde" w:hAnsi="ITC Avant Garde" w:cs="Arial"/>
          <w:color w:val="000000" w:themeColor="text1"/>
          <w:lang w:eastAsia="es-MX"/>
        </w:rPr>
        <w:t xml:space="preserve"> en los mismos considera la utilización del 85% de la capacidad de los enlaces dedicados de interconexión, durante las 24 horas del día y los 30 días por mes, lo cual </w:t>
      </w:r>
      <w:r w:rsidR="00426485" w:rsidRPr="008762D1">
        <w:rPr>
          <w:rFonts w:ascii="ITC Avant Garde" w:hAnsi="ITC Avant Garde" w:cs="Arial"/>
          <w:color w:val="000000" w:themeColor="text1"/>
          <w:lang w:eastAsia="es-MX"/>
        </w:rPr>
        <w:t>puede no corresponder completamente</w:t>
      </w:r>
      <w:r w:rsidR="00D049C8" w:rsidRPr="008762D1">
        <w:rPr>
          <w:rFonts w:ascii="ITC Avant Garde" w:hAnsi="ITC Avant Garde" w:cs="Arial"/>
          <w:color w:val="000000" w:themeColor="text1"/>
          <w:lang w:eastAsia="es-MX"/>
        </w:rPr>
        <w:t xml:space="preserve"> a la realidad de la utilización de</w:t>
      </w:r>
      <w:r w:rsidR="00595237" w:rsidRPr="008762D1">
        <w:rPr>
          <w:rFonts w:ascii="ITC Avant Garde" w:hAnsi="ITC Avant Garde" w:cs="Arial"/>
          <w:color w:val="000000" w:themeColor="text1"/>
          <w:lang w:eastAsia="es-MX"/>
        </w:rPr>
        <w:t xml:space="preserve"> los enlaces dedicados de interconexión,</w:t>
      </w:r>
      <w:r w:rsidR="00D049C8" w:rsidRPr="008762D1">
        <w:rPr>
          <w:rFonts w:ascii="ITC Avant Garde" w:hAnsi="ITC Avant Garde" w:cs="Arial"/>
          <w:color w:val="000000" w:themeColor="text1"/>
          <w:lang w:eastAsia="es-MX"/>
        </w:rPr>
        <w:t xml:space="preserve"> ya que la misma se realiza principalmente en horario diurno (12 horas) y es menor </w:t>
      </w:r>
      <w:r w:rsidR="00595237" w:rsidRPr="008762D1">
        <w:rPr>
          <w:rFonts w:ascii="ITC Avant Garde" w:hAnsi="ITC Avant Garde" w:cs="Arial"/>
          <w:color w:val="000000" w:themeColor="text1"/>
          <w:lang w:eastAsia="es-MX"/>
        </w:rPr>
        <w:t>algunos días de la semana</w:t>
      </w:r>
      <w:r w:rsidR="00D049C8" w:rsidRPr="008762D1">
        <w:rPr>
          <w:rFonts w:ascii="ITC Avant Garde" w:hAnsi="ITC Avant Garde" w:cs="Arial"/>
          <w:color w:val="000000" w:themeColor="text1"/>
          <w:lang w:eastAsia="es-MX"/>
        </w:rPr>
        <w:t>.</w:t>
      </w:r>
    </w:p>
    <w:p w14:paraId="06BFDA8B" w14:textId="77777777" w:rsidR="000F0B9F" w:rsidRPr="008762D1" w:rsidRDefault="009C3A5F"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Es así que, considerando </w:t>
      </w:r>
      <w:r w:rsidR="00426485" w:rsidRPr="008762D1">
        <w:rPr>
          <w:rFonts w:ascii="ITC Avant Garde" w:hAnsi="ITC Avant Garde" w:cs="Arial"/>
          <w:color w:val="000000" w:themeColor="text1"/>
          <w:lang w:eastAsia="es-MX"/>
        </w:rPr>
        <w:t>lo anterior</w:t>
      </w:r>
      <w:r w:rsidR="00D049C8" w:rsidRPr="008762D1">
        <w:rPr>
          <w:rFonts w:ascii="ITC Avant Garde" w:hAnsi="ITC Avant Garde" w:cs="Arial"/>
          <w:color w:val="000000" w:themeColor="text1"/>
          <w:lang w:eastAsia="es-MX"/>
        </w:rPr>
        <w:t xml:space="preserve">, </w:t>
      </w:r>
      <w:r w:rsidR="00426485" w:rsidRPr="008762D1">
        <w:rPr>
          <w:rFonts w:ascii="ITC Avant Garde" w:hAnsi="ITC Avant Garde" w:cs="Arial"/>
          <w:color w:val="000000" w:themeColor="text1"/>
          <w:lang w:eastAsia="es-MX"/>
        </w:rPr>
        <w:t xml:space="preserve">y bajo la lógica señalada por Telmex en </w:t>
      </w:r>
      <w:r w:rsidR="000E6679" w:rsidRPr="008762D1">
        <w:rPr>
          <w:rFonts w:ascii="ITC Avant Garde" w:hAnsi="ITC Avant Garde" w:cs="Arial"/>
          <w:color w:val="000000" w:themeColor="text1"/>
          <w:lang w:eastAsia="es-MX"/>
        </w:rPr>
        <w:t>el E</w:t>
      </w:r>
      <w:r w:rsidR="00426485" w:rsidRPr="008762D1">
        <w:rPr>
          <w:rFonts w:ascii="ITC Avant Garde" w:hAnsi="ITC Avant Garde" w:cs="Arial"/>
          <w:color w:val="000000" w:themeColor="text1"/>
          <w:lang w:eastAsia="es-MX"/>
        </w:rPr>
        <w:t xml:space="preserve">scrito de </w:t>
      </w:r>
      <w:r w:rsidR="000E6679" w:rsidRPr="008762D1">
        <w:rPr>
          <w:rFonts w:ascii="ITC Avant Garde" w:hAnsi="ITC Avant Garde" w:cs="Arial"/>
          <w:color w:val="000000" w:themeColor="text1"/>
          <w:lang w:eastAsia="es-MX"/>
        </w:rPr>
        <w:t>R</w:t>
      </w:r>
      <w:r w:rsidR="00426485" w:rsidRPr="008762D1">
        <w:rPr>
          <w:rFonts w:ascii="ITC Avant Garde" w:hAnsi="ITC Avant Garde" w:cs="Arial"/>
          <w:color w:val="000000" w:themeColor="text1"/>
          <w:lang w:eastAsia="es-MX"/>
        </w:rPr>
        <w:t xml:space="preserve">espuesta, </w:t>
      </w:r>
      <w:r w:rsidR="001A0A45" w:rsidRPr="008762D1">
        <w:rPr>
          <w:rFonts w:ascii="ITC Avant Garde" w:hAnsi="ITC Avant Garde" w:cs="Arial"/>
          <w:color w:val="000000" w:themeColor="text1"/>
          <w:lang w:eastAsia="es-MX"/>
        </w:rPr>
        <w:t xml:space="preserve">los minutos que se pueden transmitir en </w:t>
      </w:r>
      <w:r w:rsidR="00B642A0" w:rsidRPr="008762D1">
        <w:rPr>
          <w:rFonts w:ascii="ITC Avant Garde" w:hAnsi="ITC Avant Garde" w:cs="Arial"/>
          <w:color w:val="000000" w:themeColor="text1"/>
          <w:lang w:eastAsia="es-MX"/>
        </w:rPr>
        <w:t>un enlace de 1</w:t>
      </w:r>
      <w:r w:rsidR="001A0A45" w:rsidRPr="008762D1">
        <w:rPr>
          <w:rFonts w:ascii="ITC Avant Garde" w:hAnsi="ITC Avant Garde" w:cs="Arial"/>
          <w:color w:val="000000" w:themeColor="text1"/>
          <w:lang w:eastAsia="es-MX"/>
        </w:rPr>
        <w:t xml:space="preserve"> </w:t>
      </w:r>
      <w:proofErr w:type="spellStart"/>
      <w:r w:rsidR="00B642A0" w:rsidRPr="008762D1">
        <w:rPr>
          <w:rFonts w:ascii="ITC Avant Garde" w:hAnsi="ITC Avant Garde" w:cs="Arial"/>
          <w:color w:val="000000" w:themeColor="text1"/>
          <w:lang w:eastAsia="es-MX"/>
        </w:rPr>
        <w:t>Gbps</w:t>
      </w:r>
      <w:proofErr w:type="spellEnd"/>
      <w:r w:rsidR="00D049C8" w:rsidRPr="008762D1">
        <w:rPr>
          <w:rFonts w:ascii="ITC Avant Garde" w:hAnsi="ITC Avant Garde" w:cs="Arial"/>
          <w:color w:val="000000" w:themeColor="text1"/>
          <w:lang w:eastAsia="es-MX"/>
        </w:rPr>
        <w:t xml:space="preserve">, </w:t>
      </w:r>
      <w:r w:rsidR="00D049C8" w:rsidRPr="008762D1">
        <w:rPr>
          <w:rFonts w:ascii="ITC Avant Garde" w:hAnsi="ITC Avant Garde" w:cs="Arial"/>
          <w:color w:val="000000" w:themeColor="text1"/>
          <w:lang w:eastAsia="es-MX"/>
        </w:rPr>
        <w:lastRenderedPageBreak/>
        <w:t>utilizando el códec G.729 con vel</w:t>
      </w:r>
      <w:r w:rsidR="00595237" w:rsidRPr="008762D1">
        <w:rPr>
          <w:rFonts w:ascii="ITC Avant Garde" w:hAnsi="ITC Avant Garde" w:cs="Arial"/>
          <w:color w:val="000000" w:themeColor="text1"/>
          <w:lang w:eastAsia="es-MX"/>
        </w:rPr>
        <w:t>ocidad de 32 kbps, al 100% de su</w:t>
      </w:r>
      <w:r w:rsidR="00D049C8" w:rsidRPr="008762D1">
        <w:rPr>
          <w:rFonts w:ascii="ITC Avant Garde" w:hAnsi="ITC Avant Garde" w:cs="Arial"/>
          <w:color w:val="000000" w:themeColor="text1"/>
          <w:lang w:eastAsia="es-MX"/>
        </w:rPr>
        <w:t xml:space="preserve"> capacidad son </w:t>
      </w:r>
      <w:r w:rsidR="001A0A45" w:rsidRPr="008762D1">
        <w:rPr>
          <w:rFonts w:ascii="ITC Avant Garde" w:hAnsi="ITC Avant Garde" w:cs="Arial"/>
          <w:color w:val="000000" w:themeColor="text1"/>
          <w:lang w:eastAsia="es-MX"/>
        </w:rPr>
        <w:t>570 millones de minutos aproximadamente</w:t>
      </w:r>
      <w:r w:rsidR="00426485" w:rsidRPr="008762D1">
        <w:rPr>
          <w:rFonts w:ascii="ITC Avant Garde" w:hAnsi="ITC Avant Garde" w:cs="Arial"/>
          <w:color w:val="000000" w:themeColor="text1"/>
          <w:lang w:eastAsia="es-MX"/>
        </w:rPr>
        <w:t xml:space="preserve">, cifra inferior a </w:t>
      </w:r>
      <w:r w:rsidR="001A0A45" w:rsidRPr="008762D1">
        <w:rPr>
          <w:rFonts w:ascii="ITC Avant Garde" w:hAnsi="ITC Avant Garde" w:cs="Arial"/>
          <w:color w:val="000000" w:themeColor="text1"/>
          <w:lang w:eastAsia="es-MX"/>
        </w:rPr>
        <w:t xml:space="preserve">los 918 millones de minutos señalados por Telmex. </w:t>
      </w:r>
    </w:p>
    <w:p w14:paraId="06F5B785" w14:textId="77777777" w:rsidR="000F0B9F" w:rsidRPr="008762D1" w:rsidRDefault="00426485"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Ahora bien</w:t>
      </w:r>
      <w:r w:rsidR="001A0A45" w:rsidRPr="008762D1">
        <w:rPr>
          <w:rFonts w:ascii="ITC Avant Garde" w:hAnsi="ITC Avant Garde" w:cs="Arial"/>
          <w:color w:val="000000" w:themeColor="text1"/>
          <w:lang w:eastAsia="es-MX"/>
        </w:rPr>
        <w:t xml:space="preserve">, </w:t>
      </w:r>
      <w:r w:rsidR="00B41EBE" w:rsidRPr="008762D1">
        <w:rPr>
          <w:rFonts w:ascii="ITC Avant Garde" w:hAnsi="ITC Avant Garde" w:cs="Arial"/>
          <w:color w:val="000000" w:themeColor="text1"/>
          <w:lang w:eastAsia="es-MX"/>
        </w:rPr>
        <w:t xml:space="preserve">con base en las estadísticas de tráfico de interconexión con las que cuenta el Instituto se observa que el volumen de tráfico actual que intercambian los concesionarios puede cursarse en enlaces de interconexión con capacidad de 1 </w:t>
      </w:r>
      <w:proofErr w:type="spellStart"/>
      <w:r w:rsidR="00B41EBE" w:rsidRPr="008762D1">
        <w:rPr>
          <w:rFonts w:ascii="ITC Avant Garde" w:hAnsi="ITC Avant Garde" w:cs="Arial"/>
          <w:color w:val="000000" w:themeColor="text1"/>
          <w:lang w:eastAsia="es-MX"/>
        </w:rPr>
        <w:t>Gbps</w:t>
      </w:r>
      <w:proofErr w:type="spellEnd"/>
      <w:r w:rsidR="00B41EBE" w:rsidRPr="008762D1">
        <w:rPr>
          <w:rFonts w:ascii="ITC Avant Garde" w:hAnsi="ITC Avant Garde" w:cs="Arial"/>
          <w:color w:val="000000" w:themeColor="text1"/>
          <w:lang w:eastAsia="es-MX"/>
        </w:rPr>
        <w:t xml:space="preserve"> e ir incrementando la misma mediante el despliegue de enlaces de dicha capacidad; por lo que se concede razón a Telmex </w:t>
      </w:r>
      <w:r w:rsidRPr="008762D1">
        <w:rPr>
          <w:rFonts w:ascii="ITC Avant Garde" w:hAnsi="ITC Avant Garde" w:cs="Arial"/>
          <w:color w:val="000000" w:themeColor="text1"/>
          <w:lang w:eastAsia="es-MX"/>
        </w:rPr>
        <w:t>en el sentido de que bajo las necesidades actuales de tráfico</w:t>
      </w:r>
      <w:r w:rsidR="00515559" w:rsidRPr="008762D1">
        <w:rPr>
          <w:rFonts w:ascii="ITC Avant Garde" w:hAnsi="ITC Avant Garde" w:cs="Arial"/>
          <w:color w:val="000000" w:themeColor="text1"/>
          <w:lang w:eastAsia="es-MX"/>
        </w:rPr>
        <w:t xml:space="preserve"> los enlaces de 1 </w:t>
      </w:r>
      <w:proofErr w:type="spellStart"/>
      <w:r w:rsidR="00515559" w:rsidRPr="008762D1">
        <w:rPr>
          <w:rFonts w:ascii="ITC Avant Garde" w:hAnsi="ITC Avant Garde" w:cs="Arial"/>
          <w:color w:val="000000" w:themeColor="text1"/>
          <w:lang w:eastAsia="es-MX"/>
        </w:rPr>
        <w:t>Gbps</w:t>
      </w:r>
      <w:proofErr w:type="spellEnd"/>
      <w:r w:rsidR="00515559" w:rsidRPr="008762D1">
        <w:rPr>
          <w:rFonts w:ascii="ITC Avant Garde" w:hAnsi="ITC Avant Garde" w:cs="Arial"/>
          <w:color w:val="000000" w:themeColor="text1"/>
          <w:lang w:eastAsia="es-MX"/>
        </w:rPr>
        <w:t xml:space="preserve"> son suficientes para cursar el tráfico de interconexión</w:t>
      </w:r>
      <w:r w:rsidR="00595237" w:rsidRPr="008762D1">
        <w:rPr>
          <w:rFonts w:ascii="ITC Avant Garde" w:hAnsi="ITC Avant Garde" w:cs="Arial"/>
          <w:color w:val="000000" w:themeColor="text1"/>
          <w:lang w:eastAsia="es-MX"/>
        </w:rPr>
        <w:t>.</w:t>
      </w:r>
    </w:p>
    <w:p w14:paraId="37BC74DB" w14:textId="77777777" w:rsidR="000F0B9F" w:rsidRPr="008762D1" w:rsidRDefault="00515559"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Lo anterior sin perjuicio de que en revisiones posteriores del CMI el Instituto pueda </w:t>
      </w:r>
      <w:r w:rsidR="00FF556E" w:rsidRPr="008762D1">
        <w:rPr>
          <w:rFonts w:ascii="ITC Avant Garde" w:hAnsi="ITC Avant Garde" w:cs="Arial"/>
          <w:color w:val="000000" w:themeColor="text1"/>
          <w:lang w:eastAsia="es-MX"/>
        </w:rPr>
        <w:t>requerir de</w:t>
      </w:r>
      <w:r w:rsidR="00595237" w:rsidRPr="008762D1">
        <w:rPr>
          <w:rFonts w:ascii="ITC Avant Garde" w:hAnsi="ITC Avant Garde" w:cs="Arial"/>
          <w:color w:val="000000" w:themeColor="text1"/>
          <w:lang w:eastAsia="es-MX"/>
        </w:rPr>
        <w:t xml:space="preserve"> </w:t>
      </w:r>
      <w:r w:rsidR="00FF556E" w:rsidRPr="008762D1">
        <w:rPr>
          <w:rFonts w:ascii="ITC Avant Garde" w:hAnsi="ITC Avant Garde" w:cs="Arial"/>
          <w:color w:val="000000" w:themeColor="text1"/>
          <w:lang w:eastAsia="es-MX"/>
        </w:rPr>
        <w:t xml:space="preserve">enlaces dedicados de interconexión </w:t>
      </w:r>
      <w:r w:rsidR="00DC5C44" w:rsidRPr="008762D1">
        <w:rPr>
          <w:rFonts w:ascii="ITC Avant Garde" w:hAnsi="ITC Avant Garde" w:cs="Arial"/>
          <w:color w:val="000000" w:themeColor="text1"/>
          <w:lang w:eastAsia="es-MX"/>
        </w:rPr>
        <w:t xml:space="preserve">de 10 </w:t>
      </w:r>
      <w:proofErr w:type="spellStart"/>
      <w:r w:rsidR="00DC5C44" w:rsidRPr="008762D1">
        <w:rPr>
          <w:rFonts w:ascii="ITC Avant Garde" w:hAnsi="ITC Avant Garde" w:cs="Arial"/>
          <w:color w:val="000000" w:themeColor="text1"/>
          <w:lang w:eastAsia="es-MX"/>
        </w:rPr>
        <w:t>Gbps</w:t>
      </w:r>
      <w:proofErr w:type="spellEnd"/>
      <w:r w:rsidR="00DC5C44" w:rsidRPr="008762D1">
        <w:rPr>
          <w:rFonts w:ascii="ITC Avant Garde" w:hAnsi="ITC Avant Garde" w:cs="Arial"/>
          <w:color w:val="000000" w:themeColor="text1"/>
          <w:lang w:eastAsia="es-MX"/>
        </w:rPr>
        <w:t xml:space="preserve"> cuando el volumen de tráfico intercambiado se incremente </w:t>
      </w:r>
      <w:r w:rsidR="00FF556E" w:rsidRPr="008762D1">
        <w:rPr>
          <w:rFonts w:ascii="ITC Avant Garde" w:hAnsi="ITC Avant Garde" w:cs="Arial"/>
          <w:color w:val="000000" w:themeColor="text1"/>
          <w:lang w:eastAsia="es-MX"/>
        </w:rPr>
        <w:t xml:space="preserve">de forma que resulte más eficiente </w:t>
      </w:r>
      <w:r w:rsidR="009C3A5F" w:rsidRPr="008762D1">
        <w:rPr>
          <w:rFonts w:ascii="ITC Avant Garde" w:hAnsi="ITC Avant Garde" w:cs="Arial"/>
          <w:color w:val="000000" w:themeColor="text1"/>
          <w:lang w:eastAsia="es-MX"/>
        </w:rPr>
        <w:t xml:space="preserve">la utilización de </w:t>
      </w:r>
      <w:r w:rsidR="00FF556E" w:rsidRPr="008762D1">
        <w:rPr>
          <w:rFonts w:ascii="ITC Avant Garde" w:hAnsi="ITC Avant Garde" w:cs="Arial"/>
          <w:color w:val="000000" w:themeColor="text1"/>
          <w:lang w:eastAsia="es-MX"/>
        </w:rPr>
        <w:t>enlaces de 1</w:t>
      </w:r>
      <w:r w:rsidR="009C3A5F" w:rsidRPr="008762D1">
        <w:rPr>
          <w:rFonts w:ascii="ITC Avant Garde" w:hAnsi="ITC Avant Garde" w:cs="Arial"/>
          <w:color w:val="000000" w:themeColor="text1"/>
          <w:lang w:eastAsia="es-MX"/>
        </w:rPr>
        <w:t xml:space="preserve">0 </w:t>
      </w:r>
      <w:proofErr w:type="spellStart"/>
      <w:r w:rsidR="00FF556E" w:rsidRPr="008762D1">
        <w:rPr>
          <w:rFonts w:ascii="ITC Avant Garde" w:hAnsi="ITC Avant Garde" w:cs="Arial"/>
          <w:color w:val="000000" w:themeColor="text1"/>
          <w:lang w:eastAsia="es-MX"/>
        </w:rPr>
        <w:t>Gbps</w:t>
      </w:r>
      <w:proofErr w:type="spellEnd"/>
      <w:r w:rsidR="009C3A5F" w:rsidRPr="008762D1">
        <w:rPr>
          <w:rFonts w:ascii="ITC Avant Garde" w:hAnsi="ITC Avant Garde" w:cs="Arial"/>
          <w:color w:val="000000" w:themeColor="text1"/>
          <w:lang w:eastAsia="es-MX"/>
        </w:rPr>
        <w:t xml:space="preserve"> que</w:t>
      </w:r>
      <w:r w:rsidR="00FF556E" w:rsidRPr="008762D1">
        <w:rPr>
          <w:rFonts w:ascii="ITC Avant Garde" w:hAnsi="ITC Avant Garde" w:cs="Arial"/>
          <w:color w:val="000000" w:themeColor="text1"/>
          <w:lang w:eastAsia="es-MX"/>
        </w:rPr>
        <w:t xml:space="preserve"> enlaces de 1 </w:t>
      </w:r>
      <w:proofErr w:type="spellStart"/>
      <w:r w:rsidR="00FF556E" w:rsidRPr="008762D1">
        <w:rPr>
          <w:rFonts w:ascii="ITC Avant Garde" w:hAnsi="ITC Avant Garde" w:cs="Arial"/>
          <w:color w:val="000000" w:themeColor="text1"/>
          <w:lang w:eastAsia="es-MX"/>
        </w:rPr>
        <w:t>Gbps</w:t>
      </w:r>
      <w:proofErr w:type="spellEnd"/>
      <w:r w:rsidR="00DC5C44" w:rsidRPr="008762D1">
        <w:rPr>
          <w:rFonts w:ascii="ITC Avant Garde" w:hAnsi="ITC Avant Garde" w:cs="Arial"/>
          <w:color w:val="000000" w:themeColor="text1"/>
          <w:lang w:eastAsia="es-MX"/>
        </w:rPr>
        <w:t>.</w:t>
      </w:r>
    </w:p>
    <w:p w14:paraId="53CDE6C6" w14:textId="77777777" w:rsidR="000F0B9F" w:rsidRPr="008762D1" w:rsidRDefault="00DC5C44"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En este sentido, la propuesta de Telmex respecto a que los incrementos de capacidad en estos enlaces se </w:t>
      </w:r>
      <w:proofErr w:type="gramStart"/>
      <w:r w:rsidRPr="008762D1">
        <w:rPr>
          <w:rFonts w:ascii="ITC Avant Garde" w:hAnsi="ITC Avant Garde" w:cs="Arial"/>
          <w:color w:val="000000" w:themeColor="text1"/>
          <w:lang w:eastAsia="es-MX"/>
        </w:rPr>
        <w:t>realice</w:t>
      </w:r>
      <w:proofErr w:type="gramEnd"/>
      <w:r w:rsidRPr="008762D1">
        <w:rPr>
          <w:rFonts w:ascii="ITC Avant Garde" w:hAnsi="ITC Avant Garde" w:cs="Arial"/>
          <w:color w:val="000000" w:themeColor="text1"/>
          <w:lang w:eastAsia="es-MX"/>
        </w:rPr>
        <w:t xml:space="preserve"> en saltos de 10 Mbps o 100 Mbps resulta </w:t>
      </w:r>
      <w:r w:rsidR="00FF556E" w:rsidRPr="008762D1">
        <w:rPr>
          <w:rFonts w:ascii="ITC Avant Garde" w:hAnsi="ITC Avant Garde" w:cs="Arial"/>
          <w:color w:val="000000" w:themeColor="text1"/>
          <w:lang w:eastAsia="es-MX"/>
        </w:rPr>
        <w:t>procedente, por lo que el CMI se mantiene en los términos presentados por Telmex</w:t>
      </w:r>
      <w:r w:rsidRPr="008762D1">
        <w:rPr>
          <w:rFonts w:ascii="ITC Avant Garde" w:hAnsi="ITC Avant Garde" w:cs="Arial"/>
          <w:color w:val="000000" w:themeColor="text1"/>
          <w:lang w:eastAsia="es-MX"/>
        </w:rPr>
        <w:t>.</w:t>
      </w:r>
    </w:p>
    <w:p w14:paraId="7F7320B3" w14:textId="3A7C7629" w:rsidR="000F0B9F" w:rsidRPr="008762D1" w:rsidRDefault="00970467"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Asimismo, respecto a los tipos de enlaces dedicados de interconexión E1, E3 y STM1 que Telmex deber</w:t>
      </w:r>
      <w:r w:rsidR="00EA07C9" w:rsidRPr="008762D1">
        <w:rPr>
          <w:rFonts w:ascii="ITC Avant Garde" w:hAnsi="ITC Avant Garde" w:cs="Arial"/>
          <w:color w:val="000000" w:themeColor="text1"/>
          <w:lang w:eastAsia="es-MX"/>
        </w:rPr>
        <w:t xml:space="preserve">á proporcionar al CS, </w:t>
      </w:r>
      <w:r w:rsidRPr="008762D1">
        <w:rPr>
          <w:rFonts w:ascii="ITC Avant Garde" w:hAnsi="ITC Avant Garde" w:cs="Arial"/>
          <w:color w:val="000000" w:themeColor="text1"/>
          <w:lang w:eastAsia="es-MX"/>
        </w:rPr>
        <w:t>se analizará</w:t>
      </w:r>
      <w:r w:rsidR="00EA07C9" w:rsidRPr="008762D1">
        <w:rPr>
          <w:rFonts w:ascii="ITC Avant Garde" w:hAnsi="ITC Avant Garde" w:cs="Arial"/>
          <w:color w:val="000000" w:themeColor="text1"/>
          <w:lang w:eastAsia="es-MX"/>
        </w:rPr>
        <w:t>n</w:t>
      </w:r>
      <w:r w:rsidRPr="008762D1">
        <w:rPr>
          <w:rFonts w:ascii="ITC Avant Garde" w:hAnsi="ITC Avant Garde" w:cs="Arial"/>
          <w:color w:val="000000" w:themeColor="text1"/>
          <w:lang w:eastAsia="es-MX"/>
        </w:rPr>
        <w:t xml:space="preserve"> en el numeral </w:t>
      </w:r>
      <w:r w:rsidR="00710F50" w:rsidRPr="008762D1">
        <w:rPr>
          <w:rFonts w:ascii="ITC Avant Garde" w:hAnsi="ITC Avant Garde" w:cs="Arial"/>
          <w:color w:val="000000" w:themeColor="text1"/>
          <w:lang w:eastAsia="es-MX"/>
        </w:rPr>
        <w:t>6.2</w:t>
      </w:r>
      <w:r w:rsidR="00E160DF" w:rsidRPr="008762D1">
        <w:rPr>
          <w:rFonts w:ascii="ITC Avant Garde" w:hAnsi="ITC Avant Garde" w:cs="Arial"/>
          <w:color w:val="000000" w:themeColor="text1"/>
          <w:lang w:eastAsia="es-MX"/>
        </w:rPr>
        <w:t xml:space="preserve">5.1 Interfaces de los servicios. Por lo anterior se modificó el numeral 5.5 en el siguiente sentido: </w:t>
      </w:r>
    </w:p>
    <w:p w14:paraId="52424BD6" w14:textId="77777777" w:rsidR="000F0B9F" w:rsidRPr="008762D1" w:rsidRDefault="00E160DF"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“5.5. ENLACES DEDICADOS DE  INTERCONEXIÓN.</w:t>
      </w:r>
    </w:p>
    <w:p w14:paraId="2451CA51" w14:textId="5E12D32E" w:rsidR="000F0B9F" w:rsidRPr="008762D1" w:rsidRDefault="00E160DF"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 xml:space="preserve">Telmex deberá proporcionar a </w:t>
      </w:r>
      <w:r w:rsidR="008762D1" w:rsidRPr="008762D1">
        <w:rPr>
          <w:rFonts w:cs="Arial"/>
          <w:b/>
          <w:color w:val="0000FF"/>
        </w:rPr>
        <w:t>(…)</w:t>
      </w:r>
      <w:r w:rsidR="008762D1">
        <w:rPr>
          <w:rFonts w:cs="Arial"/>
          <w:b/>
          <w:color w:val="0000FF"/>
        </w:rPr>
        <w:t xml:space="preserve"> </w:t>
      </w:r>
      <w:r w:rsidRPr="008762D1">
        <w:rPr>
          <w:rFonts w:ascii="ITC Avant Garde" w:hAnsi="ITC Avant Garde" w:cs="Arial"/>
          <w:color w:val="000000" w:themeColor="text1"/>
          <w:sz w:val="18"/>
          <w:szCs w:val="18"/>
          <w:lang w:eastAsia="es-MX"/>
        </w:rPr>
        <w:t>los siguientes tipos de Enlaces Dedicados de  Interconexión</w:t>
      </w:r>
      <w:r w:rsidR="00D03667" w:rsidRPr="008762D1">
        <w:rPr>
          <w:rFonts w:ascii="ITC Avant Garde" w:hAnsi="ITC Avant Garde" w:cs="Arial"/>
          <w:color w:val="000000" w:themeColor="text1"/>
          <w:sz w:val="18"/>
          <w:szCs w:val="18"/>
          <w:lang w:eastAsia="es-MX"/>
        </w:rPr>
        <w:t xml:space="preserve">: </w:t>
      </w:r>
      <w:r w:rsidR="00D03667" w:rsidRPr="008762D1">
        <w:rPr>
          <w:rFonts w:ascii="ITC Avant Garde" w:hAnsi="ITC Avant Garde" w:cs="Arial"/>
          <w:strike/>
          <w:color w:val="000000" w:themeColor="text1"/>
          <w:sz w:val="18"/>
          <w:szCs w:val="18"/>
          <w:lang w:eastAsia="es-MX"/>
        </w:rPr>
        <w:t xml:space="preserve">Enlaces E1, E3, STM1, así como </w:t>
      </w:r>
      <w:r w:rsidR="00D03667" w:rsidRPr="008762D1">
        <w:rPr>
          <w:rFonts w:ascii="ITC Avant Garde" w:hAnsi="ITC Avant Garde" w:cs="Arial"/>
          <w:color w:val="000000" w:themeColor="text1"/>
          <w:sz w:val="18"/>
          <w:szCs w:val="18"/>
          <w:lang w:eastAsia="es-MX"/>
        </w:rPr>
        <w:t xml:space="preserve">Ethernet de 1 </w:t>
      </w:r>
      <w:proofErr w:type="spellStart"/>
      <w:r w:rsidR="00D03667" w:rsidRPr="008762D1">
        <w:rPr>
          <w:rFonts w:ascii="ITC Avant Garde" w:hAnsi="ITC Avant Garde" w:cs="Arial"/>
          <w:color w:val="000000" w:themeColor="text1"/>
          <w:sz w:val="18"/>
          <w:szCs w:val="18"/>
          <w:lang w:eastAsia="es-MX"/>
        </w:rPr>
        <w:t>Gbps</w:t>
      </w:r>
      <w:proofErr w:type="spellEnd"/>
      <w:r w:rsidR="00D03667" w:rsidRPr="008762D1">
        <w:rPr>
          <w:rFonts w:ascii="ITC Avant Garde" w:hAnsi="ITC Avant Garde" w:cs="Arial"/>
          <w:strike/>
          <w:color w:val="000000" w:themeColor="text1"/>
          <w:sz w:val="18"/>
          <w:szCs w:val="18"/>
          <w:lang w:eastAsia="es-MX"/>
        </w:rPr>
        <w:t xml:space="preserve">, </w:t>
      </w:r>
      <w:r w:rsidR="00D03667" w:rsidRPr="008762D1">
        <w:rPr>
          <w:rFonts w:ascii="ITC Avant Garde" w:hAnsi="ITC Avant Garde" w:cs="Arial"/>
          <w:strike/>
          <w:color w:val="000000" w:themeColor="text1"/>
          <w:sz w:val="18"/>
          <w:szCs w:val="18"/>
          <w:u w:val="single"/>
          <w:lang w:eastAsia="es-MX"/>
        </w:rPr>
        <w:t xml:space="preserve">10 </w:t>
      </w:r>
      <w:proofErr w:type="spellStart"/>
      <w:r w:rsidR="00D03667" w:rsidRPr="008762D1">
        <w:rPr>
          <w:rFonts w:ascii="ITC Avant Garde" w:hAnsi="ITC Avant Garde" w:cs="Arial"/>
          <w:strike/>
          <w:color w:val="000000" w:themeColor="text1"/>
          <w:sz w:val="18"/>
          <w:szCs w:val="18"/>
          <w:u w:val="single"/>
          <w:lang w:eastAsia="es-MX"/>
        </w:rPr>
        <w:t>Gbps</w:t>
      </w:r>
      <w:proofErr w:type="spellEnd"/>
      <w:r w:rsidR="00D03667" w:rsidRPr="008762D1">
        <w:rPr>
          <w:rFonts w:ascii="ITC Avant Garde" w:hAnsi="ITC Avant Garde" w:cs="Arial"/>
          <w:strike/>
          <w:color w:val="000000" w:themeColor="text1"/>
          <w:sz w:val="18"/>
          <w:szCs w:val="18"/>
          <w:lang w:eastAsia="es-MX"/>
        </w:rPr>
        <w:t>.</w:t>
      </w:r>
      <w:r w:rsidR="00D03667" w:rsidRPr="008762D1">
        <w:rPr>
          <w:rFonts w:ascii="ITC Avant Garde" w:hAnsi="ITC Avant Garde" w:cs="Arial"/>
          <w:color w:val="000000" w:themeColor="text1"/>
          <w:sz w:val="18"/>
          <w:szCs w:val="18"/>
          <w:lang w:eastAsia="es-MX"/>
        </w:rPr>
        <w:t xml:space="preserve"> Estos </w:t>
      </w:r>
      <w:r w:rsidRPr="008762D1">
        <w:rPr>
          <w:rFonts w:ascii="ITC Avant Garde" w:hAnsi="ITC Avant Garde" w:cs="Arial"/>
          <w:color w:val="000000" w:themeColor="text1"/>
          <w:sz w:val="18"/>
          <w:szCs w:val="18"/>
          <w:lang w:eastAsia="es-MX"/>
        </w:rPr>
        <w:t>enlaces de transmisión de interconexión podrán ser utilizados para conducción de Tráfico Público Conmutado de cualquier tipo ya sea servicio fijo, móvil o de tránsito.</w:t>
      </w:r>
    </w:p>
    <w:p w14:paraId="082AD76F" w14:textId="54643BAA" w:rsidR="00E160DF" w:rsidRPr="008762D1" w:rsidRDefault="00E160DF"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u w:val="single"/>
        </w:rPr>
        <w:t xml:space="preserve">Lo anterior con independencia de que los enlaces de transmisión entre redes y los puertos de acceso asociados para interconexión TDM sean los que los concesionarios tengan establecidos, los cuales deben corresponder a enlaces digitales con capacidad de </w:t>
      </w:r>
      <w:r w:rsidR="00D03667" w:rsidRPr="008762D1">
        <w:rPr>
          <w:rFonts w:ascii="ITC Avant Garde" w:hAnsi="ITC Avant Garde"/>
          <w:color w:val="000000" w:themeColor="text1"/>
          <w:sz w:val="18"/>
          <w:szCs w:val="18"/>
          <w:u w:val="single"/>
        </w:rPr>
        <w:t xml:space="preserve">nivel E1 y E3 (de acuerdo con la Disposición Técnica IFT-005-2016) o STM1 </w:t>
      </w:r>
      <w:r w:rsidRPr="008762D1">
        <w:rPr>
          <w:rFonts w:ascii="ITC Avant Garde" w:hAnsi="ITC Avant Garde"/>
          <w:color w:val="000000" w:themeColor="text1"/>
          <w:sz w:val="18"/>
          <w:szCs w:val="18"/>
          <w:u w:val="single"/>
        </w:rPr>
        <w:t>(de acuerdo a las Recomendaciones de la Unión Internacional de Telecomunicaciones ITU G.780, G.803 y G.810)</w:t>
      </w:r>
      <w:r w:rsidRPr="008762D1">
        <w:rPr>
          <w:rFonts w:ascii="ITC Avant Garde" w:hAnsi="ITC Avant Garde"/>
          <w:color w:val="000000" w:themeColor="text1"/>
          <w:sz w:val="18"/>
          <w:szCs w:val="18"/>
        </w:rPr>
        <w:t>.</w:t>
      </w:r>
    </w:p>
    <w:p w14:paraId="462D8CEA" w14:textId="3183549E" w:rsidR="00E160DF" w:rsidRPr="008762D1" w:rsidRDefault="00E160DF"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w:t>
      </w:r>
    </w:p>
    <w:p w14:paraId="422CE6BE" w14:textId="77777777" w:rsidR="000F0B9F" w:rsidRPr="008762D1" w:rsidRDefault="00E160DF" w:rsidP="000F0B9F">
      <w:pPr>
        <w:pStyle w:val="IFT1"/>
        <w:spacing w:before="240" w:after="0"/>
        <w:ind w:right="567"/>
        <w:jc w:val="right"/>
        <w:rPr>
          <w:color w:val="000000" w:themeColor="text1"/>
        </w:rPr>
      </w:pPr>
      <w:r w:rsidRPr="008762D1">
        <w:rPr>
          <w:rFonts w:cs="Arial"/>
          <w:iCs w:val="0"/>
          <w:color w:val="000000" w:themeColor="text1"/>
          <w:sz w:val="18"/>
          <w:szCs w:val="18"/>
        </w:rPr>
        <w:t>Énfasis añadido</w:t>
      </w:r>
    </w:p>
    <w:p w14:paraId="4EB6639D" w14:textId="77777777" w:rsidR="000F0B9F" w:rsidRPr="008762D1" w:rsidRDefault="00845E44" w:rsidP="000F0B9F">
      <w:pPr>
        <w:pStyle w:val="IFT1"/>
        <w:numPr>
          <w:ilvl w:val="2"/>
          <w:numId w:val="9"/>
        </w:numPr>
        <w:spacing w:before="240" w:after="0"/>
        <w:ind w:left="0" w:firstLine="0"/>
        <w:rPr>
          <w:color w:val="000000" w:themeColor="text1"/>
        </w:rPr>
      </w:pPr>
      <w:r w:rsidRPr="008762D1">
        <w:rPr>
          <w:b/>
          <w:color w:val="000000" w:themeColor="text1"/>
        </w:rPr>
        <w:t>ESPECIFICACIONES TÉCNICAS DE LOS ENLACES DE TRANSMISIÓN DE INTERCONEXIÓN</w:t>
      </w:r>
      <w:r w:rsidRPr="008762D1">
        <w:rPr>
          <w:color w:val="000000" w:themeColor="text1"/>
        </w:rPr>
        <w:t>.</w:t>
      </w:r>
    </w:p>
    <w:p w14:paraId="17F7A679" w14:textId="4F9CD579" w:rsidR="0066078E" w:rsidRPr="008762D1" w:rsidRDefault="002E7472"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lastRenderedPageBreak/>
        <w:t>Análisis de la Propuesta de CMI</w:t>
      </w:r>
    </w:p>
    <w:p w14:paraId="30C1A919" w14:textId="77777777" w:rsidR="000F0B9F" w:rsidRPr="008762D1" w:rsidRDefault="0066078E"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Del análisis</w:t>
      </w:r>
      <w:r w:rsidR="00665FA8" w:rsidRPr="008762D1">
        <w:rPr>
          <w:rFonts w:ascii="ITC Avant Garde" w:hAnsi="ITC Avant Garde" w:cs="Arial"/>
          <w:color w:val="000000" w:themeColor="text1"/>
          <w:lang w:eastAsia="es-MX"/>
        </w:rPr>
        <w:t xml:space="preserve"> de la Cláusula 5.7.3 se observó</w:t>
      </w:r>
      <w:r w:rsidRPr="008762D1">
        <w:rPr>
          <w:rFonts w:ascii="ITC Avant Garde" w:hAnsi="ITC Avant Garde" w:cs="Arial"/>
          <w:color w:val="000000" w:themeColor="text1"/>
          <w:lang w:eastAsia="es-MX"/>
        </w:rPr>
        <w:t xml:space="preserve"> que la misma no se apega</w:t>
      </w:r>
      <w:r w:rsidR="00665FA8" w:rsidRPr="008762D1">
        <w:rPr>
          <w:rFonts w:ascii="ITC Avant Garde" w:hAnsi="ITC Avant Garde" w:cs="Arial"/>
          <w:color w:val="000000" w:themeColor="text1"/>
          <w:lang w:eastAsia="es-MX"/>
        </w:rPr>
        <w:t>ba</w:t>
      </w:r>
      <w:r w:rsidRPr="008762D1">
        <w:rPr>
          <w:rFonts w:ascii="ITC Avant Garde" w:hAnsi="ITC Avant Garde" w:cs="Arial"/>
          <w:color w:val="000000" w:themeColor="text1"/>
          <w:lang w:eastAsia="es-MX"/>
        </w:rPr>
        <w:t xml:space="preserve"> al marco regulatorio vigente ni a los términos y condiciones establecidos en el CMI 2017 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color w:val="000000" w:themeColor="text1"/>
          <w:lang w:eastAsia="es-MX"/>
        </w:rPr>
        <w:t xml:space="preserve"> y, toda vez que el propósito de revisar anualmente el instrumento regulatorio es mejorar, o precisar las condiciones, así como ajustarse a la evolución tecnológica del sector, y de ninguna forma se justifica la existencia de retrocesos en la regulación; el Instituto no con</w:t>
      </w:r>
      <w:r w:rsidR="00665FA8" w:rsidRPr="008762D1">
        <w:rPr>
          <w:rFonts w:ascii="ITC Avant Garde" w:hAnsi="ITC Avant Garde" w:cs="Arial"/>
          <w:color w:val="000000" w:themeColor="text1"/>
          <w:lang w:eastAsia="es-MX"/>
        </w:rPr>
        <w:t>sideró</w:t>
      </w:r>
      <w:r w:rsidRPr="008762D1">
        <w:rPr>
          <w:rFonts w:ascii="ITC Avant Garde" w:hAnsi="ITC Avant Garde" w:cs="Arial"/>
          <w:color w:val="000000" w:themeColor="text1"/>
          <w:lang w:eastAsia="es-MX"/>
        </w:rPr>
        <w:t xml:space="preserve"> procedente que en una revisión posterior del convenio ma</w:t>
      </w:r>
      <w:r w:rsidR="00665FA8" w:rsidRPr="008762D1">
        <w:rPr>
          <w:rFonts w:ascii="ITC Avant Garde" w:hAnsi="ITC Avant Garde" w:cs="Arial"/>
          <w:color w:val="000000" w:themeColor="text1"/>
          <w:lang w:eastAsia="es-MX"/>
        </w:rPr>
        <w:t>rco de interconexión se plantearan</w:t>
      </w:r>
      <w:r w:rsidRPr="008762D1">
        <w:rPr>
          <w:rFonts w:ascii="ITC Avant Garde" w:hAnsi="ITC Avant Garde" w:cs="Arial"/>
          <w:color w:val="000000" w:themeColor="text1"/>
          <w:lang w:eastAsia="es-MX"/>
        </w:rPr>
        <w:t xml:space="preserve"> términos y condiciones menos favorables que los ya autorizados por el Instituto.</w:t>
      </w:r>
    </w:p>
    <w:p w14:paraId="3D38B3D3" w14:textId="77777777" w:rsidR="000F0B9F" w:rsidRPr="008762D1" w:rsidRDefault="0066078E"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Lo anterior dado que, en</w:t>
      </w:r>
      <w:r w:rsidR="00AE3C54" w:rsidRPr="008762D1">
        <w:rPr>
          <w:rFonts w:ascii="ITC Avant Garde" w:hAnsi="ITC Avant Garde" w:cs="Arial"/>
          <w:color w:val="000000" w:themeColor="text1"/>
          <w:lang w:eastAsia="es-MX"/>
        </w:rPr>
        <w:t xml:space="preserve"> la Cláusula 5.7.3 así como en el Anexo A Tema 1 Puntos de interconexión </w:t>
      </w:r>
      <w:r w:rsidR="00665FA8" w:rsidRPr="008762D1">
        <w:rPr>
          <w:rFonts w:ascii="ITC Avant Garde" w:hAnsi="ITC Avant Garde" w:cs="Arial"/>
          <w:color w:val="000000" w:themeColor="text1"/>
          <w:lang w:eastAsia="es-MX"/>
        </w:rPr>
        <w:t>de la Propuesta de CMI se señaló</w:t>
      </w:r>
      <w:r w:rsidR="00AE3C54" w:rsidRPr="008762D1">
        <w:rPr>
          <w:rFonts w:ascii="ITC Avant Garde" w:hAnsi="ITC Avant Garde" w:cs="Arial"/>
          <w:color w:val="000000" w:themeColor="text1"/>
          <w:lang w:eastAsia="es-MX"/>
        </w:rPr>
        <w:t xml:space="preserve"> que los puntos de interconexión </w:t>
      </w:r>
      <w:r w:rsidR="00075F3C" w:rsidRPr="008762D1">
        <w:rPr>
          <w:rFonts w:ascii="ITC Avant Garde" w:hAnsi="ITC Avant Garde" w:cs="Arial"/>
          <w:color w:val="000000" w:themeColor="text1"/>
          <w:lang w:eastAsia="es-MX"/>
        </w:rPr>
        <w:t xml:space="preserve">IP </w:t>
      </w:r>
      <w:r w:rsidR="00AE3C54" w:rsidRPr="008762D1">
        <w:rPr>
          <w:rFonts w:ascii="ITC Avant Garde" w:hAnsi="ITC Avant Garde" w:cs="Arial"/>
          <w:color w:val="000000" w:themeColor="text1"/>
          <w:lang w:eastAsia="es-MX"/>
        </w:rPr>
        <w:t>de Telmex deberán ser capaces de atender todos los</w:t>
      </w:r>
      <w:r w:rsidR="009A121C" w:rsidRPr="008762D1">
        <w:rPr>
          <w:rFonts w:ascii="ITC Avant Garde" w:hAnsi="ITC Avant Garde" w:cs="Arial"/>
          <w:color w:val="000000" w:themeColor="text1"/>
          <w:lang w:eastAsia="es-MX"/>
        </w:rPr>
        <w:t xml:space="preserve"> Números Identificadores de Región</w:t>
      </w:r>
      <w:r w:rsidR="00AE3C54" w:rsidRPr="008762D1">
        <w:rPr>
          <w:rFonts w:ascii="ITC Avant Garde" w:hAnsi="ITC Avant Garde" w:cs="Arial"/>
          <w:color w:val="000000" w:themeColor="text1"/>
          <w:lang w:eastAsia="es-MX"/>
        </w:rPr>
        <w:t xml:space="preserve"> </w:t>
      </w:r>
      <w:r w:rsidR="009A121C" w:rsidRPr="008762D1">
        <w:rPr>
          <w:rFonts w:ascii="ITC Avant Garde" w:hAnsi="ITC Avant Garde" w:cs="Arial"/>
          <w:color w:val="000000" w:themeColor="text1"/>
          <w:lang w:eastAsia="es-MX"/>
        </w:rPr>
        <w:t>(</w:t>
      </w:r>
      <w:r w:rsidR="00AE3C54" w:rsidRPr="008762D1">
        <w:rPr>
          <w:rFonts w:ascii="ITC Avant Garde" w:hAnsi="ITC Avant Garde" w:cs="Arial"/>
          <w:color w:val="000000" w:themeColor="text1"/>
          <w:lang w:eastAsia="es-MX"/>
        </w:rPr>
        <w:t>NIR</w:t>
      </w:r>
      <w:r w:rsidR="009A121C" w:rsidRPr="008762D1">
        <w:rPr>
          <w:rFonts w:ascii="ITC Avant Garde" w:hAnsi="ITC Avant Garde" w:cs="Arial"/>
          <w:color w:val="000000" w:themeColor="text1"/>
          <w:lang w:eastAsia="es-MX"/>
        </w:rPr>
        <w:t>)</w:t>
      </w:r>
      <w:r w:rsidR="00AE3C54" w:rsidRPr="008762D1">
        <w:rPr>
          <w:rFonts w:ascii="ITC Avant Garde" w:hAnsi="ITC Avant Garde" w:cs="Arial"/>
          <w:color w:val="000000" w:themeColor="text1"/>
          <w:lang w:eastAsia="es-MX"/>
        </w:rPr>
        <w:t xml:space="preserve"> dentro de la cobertura definida en el título de </w:t>
      </w:r>
      <w:r w:rsidR="00AD1540" w:rsidRPr="008762D1">
        <w:rPr>
          <w:rFonts w:ascii="ITC Avant Garde" w:hAnsi="ITC Avant Garde" w:cs="Arial"/>
          <w:color w:val="000000" w:themeColor="text1"/>
          <w:lang w:eastAsia="es-MX"/>
        </w:rPr>
        <w:t>concesión</w:t>
      </w:r>
      <w:r w:rsidR="00AE3C54" w:rsidRPr="008762D1">
        <w:rPr>
          <w:rFonts w:ascii="ITC Avant Garde" w:hAnsi="ITC Avant Garde" w:cs="Arial"/>
          <w:color w:val="000000" w:themeColor="text1"/>
          <w:lang w:eastAsia="es-MX"/>
        </w:rPr>
        <w:t xml:space="preserve"> de Telmex.</w:t>
      </w:r>
    </w:p>
    <w:p w14:paraId="0D64263A" w14:textId="77777777" w:rsidR="000F0B9F" w:rsidRPr="008762D1" w:rsidRDefault="00665FA8"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De lo cual</w:t>
      </w:r>
      <w:r w:rsidR="00075F3C" w:rsidRPr="008762D1">
        <w:rPr>
          <w:rFonts w:ascii="ITC Avant Garde" w:hAnsi="ITC Avant Garde" w:cs="Arial"/>
          <w:color w:val="000000" w:themeColor="text1"/>
          <w:lang w:eastAsia="es-MX"/>
        </w:rPr>
        <w:t xml:space="preserve">, </w:t>
      </w:r>
      <w:r w:rsidR="00F126DA" w:rsidRPr="008762D1">
        <w:rPr>
          <w:rFonts w:ascii="ITC Avant Garde" w:hAnsi="ITC Avant Garde" w:cs="Arial"/>
          <w:color w:val="000000" w:themeColor="text1"/>
          <w:lang w:eastAsia="es-MX"/>
        </w:rPr>
        <w:t>conforme a lo señalado  en el Acuerdo de Puntos de Interconexión los puntos de interconexión IP de Telmex deben ser capaces de atender a todas las regiones de México incluyendo las llamadas que terminen en la red de Teléfonos del Noroeste, S.A. de C.V. es así que el</w:t>
      </w:r>
      <w:r w:rsidR="004B5AA2" w:rsidRPr="008762D1">
        <w:rPr>
          <w:rFonts w:ascii="ITC Avant Garde" w:hAnsi="ITC Avant Garde" w:cs="Arial"/>
          <w:color w:val="000000" w:themeColor="text1"/>
          <w:lang w:eastAsia="es-MX"/>
        </w:rPr>
        <w:t xml:space="preserve"> Instituto</w:t>
      </w:r>
      <w:r w:rsidR="00F126DA" w:rsidRPr="008762D1">
        <w:rPr>
          <w:rFonts w:ascii="ITC Avant Garde" w:hAnsi="ITC Avant Garde" w:cs="Arial"/>
          <w:color w:val="000000" w:themeColor="text1"/>
          <w:lang w:eastAsia="es-MX"/>
        </w:rPr>
        <w:t xml:space="preserve"> modificó</w:t>
      </w:r>
      <w:r w:rsidR="004B5AA2" w:rsidRPr="008762D1">
        <w:rPr>
          <w:rFonts w:ascii="ITC Avant Garde" w:hAnsi="ITC Avant Garde" w:cs="Arial"/>
          <w:color w:val="000000" w:themeColor="text1"/>
          <w:lang w:eastAsia="es-MX"/>
        </w:rPr>
        <w:t xml:space="preserve"> las Cláusulas </w:t>
      </w:r>
      <w:r w:rsidR="00571E68" w:rsidRPr="008762D1">
        <w:rPr>
          <w:rFonts w:ascii="ITC Avant Garde" w:hAnsi="ITC Avant Garde" w:cs="Arial"/>
          <w:color w:val="000000" w:themeColor="text1"/>
          <w:lang w:eastAsia="es-MX"/>
        </w:rPr>
        <w:t xml:space="preserve">5.4 </w:t>
      </w:r>
      <w:r w:rsidR="004B5AA2" w:rsidRPr="008762D1">
        <w:rPr>
          <w:rFonts w:ascii="ITC Avant Garde" w:hAnsi="ITC Avant Garde" w:cs="Arial"/>
          <w:color w:val="000000" w:themeColor="text1"/>
          <w:lang w:eastAsia="es-MX"/>
        </w:rPr>
        <w:t>y 5.7.3</w:t>
      </w:r>
      <w:r w:rsidR="00F126DA" w:rsidRPr="008762D1">
        <w:rPr>
          <w:rFonts w:ascii="ITC Avant Garde" w:hAnsi="ITC Avant Garde" w:cs="Arial"/>
          <w:color w:val="000000" w:themeColor="text1"/>
          <w:lang w:eastAsia="es-MX"/>
        </w:rPr>
        <w:t xml:space="preserve"> así como el Anexo A en el siguiente sentido:</w:t>
      </w:r>
    </w:p>
    <w:p w14:paraId="1E60EDEF" w14:textId="4357765A" w:rsidR="00BE6379" w:rsidRPr="008762D1" w:rsidRDefault="00BE6379" w:rsidP="000F0B9F">
      <w:pPr>
        <w:spacing w:before="240" w:after="0" w:line="276" w:lineRule="auto"/>
        <w:ind w:left="567" w:right="567"/>
        <w:jc w:val="both"/>
        <w:rPr>
          <w:rFonts w:ascii="ITC Avant Garde" w:hAnsi="ITC Avant Garde"/>
          <w:b/>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color w:val="000000" w:themeColor="text1"/>
          <w:sz w:val="18"/>
          <w:szCs w:val="18"/>
        </w:rPr>
        <w:t>5.4 PUERTOS DE ACCESO.</w:t>
      </w:r>
    </w:p>
    <w:p w14:paraId="0794A998" w14:textId="77777777" w:rsidR="00BE6379" w:rsidRPr="008762D1" w:rsidRDefault="00BE6379"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6D3ACF6F" w14:textId="77777777" w:rsidR="00872346" w:rsidRPr="008762D1" w:rsidRDefault="00872346"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Los Puertos de Acceso que debe proporcionar Telmex deberán permitir la entrega de Tráfico de cualquier origen, de cualquier tipo (local, transito, móvil y fijo) y con terminación en cualquier destino nacional </w:t>
      </w:r>
      <w:r w:rsidRPr="008762D1">
        <w:rPr>
          <w:rFonts w:ascii="ITC Avant Garde" w:hAnsi="ITC Avant Garde"/>
          <w:strike/>
          <w:color w:val="000000" w:themeColor="text1"/>
          <w:sz w:val="18"/>
          <w:szCs w:val="18"/>
        </w:rPr>
        <w:t>contenido en el área de cobertura concesionada a Telmex para clientes Telmex.</w:t>
      </w:r>
      <w:r w:rsidRPr="008762D1">
        <w:rPr>
          <w:rFonts w:ascii="ITC Avant Garde" w:hAnsi="ITC Avant Garde"/>
          <w:color w:val="000000" w:themeColor="text1"/>
          <w:sz w:val="18"/>
          <w:szCs w:val="18"/>
        </w:rPr>
        <w:t xml:space="preserve"> </w:t>
      </w:r>
      <w:r w:rsidRPr="008762D1">
        <w:rPr>
          <w:rFonts w:ascii="ITC Avant Garde" w:hAnsi="ITC Avant Garde"/>
          <w:strike/>
          <w:color w:val="000000" w:themeColor="text1"/>
          <w:sz w:val="18"/>
          <w:szCs w:val="18"/>
        </w:rPr>
        <w:t xml:space="preserve">Cuando la terminación sea </w:t>
      </w:r>
      <w:proofErr w:type="spellStart"/>
      <w:r w:rsidRPr="008762D1">
        <w:rPr>
          <w:rFonts w:ascii="ITC Avant Garde" w:hAnsi="ITC Avant Garde"/>
          <w:strike/>
          <w:color w:val="000000" w:themeColor="text1"/>
          <w:sz w:val="18"/>
          <w:szCs w:val="18"/>
        </w:rPr>
        <w:t>p</w:t>
      </w:r>
      <w:r w:rsidRPr="008762D1">
        <w:rPr>
          <w:rFonts w:ascii="ITC Avant Garde" w:hAnsi="ITC Avant Garde"/>
          <w:color w:val="000000" w:themeColor="text1"/>
          <w:sz w:val="18"/>
          <w:szCs w:val="18"/>
        </w:rPr>
        <w:t>Para</w:t>
      </w:r>
      <w:proofErr w:type="spellEnd"/>
      <w:r w:rsidRPr="008762D1">
        <w:rPr>
          <w:rFonts w:ascii="ITC Avant Garde" w:hAnsi="ITC Avant Garde"/>
          <w:color w:val="000000" w:themeColor="text1"/>
          <w:sz w:val="18"/>
          <w:szCs w:val="18"/>
        </w:rPr>
        <w:t xml:space="preserve"> clientes diferentes de Telmex la entrega se realizará mediante el Servicio de Tránsito para redes fijas y móviles.</w:t>
      </w:r>
    </w:p>
    <w:p w14:paraId="0434BD67" w14:textId="77777777" w:rsidR="00872346" w:rsidRPr="008762D1" w:rsidRDefault="00BE6379"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872346" w:rsidRPr="008762D1">
        <w:rPr>
          <w:rFonts w:ascii="ITC Avant Garde" w:hAnsi="ITC Avant Garde"/>
          <w:color w:val="000000" w:themeColor="text1"/>
          <w:sz w:val="18"/>
          <w:szCs w:val="18"/>
        </w:rPr>
        <w:t>”</w:t>
      </w:r>
    </w:p>
    <w:p w14:paraId="6CF8F052" w14:textId="77777777" w:rsidR="000F0B9F" w:rsidRPr="008762D1" w:rsidRDefault="00571E68" w:rsidP="000F0B9F">
      <w:pPr>
        <w:pStyle w:val="IFT1"/>
        <w:spacing w:before="240" w:after="0"/>
        <w:ind w:right="567"/>
        <w:jc w:val="right"/>
        <w:rPr>
          <w:color w:val="000000" w:themeColor="text1"/>
        </w:rPr>
      </w:pPr>
      <w:r w:rsidRPr="008762D1">
        <w:rPr>
          <w:rFonts w:cs="Arial"/>
          <w:iCs w:val="0"/>
          <w:color w:val="000000" w:themeColor="text1"/>
          <w:sz w:val="18"/>
          <w:szCs w:val="18"/>
        </w:rPr>
        <w:t>Énfasis añadido</w:t>
      </w:r>
    </w:p>
    <w:p w14:paraId="4C9567D6" w14:textId="561B3624" w:rsidR="00571E68" w:rsidRPr="008762D1" w:rsidRDefault="00571E68"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color w:val="000000" w:themeColor="text1"/>
          <w:sz w:val="18"/>
          <w:szCs w:val="18"/>
        </w:rPr>
        <w:t xml:space="preserve">5.7.3 Especificaciones Técnicas de los Enlaces Dedicados de Interconexión. </w:t>
      </w:r>
      <w:r w:rsidRPr="008762D1">
        <w:rPr>
          <w:rFonts w:ascii="ITC Avant Garde" w:hAnsi="ITC Avant Garde"/>
          <w:color w:val="000000" w:themeColor="text1"/>
          <w:sz w:val="18"/>
          <w:szCs w:val="18"/>
        </w:rPr>
        <w:t>Los Enlaces Dedicados de Interconexión entre redes y los Puertos de Acceso asociados, deberán establecerse de manera digital.</w:t>
      </w:r>
    </w:p>
    <w:p w14:paraId="1BE5A225" w14:textId="77777777" w:rsidR="000F0B9F" w:rsidRPr="008762D1" w:rsidRDefault="00571E68"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76438603" w14:textId="77777777" w:rsidR="000F0B9F" w:rsidRPr="008762D1" w:rsidRDefault="00571E68"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lastRenderedPageBreak/>
        <w:t>Las condiciones mínimas requeridas para el intercambio de tráfico SIP deberán ser las siguientes:</w:t>
      </w:r>
    </w:p>
    <w:p w14:paraId="6294986C" w14:textId="538A2894" w:rsidR="00F126DA" w:rsidRPr="008762D1" w:rsidRDefault="00571E68"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color w:val="000000" w:themeColor="text1"/>
          <w:sz w:val="18"/>
          <w:szCs w:val="18"/>
        </w:rPr>
        <w:tab/>
        <w:t xml:space="preserve">Telmex entrega en el Sub-Anexo A-1 los Puntos de Interconexión IP, en donde pueden interconectar su Red Pública de Telecomunicaciones en protocolo SIP. Los Puntos de Interconexión deberán ser capaces de atender a </w:t>
      </w:r>
      <w:r w:rsidR="00F126DA" w:rsidRPr="008762D1">
        <w:rPr>
          <w:rFonts w:ascii="ITC Avant Garde" w:hAnsi="ITC Avant Garde"/>
          <w:strike/>
          <w:color w:val="000000" w:themeColor="text1"/>
          <w:sz w:val="18"/>
          <w:szCs w:val="18"/>
        </w:rPr>
        <w:t xml:space="preserve">todos los NIR dentro de la cobertura definida en el título de </w:t>
      </w:r>
      <w:proofErr w:type="spellStart"/>
      <w:r w:rsidR="00F126DA" w:rsidRPr="008762D1">
        <w:rPr>
          <w:rFonts w:ascii="ITC Avant Garde" w:hAnsi="ITC Avant Garde"/>
          <w:strike/>
          <w:color w:val="000000" w:themeColor="text1"/>
          <w:sz w:val="18"/>
          <w:szCs w:val="18"/>
        </w:rPr>
        <w:t>conceión</w:t>
      </w:r>
      <w:proofErr w:type="spellEnd"/>
      <w:r w:rsidR="00F126DA" w:rsidRPr="008762D1">
        <w:rPr>
          <w:rFonts w:ascii="ITC Avant Garde" w:hAnsi="ITC Avant Garde"/>
          <w:strike/>
          <w:color w:val="000000" w:themeColor="text1"/>
          <w:sz w:val="18"/>
          <w:szCs w:val="18"/>
        </w:rPr>
        <w:t xml:space="preserve"> de </w:t>
      </w:r>
      <w:proofErr w:type="spellStart"/>
      <w:r w:rsidR="00F126DA" w:rsidRPr="008762D1">
        <w:rPr>
          <w:rFonts w:ascii="ITC Avant Garde" w:hAnsi="ITC Avant Garde"/>
          <w:strike/>
          <w:color w:val="000000" w:themeColor="text1"/>
          <w:sz w:val="18"/>
          <w:szCs w:val="18"/>
        </w:rPr>
        <w:t>Telmex</w:t>
      </w:r>
      <w:r w:rsidRPr="008762D1">
        <w:rPr>
          <w:rFonts w:ascii="ITC Avant Garde" w:hAnsi="ITC Avant Garde"/>
          <w:color w:val="000000" w:themeColor="text1"/>
          <w:sz w:val="18"/>
          <w:szCs w:val="18"/>
          <w:u w:val="single"/>
        </w:rPr>
        <w:t>todas</w:t>
      </w:r>
      <w:proofErr w:type="spellEnd"/>
      <w:r w:rsidRPr="008762D1">
        <w:rPr>
          <w:rFonts w:ascii="ITC Avant Garde" w:hAnsi="ITC Avant Garde"/>
          <w:color w:val="000000" w:themeColor="text1"/>
          <w:sz w:val="18"/>
          <w:szCs w:val="18"/>
          <w:u w:val="single"/>
        </w:rPr>
        <w:t xml:space="preserve"> las regiones de México</w:t>
      </w:r>
      <w:r w:rsidRPr="008762D1">
        <w:rPr>
          <w:rFonts w:ascii="ITC Avant Garde" w:hAnsi="ITC Avant Garde"/>
          <w:color w:val="000000" w:themeColor="text1"/>
          <w:sz w:val="18"/>
          <w:szCs w:val="18"/>
        </w:rPr>
        <w:t>.</w:t>
      </w:r>
    </w:p>
    <w:p w14:paraId="79A85440" w14:textId="77777777" w:rsidR="00571E68" w:rsidRPr="008762D1" w:rsidRDefault="00F126DA"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571E68" w:rsidRPr="008762D1">
        <w:rPr>
          <w:rFonts w:ascii="ITC Avant Garde" w:hAnsi="ITC Avant Garde"/>
          <w:color w:val="000000" w:themeColor="text1"/>
          <w:sz w:val="18"/>
          <w:szCs w:val="18"/>
        </w:rPr>
        <w:t>”</w:t>
      </w:r>
    </w:p>
    <w:p w14:paraId="1A55CAB8" w14:textId="77777777" w:rsidR="000F0B9F" w:rsidRPr="008762D1" w:rsidRDefault="00571E68"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7C4C4C9E" w14:textId="17790F89" w:rsidR="00A845B0" w:rsidRPr="008762D1" w:rsidRDefault="00A845B0"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31450DCB" w14:textId="77777777" w:rsidR="000F0B9F" w:rsidRPr="008762D1" w:rsidRDefault="00F126DA"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Telmex, e</w:t>
      </w:r>
      <w:r w:rsidR="005A14F9" w:rsidRPr="008762D1">
        <w:rPr>
          <w:rFonts w:ascii="ITC Avant Garde" w:hAnsi="ITC Avant Garde"/>
          <w:color w:val="000000" w:themeColor="text1"/>
        </w:rPr>
        <w:t xml:space="preserve">n el Escrito de Respuesta </w:t>
      </w:r>
      <w:r w:rsidR="00CF3A6A" w:rsidRPr="008762D1">
        <w:rPr>
          <w:rFonts w:ascii="ITC Avant Garde" w:hAnsi="ITC Avant Garde"/>
          <w:color w:val="000000" w:themeColor="text1"/>
        </w:rPr>
        <w:t>manifiesta</w:t>
      </w:r>
      <w:r w:rsidR="00A845B0" w:rsidRPr="008762D1">
        <w:rPr>
          <w:rFonts w:ascii="ITC Avant Garde" w:hAnsi="ITC Avant Garde"/>
          <w:color w:val="000000" w:themeColor="text1"/>
        </w:rPr>
        <w:t xml:space="preserve"> que la Modifi</w:t>
      </w:r>
      <w:r w:rsidRPr="008762D1">
        <w:rPr>
          <w:rFonts w:ascii="ITC Avant Garde" w:hAnsi="ITC Avant Garde"/>
          <w:color w:val="000000" w:themeColor="text1"/>
        </w:rPr>
        <w:t>cación al Título de Concesión</w:t>
      </w:r>
      <w:r w:rsidR="00A845B0" w:rsidRPr="008762D1">
        <w:rPr>
          <w:rFonts w:ascii="ITC Avant Garde" w:hAnsi="ITC Avant Garde"/>
          <w:color w:val="000000" w:themeColor="text1"/>
        </w:rPr>
        <w:t>, establece lo siguiente:</w:t>
      </w:r>
    </w:p>
    <w:p w14:paraId="3F82995A" w14:textId="77777777" w:rsidR="000F0B9F" w:rsidRPr="008762D1" w:rsidRDefault="00DF4A0B"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A845B0" w:rsidRPr="008762D1">
        <w:rPr>
          <w:rFonts w:ascii="ITC Avant Garde" w:hAnsi="ITC Avant Garde"/>
          <w:color w:val="000000" w:themeColor="text1"/>
          <w:sz w:val="18"/>
          <w:szCs w:val="18"/>
        </w:rPr>
        <w:t xml:space="preserve">Construir, instalar, mantener, operar y explotar una red pública telefónico por un periodo de 50 años contados o partir del 70 de marzo de 1976, con cobertura en todo el territorio nacional, a excepción del </w:t>
      </w:r>
      <w:r w:rsidR="00B5580E" w:rsidRPr="008762D1">
        <w:rPr>
          <w:rFonts w:ascii="ITC Avant Garde" w:hAnsi="ITC Avant Garde"/>
          <w:color w:val="000000" w:themeColor="text1"/>
          <w:sz w:val="18"/>
          <w:szCs w:val="18"/>
        </w:rPr>
        <w:t>área</w:t>
      </w:r>
      <w:r w:rsidR="00A845B0" w:rsidRPr="008762D1">
        <w:rPr>
          <w:rFonts w:ascii="ITC Avant Garde" w:hAnsi="ITC Avant Garde"/>
          <w:color w:val="000000" w:themeColor="text1"/>
          <w:sz w:val="18"/>
          <w:szCs w:val="18"/>
        </w:rPr>
        <w:t xml:space="preserve"> concesionada a Teléfonos del </w:t>
      </w:r>
      <w:r w:rsidRPr="008762D1">
        <w:rPr>
          <w:rFonts w:ascii="ITC Avant Garde" w:hAnsi="ITC Avant Garde"/>
          <w:color w:val="000000" w:themeColor="text1"/>
          <w:sz w:val="18"/>
          <w:szCs w:val="18"/>
        </w:rPr>
        <w:t>Noroeste, S.A. de C.V.”</w:t>
      </w:r>
    </w:p>
    <w:p w14:paraId="494C7717" w14:textId="77777777" w:rsidR="000F0B9F" w:rsidRPr="008762D1" w:rsidRDefault="00A845B0"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En este sentido, </w:t>
      </w:r>
      <w:r w:rsidR="00E9066B" w:rsidRPr="008762D1">
        <w:rPr>
          <w:rFonts w:ascii="ITC Avant Garde" w:hAnsi="ITC Avant Garde"/>
          <w:color w:val="000000" w:themeColor="text1"/>
        </w:rPr>
        <w:t xml:space="preserve">Telmex señala que </w:t>
      </w:r>
      <w:r w:rsidRPr="008762D1">
        <w:rPr>
          <w:rFonts w:ascii="ITC Avant Garde" w:hAnsi="ITC Avant Garde"/>
          <w:color w:val="000000" w:themeColor="text1"/>
        </w:rPr>
        <w:t>es clara la limitante que establece que los servicios de  telecomunicaciones proporcionados por Telmex al amparo de su título de concesión, podrán ser proporcionados en todo el territorio nacional con excepción del área concesionada a Teléfonos del Noroeste, S.A. de C.V.</w:t>
      </w:r>
      <w:r w:rsidR="009A01F3" w:rsidRPr="008762D1">
        <w:rPr>
          <w:rFonts w:ascii="ITC Avant Garde" w:hAnsi="ITC Avant Garde"/>
          <w:color w:val="000000" w:themeColor="text1"/>
        </w:rPr>
        <w:t xml:space="preserve"> (en lo sucesivo, “</w:t>
      </w:r>
      <w:proofErr w:type="spellStart"/>
      <w:r w:rsidR="009A01F3" w:rsidRPr="008762D1">
        <w:rPr>
          <w:rFonts w:ascii="ITC Avant Garde" w:hAnsi="ITC Avant Garde"/>
          <w:color w:val="000000" w:themeColor="text1"/>
        </w:rPr>
        <w:t>Telnor</w:t>
      </w:r>
      <w:proofErr w:type="spellEnd"/>
      <w:r w:rsidR="009A01F3" w:rsidRPr="008762D1">
        <w:rPr>
          <w:rFonts w:ascii="ITC Avant Garde" w:hAnsi="ITC Avant Garde"/>
          <w:color w:val="000000" w:themeColor="text1"/>
        </w:rPr>
        <w:t>”)</w:t>
      </w:r>
      <w:r w:rsidRPr="008762D1">
        <w:rPr>
          <w:rFonts w:ascii="ITC Avant Garde" w:hAnsi="ITC Avant Garde"/>
          <w:color w:val="000000" w:themeColor="text1"/>
        </w:rPr>
        <w:t xml:space="preserve">, por lo que la modificación propuesta por el </w:t>
      </w:r>
      <w:proofErr w:type="spellStart"/>
      <w:r w:rsidRPr="008762D1">
        <w:rPr>
          <w:rFonts w:ascii="ITC Avant Garde" w:hAnsi="ITC Avant Garde"/>
          <w:color w:val="000000" w:themeColor="text1"/>
        </w:rPr>
        <w:t>lnstituto</w:t>
      </w:r>
      <w:proofErr w:type="spellEnd"/>
      <w:r w:rsidRPr="008762D1">
        <w:rPr>
          <w:rFonts w:ascii="ITC Avant Garde" w:hAnsi="ITC Avant Garde"/>
          <w:color w:val="000000" w:themeColor="text1"/>
        </w:rPr>
        <w:t xml:space="preserve"> es contraria a dicho título de concesión.</w:t>
      </w:r>
    </w:p>
    <w:p w14:paraId="27BE9D39" w14:textId="77777777" w:rsidR="000F0B9F" w:rsidRPr="008762D1" w:rsidRDefault="00094753"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Señala que no puede imponérsele </w:t>
      </w:r>
      <w:r w:rsidR="009A01F3" w:rsidRPr="008762D1">
        <w:rPr>
          <w:rFonts w:ascii="ITC Avant Garde" w:hAnsi="ITC Avant Garde"/>
          <w:color w:val="000000" w:themeColor="text1"/>
        </w:rPr>
        <w:t>una obligaci</w:t>
      </w:r>
      <w:r w:rsidRPr="008762D1">
        <w:rPr>
          <w:rFonts w:ascii="ITC Avant Garde" w:hAnsi="ITC Avant Garde"/>
          <w:color w:val="000000" w:themeColor="text1"/>
        </w:rPr>
        <w:t xml:space="preserve">ón contraria a ninguna norma que la rija, como lo constituye su Título de Concesión y la modificación al mismo. Por lo tanto la región contemplada en el título de concesión de </w:t>
      </w:r>
      <w:proofErr w:type="spellStart"/>
      <w:r w:rsidR="009A01F3" w:rsidRPr="008762D1">
        <w:rPr>
          <w:rFonts w:ascii="ITC Avant Garde" w:hAnsi="ITC Avant Garde"/>
          <w:color w:val="000000" w:themeColor="text1"/>
        </w:rPr>
        <w:t>Telnor</w:t>
      </w:r>
      <w:proofErr w:type="spellEnd"/>
      <w:r w:rsidRPr="008762D1">
        <w:rPr>
          <w:rFonts w:ascii="ITC Avant Garde" w:hAnsi="ITC Avant Garde"/>
          <w:color w:val="000000" w:themeColor="text1"/>
        </w:rPr>
        <w:t xml:space="preserve"> será atendida por dicha empresa y no por </w:t>
      </w:r>
      <w:r w:rsidR="009A01F3" w:rsidRPr="008762D1">
        <w:rPr>
          <w:rFonts w:ascii="ITC Avant Garde" w:hAnsi="ITC Avant Garde"/>
          <w:color w:val="000000" w:themeColor="text1"/>
        </w:rPr>
        <w:t>Telmex</w:t>
      </w:r>
      <w:r w:rsidRPr="008762D1">
        <w:rPr>
          <w:rFonts w:ascii="ITC Avant Garde" w:hAnsi="ITC Avant Garde"/>
          <w:color w:val="000000" w:themeColor="text1"/>
        </w:rPr>
        <w:t xml:space="preserve">. En ese mismo sentido, de la definición de Servicios de Tránsito contemplada en el CMI, Telmex señala que la </w:t>
      </w:r>
      <w:r w:rsidR="003E286A" w:rsidRPr="008762D1">
        <w:rPr>
          <w:rFonts w:ascii="ITC Avant Garde" w:hAnsi="ITC Avant Garde"/>
          <w:color w:val="000000" w:themeColor="text1"/>
        </w:rPr>
        <w:t xml:space="preserve">misma no puede </w:t>
      </w:r>
      <w:r w:rsidRPr="008762D1">
        <w:rPr>
          <w:rFonts w:ascii="ITC Avant Garde" w:hAnsi="ITC Avant Garde"/>
          <w:color w:val="000000" w:themeColor="text1"/>
        </w:rPr>
        <w:t>entender</w:t>
      </w:r>
      <w:r w:rsidR="003E286A" w:rsidRPr="008762D1">
        <w:rPr>
          <w:rFonts w:ascii="ITC Avant Garde" w:hAnsi="ITC Avant Garde"/>
          <w:color w:val="000000" w:themeColor="text1"/>
        </w:rPr>
        <w:t xml:space="preserve">se como la obligación de Telmex </w:t>
      </w:r>
      <w:r w:rsidRPr="008762D1">
        <w:rPr>
          <w:rFonts w:ascii="ITC Avant Garde" w:hAnsi="ITC Avant Garde"/>
          <w:color w:val="000000" w:themeColor="text1"/>
        </w:rPr>
        <w:t xml:space="preserve">para proporcionar dichos servicios en el área de cobertura de </w:t>
      </w:r>
      <w:proofErr w:type="spellStart"/>
      <w:r w:rsidR="009A01F3" w:rsidRPr="008762D1">
        <w:rPr>
          <w:rFonts w:ascii="ITC Avant Garde" w:hAnsi="ITC Avant Garde"/>
          <w:color w:val="000000" w:themeColor="text1"/>
        </w:rPr>
        <w:t>Telnor</w:t>
      </w:r>
      <w:proofErr w:type="spellEnd"/>
      <w:r w:rsidR="003E286A" w:rsidRPr="008762D1">
        <w:rPr>
          <w:rFonts w:ascii="ITC Avant Garde" w:hAnsi="ITC Avant Garde"/>
          <w:color w:val="000000" w:themeColor="text1"/>
        </w:rPr>
        <w:t xml:space="preserve"> y </w:t>
      </w:r>
      <w:r w:rsidRPr="008762D1">
        <w:rPr>
          <w:rFonts w:ascii="ITC Avant Garde" w:hAnsi="ITC Avant Garde"/>
          <w:color w:val="000000" w:themeColor="text1"/>
        </w:rPr>
        <w:t>mucho menos debe entenderse como la existencia de casos de doble tránsito, mismos</w:t>
      </w:r>
      <w:r w:rsidR="003E286A" w:rsidRPr="008762D1">
        <w:rPr>
          <w:rFonts w:ascii="ITC Avant Garde" w:hAnsi="ITC Avant Garde"/>
          <w:color w:val="000000" w:themeColor="text1"/>
        </w:rPr>
        <w:t xml:space="preserve"> que no se</w:t>
      </w:r>
      <w:r w:rsidR="009A01F3" w:rsidRPr="008762D1">
        <w:rPr>
          <w:rFonts w:ascii="ITC Avant Garde" w:hAnsi="ITC Avant Garde"/>
          <w:color w:val="000000" w:themeColor="text1"/>
        </w:rPr>
        <w:t xml:space="preserve"> </w:t>
      </w:r>
      <w:r w:rsidRPr="008762D1">
        <w:rPr>
          <w:rFonts w:ascii="ITC Avant Garde" w:hAnsi="ITC Avant Garde"/>
          <w:color w:val="000000" w:themeColor="text1"/>
        </w:rPr>
        <w:t>encuentran establecidos en la legislación v</w:t>
      </w:r>
      <w:r w:rsidR="00FE7EB7" w:rsidRPr="008762D1">
        <w:rPr>
          <w:rFonts w:ascii="ITC Avant Garde" w:hAnsi="ITC Avant Garde"/>
          <w:color w:val="000000" w:themeColor="text1"/>
        </w:rPr>
        <w:t>i</w:t>
      </w:r>
      <w:r w:rsidRPr="008762D1">
        <w:rPr>
          <w:rFonts w:ascii="ITC Avant Garde" w:hAnsi="ITC Avant Garde"/>
          <w:color w:val="000000" w:themeColor="text1"/>
        </w:rPr>
        <w:t>gente en la materia</w:t>
      </w:r>
      <w:r w:rsidR="003E286A" w:rsidRPr="008762D1">
        <w:rPr>
          <w:rFonts w:ascii="ITC Avant Garde" w:hAnsi="ITC Avant Garde"/>
          <w:color w:val="000000" w:themeColor="text1"/>
        </w:rPr>
        <w:t>.</w:t>
      </w:r>
    </w:p>
    <w:p w14:paraId="2CCDAE03" w14:textId="77777777" w:rsidR="000F0B9F" w:rsidRPr="008762D1" w:rsidRDefault="00A845B0"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Por lo anterior, </w:t>
      </w:r>
      <w:r w:rsidR="00742B94" w:rsidRPr="008762D1">
        <w:rPr>
          <w:rFonts w:ascii="ITC Avant Garde" w:hAnsi="ITC Avant Garde"/>
          <w:color w:val="000000" w:themeColor="text1"/>
        </w:rPr>
        <w:t>Telmex señala qu</w:t>
      </w:r>
      <w:r w:rsidR="00872346" w:rsidRPr="008762D1">
        <w:rPr>
          <w:rFonts w:ascii="ITC Avant Garde" w:hAnsi="ITC Avant Garde"/>
          <w:color w:val="000000" w:themeColor="text1"/>
        </w:rPr>
        <w:t>e</w:t>
      </w:r>
      <w:r w:rsidR="00742B94" w:rsidRPr="008762D1">
        <w:rPr>
          <w:rFonts w:ascii="ITC Avant Garde" w:hAnsi="ITC Avant Garde"/>
          <w:color w:val="000000" w:themeColor="text1"/>
        </w:rPr>
        <w:t xml:space="preserve"> </w:t>
      </w:r>
      <w:r w:rsidR="009A5C79" w:rsidRPr="008762D1">
        <w:rPr>
          <w:rFonts w:ascii="ITC Avant Garde" w:hAnsi="ITC Avant Garde"/>
          <w:color w:val="000000" w:themeColor="text1"/>
        </w:rPr>
        <w:t>con la finalidad de proporcionarle</w:t>
      </w:r>
      <w:r w:rsidRPr="008762D1">
        <w:rPr>
          <w:rFonts w:ascii="ITC Avant Garde" w:hAnsi="ITC Avant Garde"/>
          <w:color w:val="000000" w:themeColor="text1"/>
        </w:rPr>
        <w:t xml:space="preserve"> mayor claridad y seguridad</w:t>
      </w:r>
      <w:r w:rsidR="009A5C79" w:rsidRPr="008762D1">
        <w:rPr>
          <w:rFonts w:ascii="ITC Avant Garde" w:hAnsi="ITC Avant Garde"/>
          <w:color w:val="000000" w:themeColor="text1"/>
        </w:rPr>
        <w:t xml:space="preserve"> jurídica</w:t>
      </w:r>
      <w:r w:rsidRPr="008762D1">
        <w:rPr>
          <w:rFonts w:ascii="ITC Avant Garde" w:hAnsi="ITC Avant Garde"/>
          <w:color w:val="000000" w:themeColor="text1"/>
        </w:rPr>
        <w:t xml:space="preserve">, propone </w:t>
      </w:r>
      <w:r w:rsidR="00742B94" w:rsidRPr="008762D1">
        <w:rPr>
          <w:rFonts w:ascii="ITC Avant Garde" w:hAnsi="ITC Avant Garde"/>
          <w:color w:val="000000" w:themeColor="text1"/>
        </w:rPr>
        <w:t xml:space="preserve">que </w:t>
      </w:r>
      <w:r w:rsidRPr="008762D1">
        <w:rPr>
          <w:rFonts w:ascii="ITC Avant Garde" w:hAnsi="ITC Avant Garde"/>
          <w:color w:val="000000" w:themeColor="text1"/>
        </w:rPr>
        <w:t>se ajuste la redacción del párrafo del numeral 5.7.3 para quedar de la siguiente manera:</w:t>
      </w:r>
    </w:p>
    <w:p w14:paraId="3F04AFDE" w14:textId="77777777" w:rsidR="000F0B9F" w:rsidRPr="008762D1" w:rsidRDefault="00414AC0"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color w:val="000000" w:themeColor="text1"/>
          <w:sz w:val="18"/>
          <w:szCs w:val="18"/>
        </w:rPr>
        <w:tab/>
        <w:t xml:space="preserve">Telmex </w:t>
      </w:r>
      <w:r w:rsidRPr="008762D1">
        <w:rPr>
          <w:rFonts w:ascii="ITC Avant Garde" w:hAnsi="ITC Avant Garde"/>
          <w:strike/>
          <w:color w:val="000000" w:themeColor="text1"/>
          <w:sz w:val="18"/>
          <w:szCs w:val="18"/>
        </w:rPr>
        <w:t>entrega</w:t>
      </w:r>
      <w:r w:rsidRPr="008762D1">
        <w:rPr>
          <w:rFonts w:ascii="ITC Avant Garde" w:hAnsi="ITC Avant Garde"/>
          <w:color w:val="000000" w:themeColor="text1"/>
          <w:sz w:val="18"/>
          <w:szCs w:val="18"/>
        </w:rPr>
        <w:t xml:space="preserve"> </w:t>
      </w:r>
      <w:r w:rsidRPr="008762D1">
        <w:rPr>
          <w:rFonts w:ascii="ITC Avant Garde" w:hAnsi="ITC Avant Garde"/>
          <w:color w:val="000000" w:themeColor="text1"/>
          <w:sz w:val="18"/>
          <w:szCs w:val="18"/>
          <w:u w:val="single"/>
        </w:rPr>
        <w:t xml:space="preserve">establece </w:t>
      </w:r>
      <w:r w:rsidRPr="008762D1">
        <w:rPr>
          <w:rFonts w:ascii="ITC Avant Garde" w:hAnsi="ITC Avant Garde"/>
          <w:color w:val="000000" w:themeColor="text1"/>
          <w:sz w:val="18"/>
          <w:szCs w:val="18"/>
        </w:rPr>
        <w:t xml:space="preserve">en el Sub-Anexo A-1 los Puntos de Interconexión IP, </w:t>
      </w:r>
      <w:r w:rsidRPr="008762D1">
        <w:rPr>
          <w:rFonts w:ascii="ITC Avant Garde" w:hAnsi="ITC Avant Garde"/>
          <w:color w:val="000000" w:themeColor="text1"/>
          <w:sz w:val="18"/>
          <w:szCs w:val="18"/>
          <w:u w:val="single"/>
        </w:rPr>
        <w:t>en los que los concesionarios</w:t>
      </w:r>
      <w:r w:rsidRPr="008762D1">
        <w:rPr>
          <w:rFonts w:ascii="ITC Avant Garde" w:hAnsi="ITC Avant Garde"/>
          <w:color w:val="000000" w:themeColor="text1"/>
          <w:sz w:val="18"/>
          <w:szCs w:val="18"/>
        </w:rPr>
        <w:t xml:space="preserve"> pueden interconectar sus </w:t>
      </w:r>
      <w:r w:rsidRPr="008762D1">
        <w:rPr>
          <w:rFonts w:ascii="ITC Avant Garde" w:hAnsi="ITC Avant Garde"/>
          <w:color w:val="000000" w:themeColor="text1"/>
          <w:sz w:val="18"/>
          <w:szCs w:val="18"/>
          <w:u w:val="single"/>
        </w:rPr>
        <w:t>respectivas</w:t>
      </w:r>
      <w:r w:rsidRPr="008762D1">
        <w:rPr>
          <w:rFonts w:ascii="ITC Avant Garde" w:hAnsi="ITC Avant Garde"/>
          <w:color w:val="000000" w:themeColor="text1"/>
          <w:sz w:val="18"/>
          <w:szCs w:val="18"/>
        </w:rPr>
        <w:t xml:space="preserve"> Red</w:t>
      </w:r>
      <w:r w:rsidRPr="008762D1">
        <w:rPr>
          <w:rFonts w:ascii="ITC Avant Garde" w:hAnsi="ITC Avant Garde"/>
          <w:color w:val="000000" w:themeColor="text1"/>
          <w:sz w:val="18"/>
          <w:szCs w:val="18"/>
          <w:u w:val="single"/>
        </w:rPr>
        <w:t>es</w:t>
      </w:r>
      <w:r w:rsidRPr="008762D1">
        <w:rPr>
          <w:rFonts w:ascii="ITC Avant Garde" w:hAnsi="ITC Avant Garde"/>
          <w:color w:val="000000" w:themeColor="text1"/>
          <w:sz w:val="18"/>
          <w:szCs w:val="18"/>
        </w:rPr>
        <w:t xml:space="preserve"> Pública</w:t>
      </w:r>
      <w:r w:rsidRPr="008762D1">
        <w:rPr>
          <w:rFonts w:ascii="ITC Avant Garde" w:hAnsi="ITC Avant Garde"/>
          <w:color w:val="000000" w:themeColor="text1"/>
          <w:sz w:val="18"/>
          <w:szCs w:val="18"/>
          <w:u w:val="single"/>
        </w:rPr>
        <w:t>s</w:t>
      </w:r>
      <w:r w:rsidRPr="008762D1">
        <w:rPr>
          <w:rFonts w:ascii="ITC Avant Garde" w:hAnsi="ITC Avant Garde"/>
          <w:color w:val="000000" w:themeColor="text1"/>
          <w:sz w:val="18"/>
          <w:szCs w:val="18"/>
        </w:rPr>
        <w:t xml:space="preserve"> </w:t>
      </w:r>
      <w:r w:rsidRPr="008762D1">
        <w:rPr>
          <w:rFonts w:ascii="ITC Avant Garde" w:hAnsi="ITC Avant Garde"/>
          <w:strike/>
          <w:color w:val="000000" w:themeColor="text1"/>
          <w:sz w:val="18"/>
          <w:szCs w:val="18"/>
        </w:rPr>
        <w:t>donde pueden interconectar su Red Pública</w:t>
      </w:r>
      <w:r w:rsidRPr="008762D1">
        <w:rPr>
          <w:rFonts w:ascii="ITC Avant Garde" w:hAnsi="ITC Avant Garde"/>
          <w:color w:val="000000" w:themeColor="text1"/>
          <w:sz w:val="18"/>
          <w:szCs w:val="18"/>
        </w:rPr>
        <w:t xml:space="preserve"> de Telecomunicaciones en protocolo SIP </w:t>
      </w:r>
      <w:r w:rsidRPr="008762D1">
        <w:rPr>
          <w:rFonts w:ascii="ITC Avant Garde" w:hAnsi="ITC Avant Garde"/>
          <w:color w:val="000000" w:themeColor="text1"/>
          <w:sz w:val="18"/>
          <w:szCs w:val="18"/>
          <w:u w:val="single"/>
        </w:rPr>
        <w:t xml:space="preserve">con la </w:t>
      </w:r>
      <w:r w:rsidRPr="008762D1">
        <w:rPr>
          <w:rFonts w:ascii="ITC Avant Garde" w:hAnsi="ITC Avant Garde"/>
          <w:color w:val="000000" w:themeColor="text1"/>
          <w:sz w:val="18"/>
          <w:szCs w:val="18"/>
          <w:u w:val="single"/>
        </w:rPr>
        <w:lastRenderedPageBreak/>
        <w:t>red de Telmex</w:t>
      </w:r>
      <w:r w:rsidRPr="008762D1">
        <w:rPr>
          <w:rFonts w:ascii="ITC Avant Garde" w:hAnsi="ITC Avant Garde"/>
          <w:color w:val="000000" w:themeColor="text1"/>
          <w:sz w:val="18"/>
          <w:szCs w:val="18"/>
        </w:rPr>
        <w:t>. Los Puntos de Interconexión deberán ser capaces de atender a todas las regiones de México</w:t>
      </w:r>
      <w:r w:rsidR="00571E68" w:rsidRPr="008762D1">
        <w:rPr>
          <w:rFonts w:ascii="ITC Avant Garde" w:hAnsi="ITC Avant Garde"/>
          <w:color w:val="000000" w:themeColor="text1"/>
          <w:sz w:val="18"/>
          <w:szCs w:val="18"/>
        </w:rPr>
        <w:t xml:space="preserve"> </w:t>
      </w:r>
      <w:r w:rsidR="00571E68" w:rsidRPr="008762D1">
        <w:rPr>
          <w:rFonts w:ascii="ITC Avant Garde" w:hAnsi="ITC Avant Garde"/>
          <w:color w:val="000000" w:themeColor="text1"/>
          <w:sz w:val="18"/>
          <w:szCs w:val="18"/>
          <w:u w:val="single"/>
        </w:rPr>
        <w:t>en las que Telmex se encuentra</w:t>
      </w:r>
      <w:r w:rsidR="00A845B0" w:rsidRPr="008762D1">
        <w:rPr>
          <w:rFonts w:ascii="ITC Avant Garde" w:hAnsi="ITC Avant Garde"/>
          <w:color w:val="000000" w:themeColor="text1"/>
          <w:sz w:val="18"/>
          <w:szCs w:val="18"/>
          <w:u w:val="single"/>
        </w:rPr>
        <w:t xml:space="preserve"> </w:t>
      </w:r>
      <w:r w:rsidR="00B5580E" w:rsidRPr="008762D1">
        <w:rPr>
          <w:rFonts w:ascii="ITC Avant Garde" w:hAnsi="ITC Avant Garde"/>
          <w:color w:val="000000" w:themeColor="text1"/>
          <w:sz w:val="18"/>
          <w:szCs w:val="18"/>
          <w:u w:val="single"/>
        </w:rPr>
        <w:t>autorizado</w:t>
      </w:r>
      <w:r w:rsidR="00571E68" w:rsidRPr="008762D1">
        <w:rPr>
          <w:rFonts w:ascii="ITC Avant Garde" w:hAnsi="ITC Avant Garde"/>
          <w:color w:val="000000" w:themeColor="text1"/>
          <w:sz w:val="18"/>
          <w:szCs w:val="18"/>
          <w:u w:val="single"/>
        </w:rPr>
        <w:t xml:space="preserve"> para</w:t>
      </w:r>
      <w:r w:rsidR="00A845B0" w:rsidRPr="008762D1">
        <w:rPr>
          <w:rFonts w:ascii="ITC Avant Garde" w:hAnsi="ITC Avant Garde"/>
          <w:color w:val="000000" w:themeColor="text1"/>
          <w:sz w:val="18"/>
          <w:szCs w:val="18"/>
          <w:u w:val="single"/>
        </w:rPr>
        <w:t xml:space="preserve"> prestar servicios conforme a la </w:t>
      </w:r>
      <w:r w:rsidR="00B5580E" w:rsidRPr="008762D1">
        <w:rPr>
          <w:rFonts w:ascii="ITC Avant Garde" w:hAnsi="ITC Avant Garde"/>
          <w:color w:val="000000" w:themeColor="text1"/>
          <w:sz w:val="18"/>
          <w:szCs w:val="18"/>
          <w:u w:val="single"/>
        </w:rPr>
        <w:t>cobertura</w:t>
      </w:r>
      <w:r w:rsidR="00742B94" w:rsidRPr="008762D1">
        <w:rPr>
          <w:rFonts w:ascii="ITC Avant Garde" w:hAnsi="ITC Avant Garde"/>
          <w:color w:val="000000" w:themeColor="text1"/>
          <w:sz w:val="18"/>
          <w:szCs w:val="18"/>
          <w:u w:val="single"/>
        </w:rPr>
        <w:t xml:space="preserve"> de su Título de Concesión</w:t>
      </w:r>
      <w:r w:rsidR="00742B94" w:rsidRPr="008762D1">
        <w:rPr>
          <w:rFonts w:ascii="ITC Avant Garde" w:hAnsi="ITC Avant Garde"/>
          <w:color w:val="000000" w:themeColor="text1"/>
          <w:sz w:val="18"/>
          <w:szCs w:val="18"/>
        </w:rPr>
        <w:t>.”</w:t>
      </w:r>
    </w:p>
    <w:p w14:paraId="49AB4E43" w14:textId="69997404" w:rsidR="00F32630" w:rsidRPr="008762D1" w:rsidRDefault="00F32630"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4BE643EB" w14:textId="77777777" w:rsidR="00AF180E" w:rsidRPr="008762D1" w:rsidRDefault="00AF180E"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564E61E6" w14:textId="77777777" w:rsidR="000F0B9F" w:rsidRPr="008762D1" w:rsidRDefault="00C45593"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El artículo 125 de la </w:t>
      </w:r>
      <w:r w:rsidR="00FE148C" w:rsidRPr="008762D1">
        <w:rPr>
          <w:rFonts w:ascii="ITC Avant Garde" w:hAnsi="ITC Avant Garde"/>
          <w:color w:val="000000" w:themeColor="text1"/>
        </w:rPr>
        <w:t>LFTR</w:t>
      </w:r>
      <w:r w:rsidRPr="008762D1">
        <w:rPr>
          <w:rFonts w:ascii="ITC Avant Garde" w:hAnsi="ITC Avant Garde"/>
          <w:color w:val="000000" w:themeColor="text1"/>
        </w:rPr>
        <w:t xml:space="preserve"> establece que los concesionarios que operen redes públicas de telecomunicaciones estarán obligados a interconectar sus redes con las de otros concesionarios en condiciones no discriminatorias, transparentes y basadas en criterios objetivos; asimismo el señalado artículo establece que la interconexión es de orden público e interés social.</w:t>
      </w:r>
    </w:p>
    <w:p w14:paraId="00E6F0F7" w14:textId="77777777" w:rsidR="000F0B9F" w:rsidRPr="008762D1" w:rsidRDefault="00C45593"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Por su parte, el artículo 4 del Plan de Interconexión establece a la letra lo siguiente:</w:t>
      </w:r>
    </w:p>
    <w:p w14:paraId="1EBFF13C" w14:textId="77777777" w:rsidR="000F0B9F" w:rsidRPr="008762D1" w:rsidRDefault="00C45593" w:rsidP="000F0B9F">
      <w:pPr>
        <w:spacing w:before="240" w:after="0"/>
        <w:ind w:left="567" w:right="567"/>
        <w:jc w:val="both"/>
        <w:rPr>
          <w:rFonts w:ascii="ITC Avant Garde" w:hAnsi="ITC Avant Garde" w:cs="Arial"/>
          <w:color w:val="000000" w:themeColor="text1"/>
          <w:sz w:val="18"/>
          <w:szCs w:val="18"/>
          <w:shd w:val="clear" w:color="auto" w:fill="FFFFFF"/>
          <w:lang w:val="es-ES"/>
        </w:rPr>
      </w:pPr>
      <w:r w:rsidRPr="008762D1">
        <w:rPr>
          <w:rFonts w:ascii="ITC Avant Garde" w:hAnsi="ITC Avant Garde" w:cs="Arial"/>
          <w:b/>
          <w:color w:val="000000" w:themeColor="text1"/>
          <w:sz w:val="18"/>
          <w:szCs w:val="18"/>
          <w:shd w:val="clear" w:color="auto" w:fill="FFFFFF"/>
          <w:lang w:val="es-ES"/>
        </w:rPr>
        <w:t>“Artículo 4.</w:t>
      </w:r>
      <w:r w:rsidRPr="008762D1">
        <w:rPr>
          <w:rFonts w:ascii="ITC Avant Garde" w:hAnsi="ITC Avant Garde" w:cs="Arial"/>
          <w:color w:val="000000" w:themeColor="text1"/>
          <w:sz w:val="18"/>
          <w:szCs w:val="18"/>
          <w:shd w:val="clear" w:color="auto" w:fill="FFFFFF"/>
          <w:lang w:val="es-ES"/>
        </w:rPr>
        <w:t xml:space="preserve"> Los Concesionarios están obligados a entregar el Tráfico a su destino final o a un Concesionario o combinación de Concesionarios que puedan hacerlo y en tal sentido deberán proveer y tener acceso a los Servicios de Interconexión en términos de lo dispuesto por la Ley, por el presente Plan, así como por las demás disposiciones que resulten aplicables.”</w:t>
      </w:r>
    </w:p>
    <w:p w14:paraId="56666C7E"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lang w:val="es-ES"/>
        </w:rPr>
      </w:pPr>
      <w:r w:rsidRPr="008762D1">
        <w:rPr>
          <w:rFonts w:ascii="ITC Avant Garde" w:hAnsi="ITC Avant Garde" w:cs="Arial"/>
          <w:color w:val="000000" w:themeColor="text1"/>
          <w:shd w:val="clear" w:color="auto" w:fill="FFFFFF"/>
          <w:lang w:val="es-ES"/>
        </w:rPr>
        <w:t>En este sentido, se observa que cuando un CS genera una llamada a un usuario de cualquier otro concesionario, el CS tiene la obligación de entregar el tráfico a su destino final o a un concesionario o combinación de concesionarios que puedan hacerlo.</w:t>
      </w:r>
    </w:p>
    <w:p w14:paraId="350F82A3"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rPr>
      </w:pPr>
      <w:r w:rsidRPr="008762D1">
        <w:rPr>
          <w:rFonts w:ascii="ITC Avant Garde" w:hAnsi="ITC Avant Garde" w:cs="Arial"/>
          <w:color w:val="000000" w:themeColor="text1"/>
          <w:shd w:val="clear" w:color="auto" w:fill="FFFFFF"/>
          <w:lang w:val="es-ES"/>
        </w:rPr>
        <w:t xml:space="preserve">Ahora bien, la Medida Sexta de las </w:t>
      </w:r>
      <w:r w:rsidRPr="008762D1">
        <w:rPr>
          <w:rFonts w:ascii="ITC Avant Garde" w:hAnsi="ITC Avant Garde" w:cs="Arial"/>
          <w:color w:val="000000" w:themeColor="text1"/>
          <w:shd w:val="clear" w:color="auto" w:fill="FFFFFF"/>
        </w:rPr>
        <w:t>Medidas Fijas, señala lo siguiente:</w:t>
      </w:r>
    </w:p>
    <w:p w14:paraId="1931146F" w14:textId="77777777" w:rsidR="000F0B9F" w:rsidRPr="008762D1" w:rsidRDefault="00C45593" w:rsidP="000F0B9F">
      <w:pPr>
        <w:tabs>
          <w:tab w:val="left" w:pos="8177"/>
        </w:tabs>
        <w:adjustRightInd w:val="0"/>
        <w:spacing w:before="240" w:after="0"/>
        <w:ind w:left="567" w:right="612"/>
        <w:jc w:val="both"/>
        <w:rPr>
          <w:rFonts w:ascii="ITC Avant Garde" w:eastAsia="Times New Roman" w:hAnsi="ITC Avant Garde" w:cs="Arial"/>
          <w:bCs/>
          <w:color w:val="000000" w:themeColor="text1"/>
          <w:sz w:val="18"/>
          <w:szCs w:val="18"/>
          <w:lang w:val="es-ES_tradnl" w:eastAsia="es-ES"/>
        </w:rPr>
      </w:pPr>
      <w:r w:rsidRPr="008762D1">
        <w:rPr>
          <w:rFonts w:ascii="ITC Avant Garde" w:eastAsia="Times New Roman" w:hAnsi="ITC Avant Garde" w:cs="Arial"/>
          <w:b/>
          <w:bCs/>
          <w:color w:val="000000" w:themeColor="text1"/>
          <w:sz w:val="18"/>
          <w:szCs w:val="18"/>
          <w:lang w:val="es-ES_tradnl" w:eastAsia="es-ES"/>
        </w:rPr>
        <w:t xml:space="preserve">“SEXTA.- </w:t>
      </w:r>
      <w:r w:rsidRPr="008762D1">
        <w:rPr>
          <w:rFonts w:ascii="ITC Avant Garde" w:eastAsia="Times New Roman" w:hAnsi="ITC Avant Garde" w:cs="Arial"/>
          <w:bCs/>
          <w:color w:val="000000" w:themeColor="text1"/>
          <w:sz w:val="18"/>
          <w:szCs w:val="18"/>
          <w:lang w:val="es-ES_tradnl" w:eastAsia="es-ES"/>
        </w:rPr>
        <w:t>El Agente Económico Preponderante estará obligado a prestar el servicio de Tránsito a los Concesionarios Solicitantes que así se lo requieran y se encuentren interconectados directa o indirectamente con la red del</w:t>
      </w:r>
      <w:r w:rsidR="005461DE" w:rsidRPr="008762D1">
        <w:rPr>
          <w:rFonts w:ascii="ITC Avant Garde" w:eastAsia="Times New Roman" w:hAnsi="ITC Avant Garde" w:cs="Arial"/>
          <w:bCs/>
          <w:color w:val="000000" w:themeColor="text1"/>
          <w:sz w:val="18"/>
          <w:szCs w:val="18"/>
          <w:lang w:val="es-ES_tradnl" w:eastAsia="es-ES"/>
        </w:rPr>
        <w:t xml:space="preserve"> Agente Económico Preponderante.</w:t>
      </w:r>
      <w:r w:rsidRPr="008762D1">
        <w:rPr>
          <w:rFonts w:ascii="ITC Avant Garde" w:eastAsia="Times New Roman" w:hAnsi="ITC Avant Garde" w:cs="Arial"/>
          <w:bCs/>
          <w:color w:val="000000" w:themeColor="text1"/>
          <w:sz w:val="18"/>
          <w:szCs w:val="18"/>
          <w:lang w:val="es-ES_tradnl" w:eastAsia="es-ES"/>
        </w:rPr>
        <w:t>”</w:t>
      </w:r>
    </w:p>
    <w:p w14:paraId="41B4FD01"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rPr>
      </w:pPr>
      <w:r w:rsidRPr="008762D1">
        <w:rPr>
          <w:rFonts w:ascii="ITC Avant Garde" w:hAnsi="ITC Avant Garde" w:cs="Arial"/>
          <w:color w:val="000000" w:themeColor="text1"/>
          <w:shd w:val="clear" w:color="auto" w:fill="FFFFFF"/>
        </w:rPr>
        <w:t xml:space="preserve">En este sentido, a efecto de establecer condiciones equitativas de competencia se estableció la obligación a cargo del AEP de prestar a los CS el servicio de tránsito, en donde se estableció claramente la obligación de prestar el servicio de tránsito entre concesionarios que se encuentren interconectados directa o indirectamente con la red del AEP. </w:t>
      </w:r>
    </w:p>
    <w:p w14:paraId="538F1A22"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rPr>
      </w:pPr>
      <w:r w:rsidRPr="008762D1">
        <w:rPr>
          <w:rFonts w:ascii="ITC Avant Garde" w:hAnsi="ITC Avant Garde" w:cs="Arial"/>
          <w:color w:val="000000" w:themeColor="text1"/>
          <w:shd w:val="clear" w:color="auto" w:fill="FFFFFF"/>
        </w:rPr>
        <w:t xml:space="preserve">Es así que no resulta procedente lo señalado por Telmex en el sentido de que al ser </w:t>
      </w:r>
      <w:proofErr w:type="spellStart"/>
      <w:r w:rsidRPr="008762D1">
        <w:rPr>
          <w:rFonts w:ascii="ITC Avant Garde" w:hAnsi="ITC Avant Garde" w:cs="Arial"/>
          <w:color w:val="000000" w:themeColor="text1"/>
          <w:shd w:val="clear" w:color="auto" w:fill="FFFFFF"/>
        </w:rPr>
        <w:t>Telnor</w:t>
      </w:r>
      <w:proofErr w:type="spellEnd"/>
      <w:r w:rsidRPr="008762D1">
        <w:rPr>
          <w:rFonts w:ascii="ITC Avant Garde" w:hAnsi="ITC Avant Garde" w:cs="Arial"/>
          <w:color w:val="000000" w:themeColor="text1"/>
          <w:shd w:val="clear" w:color="auto" w:fill="FFFFFF"/>
        </w:rPr>
        <w:t xml:space="preserve"> un operador distinto, el resto de los concesionarios se deben interconectar de manera independiente, toda vez que ello sería contrario a lo señalado en la Resolución AEP, ya que Telmex tiene la obligación de ofrecer el servicio de tránsito con cualquier red con la que se encuentre directamente interconectada, incluyendo la</w:t>
      </w:r>
      <w:r w:rsidR="00116D5F" w:rsidRPr="008762D1">
        <w:rPr>
          <w:rFonts w:ascii="ITC Avant Garde" w:hAnsi="ITC Avant Garde" w:cs="Arial"/>
          <w:color w:val="000000" w:themeColor="text1"/>
          <w:shd w:val="clear" w:color="auto" w:fill="FFFFFF"/>
        </w:rPr>
        <w:t xml:space="preserve"> red</w:t>
      </w:r>
      <w:r w:rsidRPr="008762D1">
        <w:rPr>
          <w:rFonts w:ascii="ITC Avant Garde" w:hAnsi="ITC Avant Garde" w:cs="Arial"/>
          <w:color w:val="000000" w:themeColor="text1"/>
          <w:shd w:val="clear" w:color="auto" w:fill="FFFFFF"/>
        </w:rPr>
        <w:t xml:space="preserve"> de </w:t>
      </w:r>
      <w:proofErr w:type="spellStart"/>
      <w:r w:rsidRPr="008762D1">
        <w:rPr>
          <w:rFonts w:ascii="ITC Avant Garde" w:hAnsi="ITC Avant Garde" w:cs="Arial"/>
          <w:color w:val="000000" w:themeColor="text1"/>
          <w:shd w:val="clear" w:color="auto" w:fill="FFFFFF"/>
        </w:rPr>
        <w:t>Telnor</w:t>
      </w:r>
      <w:proofErr w:type="spellEnd"/>
      <w:r w:rsidRPr="008762D1">
        <w:rPr>
          <w:rFonts w:ascii="ITC Avant Garde" w:hAnsi="ITC Avant Garde" w:cs="Arial"/>
          <w:color w:val="000000" w:themeColor="text1"/>
          <w:shd w:val="clear" w:color="auto" w:fill="FFFFFF"/>
        </w:rPr>
        <w:t>.</w:t>
      </w:r>
    </w:p>
    <w:p w14:paraId="445CE317"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rPr>
      </w:pPr>
      <w:r w:rsidRPr="008762D1">
        <w:rPr>
          <w:rFonts w:ascii="ITC Avant Garde" w:hAnsi="ITC Avant Garde" w:cs="Arial"/>
          <w:color w:val="000000" w:themeColor="text1"/>
          <w:shd w:val="clear" w:color="auto" w:fill="FFFFFF"/>
        </w:rPr>
        <w:lastRenderedPageBreak/>
        <w:t>A mayor abundamiento, en el Acuerdo Octavo del Acuerdo de Puntos de Interconexión, se determinó lo siguiente:</w:t>
      </w:r>
    </w:p>
    <w:p w14:paraId="793A61EB" w14:textId="77777777" w:rsidR="000F0B9F" w:rsidRPr="008762D1" w:rsidRDefault="00C45593" w:rsidP="000F0B9F">
      <w:pPr>
        <w:adjustRightInd w:val="0"/>
        <w:spacing w:before="240" w:after="0"/>
        <w:ind w:left="567" w:right="612"/>
        <w:jc w:val="both"/>
        <w:rPr>
          <w:rFonts w:ascii="ITC Avant Garde" w:eastAsia="Times New Roman" w:hAnsi="ITC Avant Garde" w:cs="Arial"/>
          <w:bCs/>
          <w:color w:val="000000" w:themeColor="text1"/>
          <w:sz w:val="18"/>
          <w:szCs w:val="18"/>
          <w:lang w:val="es-ES_tradnl" w:eastAsia="es-ES"/>
        </w:rPr>
      </w:pPr>
      <w:r w:rsidRPr="008762D1">
        <w:rPr>
          <w:rFonts w:ascii="ITC Avant Garde" w:eastAsia="Times New Roman" w:hAnsi="ITC Avant Garde" w:cs="Arial"/>
          <w:b/>
          <w:bCs/>
          <w:color w:val="000000" w:themeColor="text1"/>
          <w:sz w:val="18"/>
          <w:szCs w:val="18"/>
          <w:lang w:val="es-ES_tradnl" w:eastAsia="es-ES"/>
        </w:rPr>
        <w:t xml:space="preserve">“OCTAVO.- </w:t>
      </w:r>
      <w:r w:rsidRPr="008762D1">
        <w:rPr>
          <w:rFonts w:ascii="ITC Avant Garde" w:eastAsia="Times New Roman" w:hAnsi="ITC Avant Garde" w:cs="Arial"/>
          <w:bCs/>
          <w:color w:val="000000" w:themeColor="text1"/>
          <w:sz w:val="18"/>
          <w:szCs w:val="18"/>
          <w:lang w:val="es-ES_tradnl" w:eastAsia="es-ES"/>
        </w:rPr>
        <w:t xml:space="preserve">El Agente Económico Preponderante estará obligado a intercambiar con el concesionario de red pública de telecomunicaciones que así lo solicite todo su tráfico a través de uno o más Puntos de Interconexión, observando lo dispuesto en el artículo 132 fracción VII de la </w:t>
      </w:r>
      <w:proofErr w:type="spellStart"/>
      <w:r w:rsidRPr="008762D1">
        <w:rPr>
          <w:rFonts w:ascii="ITC Avant Garde" w:eastAsia="Times New Roman" w:hAnsi="ITC Avant Garde" w:cs="Arial"/>
          <w:bCs/>
          <w:color w:val="000000" w:themeColor="text1"/>
          <w:sz w:val="18"/>
          <w:szCs w:val="18"/>
          <w:lang w:val="es-ES_tradnl" w:eastAsia="es-ES"/>
        </w:rPr>
        <w:t>LFTyR</w:t>
      </w:r>
      <w:proofErr w:type="spellEnd"/>
      <w:r w:rsidRPr="008762D1">
        <w:rPr>
          <w:rFonts w:ascii="ITC Avant Garde" w:eastAsia="Times New Roman" w:hAnsi="ITC Avant Garde" w:cs="Arial"/>
          <w:bCs/>
          <w:color w:val="000000" w:themeColor="text1"/>
          <w:sz w:val="18"/>
          <w:szCs w:val="18"/>
          <w:lang w:val="es-ES_tradnl" w:eastAsia="es-ES"/>
        </w:rPr>
        <w:t xml:space="preserve">. Ambos concesionarios deberán tener capacidad suficiente para terminar el tráfico intercambiado en cualquier punto dentro de sus respectivas redes o entregarlo a otras redes a través del servicio de tránsito de conformidad con lo señalado en el artículo 133 de la </w:t>
      </w:r>
      <w:proofErr w:type="spellStart"/>
      <w:r w:rsidRPr="008762D1">
        <w:rPr>
          <w:rFonts w:ascii="ITC Avant Garde" w:eastAsia="Times New Roman" w:hAnsi="ITC Avant Garde" w:cs="Arial"/>
          <w:bCs/>
          <w:color w:val="000000" w:themeColor="text1"/>
          <w:sz w:val="18"/>
          <w:szCs w:val="18"/>
          <w:lang w:val="es-ES_tradnl" w:eastAsia="es-ES"/>
        </w:rPr>
        <w:t>LFTyR</w:t>
      </w:r>
      <w:proofErr w:type="spellEnd"/>
      <w:r w:rsidRPr="008762D1">
        <w:rPr>
          <w:rFonts w:ascii="ITC Avant Garde" w:eastAsia="Times New Roman" w:hAnsi="ITC Avant Garde" w:cs="Arial"/>
          <w:bCs/>
          <w:color w:val="000000" w:themeColor="text1"/>
          <w:sz w:val="18"/>
          <w:szCs w:val="18"/>
          <w:lang w:val="es-ES_tradnl" w:eastAsia="es-ES"/>
        </w:rPr>
        <w:t xml:space="preserve">.”  </w:t>
      </w:r>
    </w:p>
    <w:p w14:paraId="4ABA035B"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rPr>
      </w:pPr>
      <w:r w:rsidRPr="008762D1">
        <w:rPr>
          <w:rFonts w:ascii="ITC Avant Garde" w:hAnsi="ITC Avant Garde" w:cs="Arial"/>
          <w:color w:val="000000" w:themeColor="text1"/>
          <w:shd w:val="clear" w:color="auto" w:fill="FFFFFF"/>
        </w:rPr>
        <w:t xml:space="preserve">Es así que dicho precepto reitera la obligación de Telmex y </w:t>
      </w:r>
      <w:proofErr w:type="spellStart"/>
      <w:r w:rsidRPr="008762D1">
        <w:rPr>
          <w:rFonts w:ascii="ITC Avant Garde" w:hAnsi="ITC Avant Garde" w:cs="Arial"/>
          <w:color w:val="000000" w:themeColor="text1"/>
          <w:shd w:val="clear" w:color="auto" w:fill="FFFFFF"/>
        </w:rPr>
        <w:t>Telnor</w:t>
      </w:r>
      <w:proofErr w:type="spellEnd"/>
      <w:r w:rsidRPr="008762D1">
        <w:rPr>
          <w:rFonts w:ascii="ITC Avant Garde" w:hAnsi="ITC Avant Garde" w:cs="Arial"/>
          <w:color w:val="000000" w:themeColor="text1"/>
          <w:shd w:val="clear" w:color="auto" w:fill="FFFFFF"/>
        </w:rPr>
        <w:t xml:space="preserve"> como AEP, de contar con la capacidad suficiente para entregar el tráfico a otras redes a través del servicio de tránsito.</w:t>
      </w:r>
    </w:p>
    <w:p w14:paraId="2159BAA2"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rPr>
      </w:pPr>
      <w:r w:rsidRPr="008762D1">
        <w:rPr>
          <w:rFonts w:ascii="ITC Avant Garde" w:hAnsi="ITC Avant Garde" w:cs="Arial"/>
          <w:color w:val="000000" w:themeColor="text1"/>
          <w:shd w:val="clear" w:color="auto" w:fill="FFFFFF"/>
        </w:rPr>
        <w:t>Ahora bien, la fracción VII del artículo 132 señalado en el Acuerdo Octavo antes referido, señala que en los convenios de interconexión las partes deberán establecer los mecanismos que garanticen que exista adecuada capacidad y calidad para cursar el tráfico demandado entre ambas redes, sin discriminar el tipo de tráfico ni degradar la capacidad o calidad de servicios a que pueden acceder los usuarios.</w:t>
      </w:r>
    </w:p>
    <w:p w14:paraId="28B120F5"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rPr>
      </w:pPr>
      <w:r w:rsidRPr="008762D1">
        <w:rPr>
          <w:rFonts w:ascii="ITC Avant Garde" w:hAnsi="ITC Avant Garde" w:cs="Arial"/>
          <w:color w:val="000000" w:themeColor="text1"/>
          <w:shd w:val="clear" w:color="auto" w:fill="FFFFFF"/>
        </w:rPr>
        <w:t xml:space="preserve">En este sentido, un esquema de interconexión como el propuesto por Telmex implicaría discriminar en el tipo de tráfico, toda vez que en el punto de interconexión establecido entre Telmex y </w:t>
      </w:r>
      <w:proofErr w:type="spellStart"/>
      <w:r w:rsidRPr="008762D1">
        <w:rPr>
          <w:rFonts w:ascii="ITC Avant Garde" w:hAnsi="ITC Avant Garde" w:cs="Arial"/>
          <w:color w:val="000000" w:themeColor="text1"/>
          <w:shd w:val="clear" w:color="auto" w:fill="FFFFFF"/>
        </w:rPr>
        <w:t>Telnor</w:t>
      </w:r>
      <w:proofErr w:type="spellEnd"/>
      <w:r w:rsidRPr="008762D1">
        <w:rPr>
          <w:rFonts w:ascii="ITC Avant Garde" w:hAnsi="ITC Avant Garde" w:cs="Arial"/>
          <w:color w:val="000000" w:themeColor="text1"/>
          <w:shd w:val="clear" w:color="auto" w:fill="FFFFFF"/>
        </w:rPr>
        <w:t xml:space="preserve">, Telmex sí podría entregar tráfico dirigido hacia la red de </w:t>
      </w:r>
      <w:proofErr w:type="spellStart"/>
      <w:r w:rsidRPr="008762D1">
        <w:rPr>
          <w:rFonts w:ascii="ITC Avant Garde" w:hAnsi="ITC Avant Garde" w:cs="Arial"/>
          <w:color w:val="000000" w:themeColor="text1"/>
          <w:shd w:val="clear" w:color="auto" w:fill="FFFFFF"/>
        </w:rPr>
        <w:t>Telnor</w:t>
      </w:r>
      <w:proofErr w:type="spellEnd"/>
      <w:r w:rsidRPr="008762D1">
        <w:rPr>
          <w:rFonts w:ascii="ITC Avant Garde" w:hAnsi="ITC Avant Garde" w:cs="Arial"/>
          <w:color w:val="000000" w:themeColor="text1"/>
          <w:shd w:val="clear" w:color="auto" w:fill="FFFFFF"/>
        </w:rPr>
        <w:t xml:space="preserve">, y no así el tráfico en tránsito de un tercer concesionario. </w:t>
      </w:r>
    </w:p>
    <w:p w14:paraId="6B3E6E4F" w14:textId="77777777" w:rsidR="000F0B9F" w:rsidRPr="008762D1" w:rsidRDefault="00C45593"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Lo</w:t>
      </w:r>
      <w:r w:rsidRPr="008762D1">
        <w:rPr>
          <w:rFonts w:ascii="ITC Avant Garde" w:hAnsi="ITC Avant Garde" w:cs="Arial"/>
          <w:color w:val="000000" w:themeColor="text1"/>
          <w:shd w:val="clear" w:color="auto" w:fill="FFFFFF"/>
        </w:rPr>
        <w:t xml:space="preserve"> anteriormente señalado no es contrario a las disposiciones administrativas en materia de señalización, toda vez que el </w:t>
      </w:r>
      <w:r w:rsidRPr="008762D1">
        <w:rPr>
          <w:rFonts w:ascii="ITC Avant Garde" w:hAnsi="ITC Avant Garde"/>
          <w:color w:val="000000" w:themeColor="text1"/>
        </w:rPr>
        <w:t>numeral 8.7 del Plan Técnico Fundamental de Señalización establece lo siguiente:</w:t>
      </w:r>
    </w:p>
    <w:p w14:paraId="7C65176E" w14:textId="77777777" w:rsidR="000F0B9F" w:rsidRPr="008762D1" w:rsidRDefault="00C45593"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“8.7. Los operadores que ofrecen el servicio de tránsito local, sólo tramitarán llamadas en las que el IDO o el BCD que reciben, corresponda al concesionario de cuya troncal de interconexión estén recibiendo la llamada, y retransmitirán estos mismos códigos a la red de destino.”</w:t>
      </w:r>
    </w:p>
    <w:p w14:paraId="481E7F86" w14:textId="77777777" w:rsidR="000F0B9F" w:rsidRPr="008762D1" w:rsidRDefault="00C45593" w:rsidP="000F0B9F">
      <w:pPr>
        <w:autoSpaceDE w:val="0"/>
        <w:autoSpaceDN w:val="0"/>
        <w:adjustRightInd w:val="0"/>
        <w:spacing w:before="240" w:after="0" w:line="276" w:lineRule="auto"/>
        <w:jc w:val="both"/>
        <w:rPr>
          <w:rFonts w:ascii="ITC Avant Garde" w:hAnsi="ITC Avant Garde" w:cs="Arial"/>
          <w:color w:val="000000" w:themeColor="text1"/>
          <w:shd w:val="clear" w:color="auto" w:fill="FFFFFF"/>
        </w:rPr>
      </w:pPr>
      <w:r w:rsidRPr="008762D1">
        <w:rPr>
          <w:rFonts w:ascii="ITC Avant Garde" w:hAnsi="ITC Avant Garde" w:cs="Arial"/>
          <w:color w:val="000000" w:themeColor="text1"/>
          <w:shd w:val="clear" w:color="auto" w:fill="FFFFFF"/>
        </w:rPr>
        <w:t xml:space="preserve">Es así que en una llamada que se cursa a través del servicio de tránsito provisto por Telmex y tiene como destino la red de </w:t>
      </w:r>
      <w:proofErr w:type="spellStart"/>
      <w:r w:rsidRPr="008762D1">
        <w:rPr>
          <w:rFonts w:ascii="ITC Avant Garde" w:hAnsi="ITC Avant Garde" w:cs="Arial"/>
          <w:color w:val="000000" w:themeColor="text1"/>
          <w:shd w:val="clear" w:color="auto" w:fill="FFFFFF"/>
        </w:rPr>
        <w:t>Telnor</w:t>
      </w:r>
      <w:proofErr w:type="spellEnd"/>
      <w:r w:rsidRPr="008762D1">
        <w:rPr>
          <w:rFonts w:ascii="ITC Avant Garde" w:hAnsi="ITC Avant Garde" w:cs="Arial"/>
          <w:color w:val="000000" w:themeColor="text1"/>
          <w:shd w:val="clear" w:color="auto" w:fill="FFFFFF"/>
        </w:rPr>
        <w:t xml:space="preserve">, cumple con lo establecido en dicho numeral toda vez que Telmex recibe en la troncal de interconexión de tráfico entrante del CS el IDO de dicho concesionario y para su entrega en la red de </w:t>
      </w:r>
      <w:proofErr w:type="spellStart"/>
      <w:r w:rsidRPr="008762D1">
        <w:rPr>
          <w:rFonts w:ascii="ITC Avant Garde" w:hAnsi="ITC Avant Garde" w:cs="Arial"/>
          <w:color w:val="000000" w:themeColor="text1"/>
          <w:shd w:val="clear" w:color="auto" w:fill="FFFFFF"/>
        </w:rPr>
        <w:t>Telnor</w:t>
      </w:r>
      <w:proofErr w:type="spellEnd"/>
      <w:r w:rsidRPr="008762D1">
        <w:rPr>
          <w:rFonts w:ascii="ITC Avant Garde" w:hAnsi="ITC Avant Garde" w:cs="Arial"/>
          <w:color w:val="000000" w:themeColor="text1"/>
          <w:shd w:val="clear" w:color="auto" w:fill="FFFFFF"/>
        </w:rPr>
        <w:t xml:space="preserve"> no tiene que realizar ninguna modificación en el tren de señalización.</w:t>
      </w:r>
    </w:p>
    <w:p w14:paraId="3EC9855C" w14:textId="77777777" w:rsidR="000F0B9F" w:rsidRPr="008762D1" w:rsidRDefault="00C45593"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s="Arial"/>
          <w:color w:val="000000" w:themeColor="text1"/>
          <w:shd w:val="clear" w:color="auto" w:fill="FFFFFF"/>
        </w:rPr>
        <w:t xml:space="preserve">En virtud de lo anteriormente expuesto, se modifica la redacción de la </w:t>
      </w:r>
      <w:r w:rsidRPr="008762D1">
        <w:rPr>
          <w:rFonts w:ascii="ITC Avant Garde" w:hAnsi="ITC Avant Garde"/>
          <w:color w:val="000000" w:themeColor="text1"/>
        </w:rPr>
        <w:t>Cláusula 5.7.3, en el siguiente sentido:</w:t>
      </w:r>
    </w:p>
    <w:p w14:paraId="31D60533" w14:textId="550F15F0" w:rsidR="00C45593" w:rsidRPr="008762D1" w:rsidRDefault="00C45593" w:rsidP="000F0B9F">
      <w:pPr>
        <w:autoSpaceDE w:val="0"/>
        <w:autoSpaceDN w:val="0"/>
        <w:adjustRightInd w:val="0"/>
        <w:spacing w:before="24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lastRenderedPageBreak/>
        <w:t>“</w:t>
      </w:r>
      <w:r w:rsidRPr="008762D1">
        <w:rPr>
          <w:rFonts w:ascii="ITC Avant Garde" w:hAnsi="ITC Avant Garde"/>
          <w:b/>
          <w:color w:val="000000" w:themeColor="text1"/>
          <w:sz w:val="18"/>
          <w:szCs w:val="18"/>
        </w:rPr>
        <w:t xml:space="preserve">5.7.3 </w:t>
      </w:r>
      <w:r w:rsidRPr="008762D1">
        <w:rPr>
          <w:rFonts w:ascii="ITC Avant Garde" w:hAnsi="ITC Avant Garde"/>
          <w:b/>
          <w:color w:val="000000" w:themeColor="text1"/>
          <w:sz w:val="18"/>
          <w:szCs w:val="18"/>
          <w:u w:val="single"/>
        </w:rPr>
        <w:t>Especificaciones Técnicas de los Enlaces Dedicados de Interconexión</w:t>
      </w:r>
      <w:r w:rsidRPr="008762D1">
        <w:rPr>
          <w:rFonts w:ascii="ITC Avant Garde" w:hAnsi="ITC Avant Garde"/>
          <w:color w:val="000000" w:themeColor="text1"/>
          <w:sz w:val="18"/>
          <w:szCs w:val="18"/>
        </w:rPr>
        <w:t xml:space="preserve">. </w:t>
      </w:r>
    </w:p>
    <w:p w14:paraId="7A924EFD" w14:textId="77777777" w:rsidR="00C45593" w:rsidRPr="008762D1" w:rsidRDefault="00C45593" w:rsidP="000F0B9F">
      <w:pPr>
        <w:spacing w:before="24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345DF729" w14:textId="77777777" w:rsidR="000F0B9F" w:rsidRPr="008762D1" w:rsidRDefault="00C45593" w:rsidP="000F0B9F">
      <w:pPr>
        <w:autoSpaceDE w:val="0"/>
        <w:autoSpaceDN w:val="0"/>
        <w:adjustRightInd w:val="0"/>
        <w:spacing w:before="24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Las condiciones mínimas requeridas para el intercambio de tráfico SIP deberán ser las siguientes:</w:t>
      </w:r>
    </w:p>
    <w:p w14:paraId="338D15D5" w14:textId="77777777" w:rsidR="000F0B9F" w:rsidRPr="008762D1" w:rsidRDefault="00C45593" w:rsidP="000F0B9F">
      <w:pPr>
        <w:pStyle w:val="Textosinformato"/>
        <w:numPr>
          <w:ilvl w:val="0"/>
          <w:numId w:val="14"/>
        </w:numPr>
        <w:spacing w:before="240"/>
        <w:ind w:left="851"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Telmex entrega en el Sub-Anexo A-1 los Puntos de Interconexión IP, en donde pueden interconectar su  Red Pública de Telecomunicaciones en protocolo SIP. Los Puntos de Interconexión deberán ser capaces de atender a </w:t>
      </w:r>
      <w:r w:rsidRPr="008762D1">
        <w:rPr>
          <w:rFonts w:ascii="ITC Avant Garde" w:hAnsi="ITC Avant Garde" w:cs="Arial"/>
          <w:color w:val="000000" w:themeColor="text1"/>
          <w:sz w:val="18"/>
          <w:szCs w:val="18"/>
        </w:rPr>
        <w:t>tod</w:t>
      </w:r>
      <w:r w:rsidRPr="008762D1">
        <w:rPr>
          <w:rFonts w:ascii="ITC Avant Garde" w:hAnsi="ITC Avant Garde" w:cs="Arial"/>
          <w:color w:val="000000" w:themeColor="text1"/>
          <w:sz w:val="18"/>
          <w:szCs w:val="18"/>
          <w:u w:val="single"/>
        </w:rPr>
        <w:t>a</w:t>
      </w:r>
      <w:r w:rsidRPr="008762D1">
        <w:rPr>
          <w:rFonts w:ascii="ITC Avant Garde" w:hAnsi="ITC Avant Garde" w:cs="Arial"/>
          <w:color w:val="000000" w:themeColor="text1"/>
          <w:sz w:val="18"/>
          <w:szCs w:val="18"/>
        </w:rPr>
        <w:t xml:space="preserve">s </w:t>
      </w:r>
      <w:r w:rsidRPr="008762D1">
        <w:rPr>
          <w:rFonts w:ascii="ITC Avant Garde" w:hAnsi="ITC Avant Garde" w:cs="Arial"/>
          <w:color w:val="000000" w:themeColor="text1"/>
          <w:sz w:val="18"/>
          <w:szCs w:val="18"/>
          <w:u w:val="single"/>
        </w:rPr>
        <w:t xml:space="preserve">las regiones de México. </w:t>
      </w:r>
      <w:r w:rsidRPr="008762D1">
        <w:rPr>
          <w:rFonts w:ascii="ITC Avant Garde" w:hAnsi="ITC Avant Garde" w:cs="Arial"/>
          <w:color w:val="000000" w:themeColor="text1"/>
          <w:sz w:val="18"/>
          <w:szCs w:val="18"/>
        </w:rPr>
        <w:t xml:space="preserve"> (…)”</w:t>
      </w:r>
    </w:p>
    <w:p w14:paraId="56B182C7" w14:textId="1D1B18A4" w:rsidR="000F0B9F" w:rsidRPr="008762D1" w:rsidRDefault="00C45593"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Asimismo, se modifica el Tema 1, numeral A.2 del Anexo A, para quedar en los siguientes términos:</w:t>
      </w:r>
    </w:p>
    <w:p w14:paraId="1C869469" w14:textId="2C691759" w:rsidR="00C45593" w:rsidRPr="008762D1" w:rsidRDefault="00C45593" w:rsidP="000F0B9F">
      <w:pPr>
        <w:autoSpaceDE w:val="0"/>
        <w:autoSpaceDN w:val="0"/>
        <w:adjustRightInd w:val="0"/>
        <w:spacing w:before="240" w:line="276" w:lineRule="auto"/>
        <w:ind w:left="567" w:right="567"/>
        <w:jc w:val="both"/>
        <w:rPr>
          <w:rFonts w:ascii="ITC Avant Garde" w:hAnsi="ITC Avant Garde"/>
          <w:b/>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color w:val="000000" w:themeColor="text1"/>
          <w:sz w:val="18"/>
          <w:szCs w:val="18"/>
        </w:rPr>
        <w:t>TEMA 1. Puntos de Interconexión</w:t>
      </w:r>
    </w:p>
    <w:p w14:paraId="5BFD941E" w14:textId="1B3D78AF" w:rsidR="00C45593" w:rsidRPr="008762D1" w:rsidRDefault="00C45593" w:rsidP="008762D1">
      <w:pPr>
        <w:autoSpaceDE w:val="0"/>
        <w:autoSpaceDN w:val="0"/>
        <w:adjustRightInd w:val="0"/>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s="Arial"/>
          <w:color w:val="000000" w:themeColor="text1"/>
          <w:sz w:val="18"/>
          <w:szCs w:val="18"/>
        </w:rPr>
        <w:t>TELMEX</w:t>
      </w:r>
      <w:r w:rsidRPr="008762D1">
        <w:rPr>
          <w:rFonts w:ascii="ITC Avant Garde" w:hAnsi="ITC Avant Garde"/>
          <w:color w:val="000000" w:themeColor="text1"/>
          <w:sz w:val="18"/>
          <w:szCs w:val="18"/>
        </w:rPr>
        <w:t xml:space="preserve"> entrega en el Sub-Anexo A-1 los Puntos de Interconexión IP, en donde </w:t>
      </w:r>
      <w:r w:rsidR="008762D1" w:rsidRPr="008762D1">
        <w:rPr>
          <w:rFonts w:cs="Arial"/>
          <w:b/>
          <w:color w:val="0000FF"/>
        </w:rPr>
        <w:t>(…)</w:t>
      </w:r>
      <w:r w:rsidR="008762D1">
        <w:rPr>
          <w:rFonts w:cs="Arial"/>
          <w:b/>
          <w:color w:val="0000FF"/>
        </w:rPr>
        <w:t xml:space="preserve"> </w:t>
      </w:r>
      <w:r w:rsidRPr="008762D1">
        <w:rPr>
          <w:rFonts w:ascii="ITC Avant Garde" w:hAnsi="ITC Avant Garde"/>
          <w:color w:val="000000" w:themeColor="text1"/>
          <w:sz w:val="18"/>
          <w:szCs w:val="18"/>
        </w:rPr>
        <w:t xml:space="preserve">pueda interconectar su Red Pública de Telecomunicaciones en protocolo SIP. Los Puntos de Interconexión deberán ser capaces de atender </w:t>
      </w:r>
      <w:r w:rsidRPr="008762D1">
        <w:rPr>
          <w:rFonts w:ascii="ITC Avant Garde" w:hAnsi="ITC Avant Garde" w:cs="Arial"/>
          <w:color w:val="000000" w:themeColor="text1"/>
          <w:sz w:val="18"/>
          <w:szCs w:val="18"/>
        </w:rPr>
        <w:t xml:space="preserve">a </w:t>
      </w:r>
      <w:r w:rsidRPr="008762D1">
        <w:rPr>
          <w:rFonts w:ascii="ITC Avant Garde" w:hAnsi="ITC Avant Garde"/>
          <w:color w:val="000000" w:themeColor="text1"/>
          <w:sz w:val="18"/>
          <w:szCs w:val="18"/>
        </w:rPr>
        <w:t>tod</w:t>
      </w:r>
      <w:r w:rsidRPr="008762D1">
        <w:rPr>
          <w:rFonts w:ascii="ITC Avant Garde" w:hAnsi="ITC Avant Garde"/>
          <w:color w:val="000000" w:themeColor="text1"/>
          <w:sz w:val="18"/>
          <w:szCs w:val="18"/>
          <w:u w:val="single"/>
        </w:rPr>
        <w:t>a</w:t>
      </w:r>
      <w:r w:rsidRPr="008762D1">
        <w:rPr>
          <w:rFonts w:ascii="ITC Avant Garde" w:hAnsi="ITC Avant Garde"/>
          <w:color w:val="000000" w:themeColor="text1"/>
          <w:sz w:val="18"/>
          <w:szCs w:val="18"/>
        </w:rPr>
        <w:t xml:space="preserve">s </w:t>
      </w:r>
      <w:r w:rsidRPr="008762D1">
        <w:rPr>
          <w:rFonts w:ascii="ITC Avant Garde" w:hAnsi="ITC Avant Garde"/>
          <w:color w:val="000000" w:themeColor="text1"/>
          <w:sz w:val="18"/>
          <w:szCs w:val="18"/>
          <w:u w:val="single"/>
        </w:rPr>
        <w:t xml:space="preserve">las regiones de México. </w:t>
      </w:r>
      <w:r w:rsidRPr="008762D1">
        <w:rPr>
          <w:rFonts w:ascii="ITC Avant Garde" w:hAnsi="ITC Avant Garde"/>
          <w:color w:val="000000" w:themeColor="text1"/>
          <w:sz w:val="18"/>
          <w:szCs w:val="18"/>
        </w:rPr>
        <w:t>(…)”</w:t>
      </w:r>
    </w:p>
    <w:p w14:paraId="6DFFFAAA" w14:textId="77777777" w:rsidR="000F0B9F" w:rsidRPr="008762D1" w:rsidRDefault="00C45593"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De igual forma se realizan diversas modificaciones a lo largo del CMI, a efecto de hacerlo consistente con lo anterior, mismas que no se transcriben pero que forman parte del mismo.</w:t>
      </w:r>
    </w:p>
    <w:p w14:paraId="0B6A483E" w14:textId="77777777" w:rsidR="000F0B9F" w:rsidRPr="008762D1" w:rsidRDefault="00C45593"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Con lo anterior, será posible que </w:t>
      </w:r>
      <w:r w:rsidRPr="008762D1">
        <w:rPr>
          <w:rFonts w:ascii="ITC Avant Garde" w:hAnsi="ITC Avant Garde" w:cs="Arial"/>
          <w:color w:val="000000" w:themeColor="text1"/>
          <w:lang w:eastAsia="es-MX"/>
        </w:rPr>
        <w:t xml:space="preserve">los puntos de interconexión IP de Telmex sean capaces de atender a todas las regiones de México incluyendo las llamadas que terminen en la red de </w:t>
      </w:r>
      <w:proofErr w:type="spellStart"/>
      <w:r w:rsidRPr="008762D1">
        <w:rPr>
          <w:rFonts w:ascii="ITC Avant Garde" w:hAnsi="ITC Avant Garde" w:cs="Arial"/>
          <w:color w:val="000000" w:themeColor="text1"/>
          <w:lang w:eastAsia="es-MX"/>
        </w:rPr>
        <w:t>Telnor</w:t>
      </w:r>
      <w:proofErr w:type="spellEnd"/>
      <w:r w:rsidRPr="008762D1">
        <w:rPr>
          <w:rFonts w:ascii="ITC Avant Garde" w:hAnsi="ITC Avant Garde" w:cs="Arial"/>
          <w:color w:val="000000" w:themeColor="text1"/>
          <w:lang w:eastAsia="es-MX"/>
        </w:rPr>
        <w:t>.</w:t>
      </w:r>
    </w:p>
    <w:p w14:paraId="5A980856" w14:textId="77777777" w:rsidR="000F0B9F" w:rsidRPr="008762D1" w:rsidRDefault="00DF1A6A" w:rsidP="000F0B9F">
      <w:pPr>
        <w:pStyle w:val="IFT1"/>
        <w:numPr>
          <w:ilvl w:val="2"/>
          <w:numId w:val="9"/>
        </w:numPr>
        <w:spacing w:before="240" w:after="0"/>
        <w:ind w:left="0" w:firstLine="0"/>
        <w:rPr>
          <w:b/>
          <w:color w:val="000000" w:themeColor="text1"/>
        </w:rPr>
      </w:pPr>
      <w:r w:rsidRPr="008762D1">
        <w:rPr>
          <w:b/>
          <w:color w:val="000000" w:themeColor="text1"/>
        </w:rPr>
        <w:t>CALIDAD DE LOS SERVICIOS DE INTERCONEXIÓN.</w:t>
      </w:r>
    </w:p>
    <w:p w14:paraId="145AA5E0" w14:textId="076220FC" w:rsidR="0092767C" w:rsidRPr="008762D1" w:rsidRDefault="0092767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1DCEFC04" w14:textId="77777777" w:rsidR="000F0B9F" w:rsidRPr="008762D1" w:rsidRDefault="001171BB"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Con</w:t>
      </w:r>
      <w:r w:rsidR="004B5AA2" w:rsidRPr="008762D1">
        <w:rPr>
          <w:rFonts w:ascii="ITC Avant Garde" w:hAnsi="ITC Avant Garde" w:cs="Arial"/>
          <w:color w:val="000000" w:themeColor="text1"/>
          <w:lang w:eastAsia="es-MX"/>
        </w:rPr>
        <w:t xml:space="preserve"> relación a </w:t>
      </w:r>
      <w:r w:rsidR="00452732" w:rsidRPr="008762D1">
        <w:rPr>
          <w:rFonts w:ascii="ITC Avant Garde" w:hAnsi="ITC Avant Garde" w:cs="Arial"/>
          <w:color w:val="000000" w:themeColor="text1"/>
          <w:lang w:eastAsia="es-MX"/>
        </w:rPr>
        <w:t xml:space="preserve">las condiciones mínimas requeridas para el intercambio de tráfico SIP a efecto de que el AEP instale capacidad suficiente para satisfacer la demanda del tráfico de interconexión hacia la red del CS se modificó la </w:t>
      </w:r>
      <w:r w:rsidR="00570B80" w:rsidRPr="008762D1">
        <w:rPr>
          <w:rFonts w:ascii="ITC Avant Garde" w:hAnsi="ITC Avant Garde" w:cs="Arial"/>
          <w:color w:val="000000" w:themeColor="text1"/>
          <w:lang w:eastAsia="es-MX"/>
        </w:rPr>
        <w:t xml:space="preserve">Cláusula </w:t>
      </w:r>
      <w:r w:rsidR="004B5AA2" w:rsidRPr="008762D1">
        <w:rPr>
          <w:rFonts w:ascii="ITC Avant Garde" w:hAnsi="ITC Avant Garde" w:cs="Arial"/>
          <w:color w:val="000000" w:themeColor="text1"/>
          <w:lang w:eastAsia="es-MX"/>
        </w:rPr>
        <w:t>5.7.3</w:t>
      </w:r>
      <w:r w:rsidRPr="008762D1">
        <w:rPr>
          <w:rFonts w:ascii="ITC Avant Garde" w:hAnsi="ITC Avant Garde" w:cs="Arial"/>
          <w:color w:val="000000" w:themeColor="text1"/>
          <w:lang w:eastAsia="es-MX"/>
        </w:rPr>
        <w:t xml:space="preserve"> y 6.2</w:t>
      </w:r>
      <w:r w:rsidR="004B5AA2" w:rsidRPr="008762D1">
        <w:rPr>
          <w:rFonts w:ascii="ITC Avant Garde" w:hAnsi="ITC Avant Garde" w:cs="Arial"/>
          <w:color w:val="000000" w:themeColor="text1"/>
          <w:lang w:eastAsia="es-MX"/>
        </w:rPr>
        <w:t xml:space="preserve"> a fin de establecer que los crecimientos de los enlaces de transmisión de interconexión se realizarán cuando se alcance el 60% de la capacidad instalada</w:t>
      </w:r>
      <w:r w:rsidR="00A608BB" w:rsidRPr="008762D1">
        <w:rPr>
          <w:rFonts w:ascii="ITC Avant Garde" w:hAnsi="ITC Avant Garde" w:cs="Arial"/>
          <w:color w:val="000000" w:themeColor="text1"/>
          <w:lang w:eastAsia="es-MX"/>
        </w:rPr>
        <w:t>, en el siguiente sentido:</w:t>
      </w:r>
      <w:r w:rsidR="004B5AA2" w:rsidRPr="008762D1">
        <w:rPr>
          <w:rFonts w:ascii="ITC Avant Garde" w:hAnsi="ITC Avant Garde" w:cs="Arial"/>
          <w:color w:val="000000" w:themeColor="text1"/>
          <w:lang w:eastAsia="es-MX"/>
        </w:rPr>
        <w:t xml:space="preserve"> </w:t>
      </w:r>
    </w:p>
    <w:p w14:paraId="208A1769" w14:textId="1584AC34" w:rsidR="00A608BB" w:rsidRPr="008762D1" w:rsidRDefault="00A608BB"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“Las condiciones mínimas requeridas para el intercambio de tráfico SIP deberán ser las siguientes:</w:t>
      </w:r>
    </w:p>
    <w:p w14:paraId="5939BAD1" w14:textId="3B872066" w:rsidR="00A608BB" w:rsidRPr="008762D1" w:rsidRDefault="00A608BB" w:rsidP="008762D1">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16C0BB12" w14:textId="77777777" w:rsidR="00A608BB" w:rsidRPr="008762D1" w:rsidRDefault="00A608BB"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w:t>
      </w:r>
      <w:r w:rsidRPr="008762D1">
        <w:rPr>
          <w:rFonts w:ascii="ITC Avant Garde" w:hAnsi="ITC Avant Garde"/>
          <w:color w:val="000000" w:themeColor="text1"/>
          <w:sz w:val="18"/>
          <w:szCs w:val="18"/>
          <w:u w:val="single"/>
        </w:rPr>
        <w:tab/>
        <w:t xml:space="preserve">Los crecimientos de los Enlaces de Transmisión de Interconexión, para un nuevo enlace en un mismo Punto de Interconexión, se realizarán una vez que se alcance la ocupación del 60% (sesenta por ciento) de la capacidad instalada en dicho Enlace de Transmisión </w:t>
      </w:r>
      <w:r w:rsidRPr="008762D1">
        <w:rPr>
          <w:rFonts w:ascii="ITC Avant Garde" w:hAnsi="ITC Avant Garde"/>
          <w:color w:val="000000" w:themeColor="text1"/>
          <w:sz w:val="18"/>
          <w:szCs w:val="18"/>
          <w:u w:val="single"/>
        </w:rPr>
        <w:lastRenderedPageBreak/>
        <w:t>de Interconexión. El crecimiento de Enlaces de Transmisión de Interconexión se hará mediante la habilitación de un puerto adicional en el mismo Punto de Interconexión o, si esto ya no resultare técnicamente factible, en otro Punto de Interconexión en el que el CONCESIONARIO ya se encuentre interconectado en IP. 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Independientemente de lo anterior, el CONCESIONARIO podrá solicitar acceso en otros Puntos de Interconexión conforme a lo dispuesto en el Acuerdo de Puntos de Interconexión.”</w:t>
      </w:r>
    </w:p>
    <w:p w14:paraId="285DA046" w14:textId="77777777" w:rsidR="000F0B9F" w:rsidRPr="008762D1" w:rsidRDefault="00FE3C1E"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199D0990" w14:textId="77777777" w:rsidR="000F0B9F" w:rsidRPr="008762D1" w:rsidRDefault="001171B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w:t>
      </w:r>
      <w:r w:rsidRPr="008762D1">
        <w:rPr>
          <w:rFonts w:ascii="ITC Avant Garde" w:hAnsi="ITC Avant Garde" w:cs="Arial"/>
          <w:b/>
          <w:color w:val="000000" w:themeColor="text1"/>
          <w:sz w:val="18"/>
          <w:szCs w:val="18"/>
          <w:lang w:eastAsia="es-MX"/>
        </w:rPr>
        <w:t>6.2 CALIDAD DE LOS SERVICIOS DE INTERCONEXION</w:t>
      </w:r>
      <w:r w:rsidRPr="008762D1">
        <w:rPr>
          <w:rFonts w:ascii="ITC Avant Garde" w:hAnsi="ITC Avant Garde" w:cs="Arial"/>
          <w:color w:val="000000" w:themeColor="text1"/>
          <w:sz w:val="18"/>
          <w:szCs w:val="18"/>
          <w:lang w:eastAsia="es-MX"/>
        </w:rPr>
        <w:t>.</w:t>
      </w:r>
    </w:p>
    <w:p w14:paraId="4F145ED3" w14:textId="0DE58242" w:rsidR="000F0B9F" w:rsidRPr="008762D1" w:rsidRDefault="001171B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 xml:space="preserve">Telmex se obliga a instalar, la capacidad suficiente para satisfacer la demanda de Servicios de Interconexión, a solicitud de </w:t>
      </w:r>
      <w:r w:rsidR="008762D1" w:rsidRPr="008762D1">
        <w:rPr>
          <w:rFonts w:cs="Arial"/>
          <w:b/>
          <w:color w:val="0000FF"/>
        </w:rPr>
        <w:t>(…)</w:t>
      </w:r>
      <w:r w:rsidRPr="008762D1">
        <w:rPr>
          <w:rFonts w:ascii="ITC Avant Garde" w:hAnsi="ITC Avant Garde" w:cs="Arial"/>
          <w:color w:val="000000" w:themeColor="text1"/>
          <w:sz w:val="18"/>
          <w:szCs w:val="18"/>
          <w:lang w:eastAsia="es-MX"/>
        </w:rPr>
        <w:t xml:space="preserve"> incrementando la capacidad requerida una vez que ésta llegue a una ocupación del </w:t>
      </w:r>
      <w:r w:rsidRPr="008762D1">
        <w:rPr>
          <w:rFonts w:ascii="ITC Avant Garde" w:hAnsi="ITC Avant Garde" w:cs="Arial"/>
          <w:color w:val="000000" w:themeColor="text1"/>
          <w:sz w:val="18"/>
          <w:szCs w:val="18"/>
          <w:u w:val="single"/>
          <w:lang w:eastAsia="es-MX"/>
        </w:rPr>
        <w:t xml:space="preserve">60% (sesenta por ciento) </w:t>
      </w:r>
      <w:r w:rsidRPr="008762D1">
        <w:rPr>
          <w:rFonts w:ascii="ITC Avant Garde" w:hAnsi="ITC Avant Garde" w:cs="Arial"/>
          <w:color w:val="000000" w:themeColor="text1"/>
          <w:sz w:val="18"/>
          <w:szCs w:val="18"/>
          <w:lang w:eastAsia="es-MX"/>
        </w:rPr>
        <w:t>en hora pico. De manera recíproca el Operador Solicitante se obliga a instalar la capacidad suficiente para satisfacer la demanda de Servicios de Interconexión a solicitud de Telmex.</w:t>
      </w:r>
    </w:p>
    <w:p w14:paraId="70BBC0C5" w14:textId="256E5ADE" w:rsidR="001171BB" w:rsidRPr="008762D1" w:rsidRDefault="001171B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 xml:space="preserve">Telmex se obliga a instalar la capacidad suficiente para satisfacer la demanda de tráfico de interconexión hacia la red de </w:t>
      </w:r>
      <w:r w:rsidR="008762D1" w:rsidRPr="008762D1">
        <w:rPr>
          <w:rFonts w:cs="Arial"/>
          <w:b/>
          <w:color w:val="0000FF"/>
        </w:rPr>
        <w:t>(…)</w:t>
      </w:r>
      <w:r w:rsidRPr="008762D1">
        <w:rPr>
          <w:rFonts w:ascii="ITC Avant Garde" w:hAnsi="ITC Avant Garde" w:cs="Arial"/>
          <w:color w:val="000000" w:themeColor="text1"/>
          <w:sz w:val="18"/>
          <w:szCs w:val="18"/>
          <w:lang w:eastAsia="es-MX"/>
        </w:rPr>
        <w:t xml:space="preserve">, incrementando la capacidad una vez que esta llegue a una ocupación del </w:t>
      </w:r>
      <w:r w:rsidRPr="008762D1">
        <w:rPr>
          <w:rFonts w:ascii="ITC Avant Garde" w:hAnsi="ITC Avant Garde" w:cs="Arial"/>
          <w:color w:val="000000" w:themeColor="text1"/>
          <w:sz w:val="18"/>
          <w:szCs w:val="18"/>
          <w:u w:val="single"/>
          <w:lang w:eastAsia="es-MX"/>
        </w:rPr>
        <w:t>60% (sesenta por ciento)</w:t>
      </w:r>
      <w:r w:rsidRPr="008762D1">
        <w:rPr>
          <w:rFonts w:ascii="ITC Avant Garde" w:hAnsi="ITC Avant Garde" w:cs="Arial"/>
          <w:color w:val="000000" w:themeColor="text1"/>
          <w:sz w:val="18"/>
          <w:szCs w:val="18"/>
          <w:lang w:eastAsia="es-MX"/>
        </w:rPr>
        <w:t xml:space="preserve"> en hora pico.</w:t>
      </w:r>
    </w:p>
    <w:p w14:paraId="6DDF2EB0" w14:textId="77777777" w:rsidR="001171BB" w:rsidRPr="008762D1" w:rsidRDefault="001171B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 ”</w:t>
      </w:r>
    </w:p>
    <w:p w14:paraId="551F4918" w14:textId="77777777" w:rsidR="000F0B9F" w:rsidRPr="008762D1" w:rsidRDefault="001171BB"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1DE34BC2" w14:textId="5B86956C" w:rsidR="00682875" w:rsidRPr="008762D1" w:rsidRDefault="0068287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4668DB87" w14:textId="77777777" w:rsidR="000F0B9F" w:rsidRPr="008762D1" w:rsidRDefault="004F3360"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Telmex señala en el Escrito de Respuesta que la modificación respecto a que los incrementos de capacidad se realizarán cuando se alcance el 60% de ocupación de la misma</w:t>
      </w:r>
      <w:r w:rsidR="00487448" w:rsidRPr="008762D1">
        <w:rPr>
          <w:rFonts w:ascii="ITC Avant Garde" w:hAnsi="ITC Avant Garde" w:cs="Arial"/>
          <w:color w:val="000000" w:themeColor="text1"/>
          <w:lang w:eastAsia="es-MX"/>
        </w:rPr>
        <w:t xml:space="preserve"> es improcedente, toda vez que la homologación que pretende realizar el </w:t>
      </w:r>
      <w:proofErr w:type="spellStart"/>
      <w:r w:rsidR="00487448" w:rsidRPr="008762D1">
        <w:rPr>
          <w:rFonts w:ascii="ITC Avant Garde" w:hAnsi="ITC Avant Garde" w:cs="Arial"/>
          <w:color w:val="000000" w:themeColor="text1"/>
          <w:lang w:eastAsia="es-MX"/>
        </w:rPr>
        <w:t>lnstituto</w:t>
      </w:r>
      <w:proofErr w:type="spellEnd"/>
      <w:r w:rsidR="00487448" w:rsidRPr="008762D1">
        <w:rPr>
          <w:rFonts w:ascii="ITC Avant Garde" w:hAnsi="ITC Avant Garde" w:cs="Arial"/>
          <w:color w:val="000000" w:themeColor="text1"/>
          <w:lang w:eastAsia="es-MX"/>
        </w:rPr>
        <w:t xml:space="preserve"> con lo establecido en el CMI de Telcel carece de sustento técnico y económico.</w:t>
      </w:r>
    </w:p>
    <w:p w14:paraId="74AF97F9" w14:textId="77777777" w:rsidR="000F0B9F" w:rsidRPr="008762D1" w:rsidRDefault="004F3360"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Señala que el Instituto</w:t>
      </w:r>
      <w:r w:rsidR="00487448" w:rsidRPr="008762D1">
        <w:rPr>
          <w:rFonts w:ascii="ITC Avant Garde" w:hAnsi="ITC Avant Garde" w:cs="Arial"/>
          <w:color w:val="000000" w:themeColor="text1"/>
          <w:lang w:eastAsia="es-MX"/>
        </w:rPr>
        <w:t xml:space="preserve"> no es congruente con lo que previamente ha aprobado, autorizado y calificado favorablemente en relación con el CMI presentado en años ant</w:t>
      </w:r>
      <w:r w:rsidRPr="008762D1">
        <w:rPr>
          <w:rFonts w:ascii="ITC Avant Garde" w:hAnsi="ITC Avant Garde" w:cs="Arial"/>
          <w:color w:val="000000" w:themeColor="text1"/>
          <w:lang w:eastAsia="es-MX"/>
        </w:rPr>
        <w:t>e</w:t>
      </w:r>
      <w:r w:rsidR="00487448" w:rsidRPr="008762D1">
        <w:rPr>
          <w:rFonts w:ascii="ITC Avant Garde" w:hAnsi="ITC Avant Garde" w:cs="Arial"/>
          <w:color w:val="000000" w:themeColor="text1"/>
          <w:lang w:eastAsia="es-MX"/>
        </w:rPr>
        <w:t>riores para su aprobación por Telmex.</w:t>
      </w:r>
    </w:p>
    <w:p w14:paraId="597B540C" w14:textId="77777777" w:rsidR="000F0B9F" w:rsidRPr="008762D1" w:rsidRDefault="00487448"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En este sentido, el </w:t>
      </w:r>
      <w:r w:rsidR="004F3360" w:rsidRPr="008762D1">
        <w:rPr>
          <w:rFonts w:ascii="ITC Avant Garde" w:hAnsi="ITC Avant Garde" w:cs="Arial"/>
          <w:color w:val="000000" w:themeColor="text1"/>
          <w:lang w:eastAsia="es-MX"/>
        </w:rPr>
        <w:t>CMI 2017</w:t>
      </w:r>
      <w:r w:rsidRPr="008762D1">
        <w:rPr>
          <w:rFonts w:ascii="ITC Avant Garde" w:hAnsi="ITC Avant Garde" w:cs="Arial"/>
          <w:color w:val="000000" w:themeColor="text1"/>
          <w:lang w:eastAsia="es-MX"/>
        </w:rPr>
        <w:t xml:space="preserve"> autorizado a </w:t>
      </w:r>
      <w:r w:rsidR="004F3360" w:rsidRPr="008762D1">
        <w:rPr>
          <w:rFonts w:ascii="ITC Avant Garde" w:hAnsi="ITC Avant Garde" w:cs="Arial"/>
          <w:color w:val="000000" w:themeColor="text1"/>
          <w:lang w:eastAsia="es-MX"/>
        </w:rPr>
        <w:t>Telmex</w:t>
      </w:r>
      <w:r w:rsidRPr="008762D1">
        <w:rPr>
          <w:rFonts w:ascii="ITC Avant Garde" w:hAnsi="ITC Avant Garde" w:cs="Arial"/>
          <w:color w:val="000000" w:themeColor="text1"/>
          <w:lang w:eastAsia="es-MX"/>
        </w:rPr>
        <w:t>, establece en el numeral 6.2 que los incrementos de capacidad se realizarán una vez que ésta llegue a una ocupación del 85% en hora pico. En este sentido</w:t>
      </w:r>
      <w:r w:rsidR="001D0391" w:rsidRPr="008762D1">
        <w:rPr>
          <w:rFonts w:ascii="ITC Avant Garde" w:hAnsi="ITC Avant Garde" w:cs="Arial"/>
          <w:color w:val="000000" w:themeColor="text1"/>
          <w:lang w:eastAsia="es-MX"/>
        </w:rPr>
        <w:t>,</w:t>
      </w:r>
      <w:r w:rsidRPr="008762D1">
        <w:rPr>
          <w:rFonts w:ascii="ITC Avant Garde" w:hAnsi="ITC Avant Garde" w:cs="Arial"/>
          <w:color w:val="000000" w:themeColor="text1"/>
          <w:lang w:eastAsia="es-MX"/>
        </w:rPr>
        <w:t xml:space="preserve"> e</w:t>
      </w:r>
      <w:r w:rsidR="001D0391" w:rsidRPr="008762D1">
        <w:rPr>
          <w:rFonts w:ascii="ITC Avant Garde" w:hAnsi="ITC Avant Garde" w:cs="Arial"/>
          <w:color w:val="000000" w:themeColor="text1"/>
          <w:lang w:eastAsia="es-MX"/>
        </w:rPr>
        <w:t>l</w:t>
      </w:r>
      <w:r w:rsidRPr="008762D1">
        <w:rPr>
          <w:rFonts w:ascii="ITC Avant Garde" w:hAnsi="ITC Avant Garde" w:cs="Arial"/>
          <w:color w:val="000000" w:themeColor="text1"/>
          <w:lang w:eastAsia="es-MX"/>
        </w:rPr>
        <w:t xml:space="preserve"> </w:t>
      </w:r>
      <w:proofErr w:type="spellStart"/>
      <w:r w:rsidRPr="008762D1">
        <w:rPr>
          <w:rFonts w:ascii="ITC Avant Garde" w:hAnsi="ITC Avant Garde" w:cs="Arial"/>
          <w:color w:val="000000" w:themeColor="text1"/>
          <w:lang w:eastAsia="es-MX"/>
        </w:rPr>
        <w:t>lnstituto</w:t>
      </w:r>
      <w:proofErr w:type="spellEnd"/>
      <w:r w:rsidRPr="008762D1">
        <w:rPr>
          <w:rFonts w:ascii="ITC Avant Garde" w:hAnsi="ITC Avant Garde" w:cs="Arial"/>
          <w:color w:val="000000" w:themeColor="text1"/>
          <w:lang w:eastAsia="es-MX"/>
        </w:rPr>
        <w:t xml:space="preserve"> no establece las causas por las cuales dicho porcentaje de ocupación deba ser modificado. La red pública de telecomunicaciones de Telmex sigue siendo la misma, las condiciones no han cambiado, incluso con la puesta en operación de los Puntos de </w:t>
      </w:r>
      <w:proofErr w:type="spellStart"/>
      <w:r w:rsidRPr="008762D1">
        <w:rPr>
          <w:rFonts w:ascii="ITC Avant Garde" w:hAnsi="ITC Avant Garde" w:cs="Arial"/>
          <w:color w:val="000000" w:themeColor="text1"/>
          <w:lang w:eastAsia="es-MX"/>
        </w:rPr>
        <w:lastRenderedPageBreak/>
        <w:t>lnterconexión</w:t>
      </w:r>
      <w:proofErr w:type="spellEnd"/>
      <w:r w:rsidRPr="008762D1">
        <w:rPr>
          <w:rFonts w:ascii="ITC Avant Garde" w:hAnsi="ITC Avant Garde" w:cs="Arial"/>
          <w:color w:val="000000" w:themeColor="text1"/>
          <w:lang w:eastAsia="es-MX"/>
        </w:rPr>
        <w:t xml:space="preserve"> </w:t>
      </w:r>
      <w:proofErr w:type="spellStart"/>
      <w:r w:rsidRPr="008762D1">
        <w:rPr>
          <w:rFonts w:ascii="ITC Avant Garde" w:hAnsi="ITC Avant Garde" w:cs="Arial"/>
          <w:color w:val="000000" w:themeColor="text1"/>
          <w:lang w:eastAsia="es-MX"/>
        </w:rPr>
        <w:t>lP</w:t>
      </w:r>
      <w:proofErr w:type="spellEnd"/>
      <w:r w:rsidRPr="008762D1">
        <w:rPr>
          <w:rFonts w:ascii="ITC Avant Garde" w:hAnsi="ITC Avant Garde" w:cs="Arial"/>
          <w:color w:val="000000" w:themeColor="text1"/>
          <w:lang w:eastAsia="es-MX"/>
        </w:rPr>
        <w:t xml:space="preserve"> y la tecnología en sí; el tráfico se ha desahogado, los con</w:t>
      </w:r>
      <w:r w:rsidR="008434B2" w:rsidRPr="008762D1">
        <w:rPr>
          <w:rFonts w:ascii="ITC Avant Garde" w:hAnsi="ITC Avant Garde" w:cs="Arial"/>
          <w:color w:val="000000" w:themeColor="text1"/>
          <w:lang w:eastAsia="es-MX"/>
        </w:rPr>
        <w:t xml:space="preserve">cesionarios cuentan con 21 Puntos de Interconexión </w:t>
      </w:r>
      <w:r w:rsidRPr="008762D1">
        <w:rPr>
          <w:rFonts w:ascii="ITC Avant Garde" w:hAnsi="ITC Avant Garde" w:cs="Arial"/>
          <w:color w:val="000000" w:themeColor="text1"/>
          <w:lang w:eastAsia="es-MX"/>
        </w:rPr>
        <w:t xml:space="preserve">para interconectarse con Telmex en </w:t>
      </w:r>
      <w:r w:rsidR="004F3360" w:rsidRPr="008762D1">
        <w:rPr>
          <w:rFonts w:ascii="ITC Avant Garde" w:hAnsi="ITC Avant Garde" w:cs="Arial"/>
          <w:color w:val="000000" w:themeColor="text1"/>
          <w:lang w:eastAsia="es-MX"/>
        </w:rPr>
        <w:t xml:space="preserve">10 </w:t>
      </w:r>
      <w:r w:rsidRPr="008762D1">
        <w:rPr>
          <w:rFonts w:ascii="ITC Avant Garde" w:hAnsi="ITC Avant Garde" w:cs="Arial"/>
          <w:color w:val="000000" w:themeColor="text1"/>
          <w:lang w:eastAsia="es-MX"/>
        </w:rPr>
        <w:t>ciudades, los cuales están a su disposición desde hace ya más de un año.</w:t>
      </w:r>
    </w:p>
    <w:p w14:paraId="15FAE2AD" w14:textId="77777777" w:rsidR="000F0B9F" w:rsidRPr="008762D1" w:rsidRDefault="004F3360"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Menciona que e</w:t>
      </w:r>
      <w:r w:rsidR="00487448" w:rsidRPr="008762D1">
        <w:rPr>
          <w:rFonts w:ascii="ITC Avant Garde" w:hAnsi="ITC Avant Garde" w:cs="Arial"/>
          <w:color w:val="000000" w:themeColor="text1"/>
          <w:lang w:eastAsia="es-MX"/>
        </w:rPr>
        <w:t xml:space="preserve">l hecho de bajar el porcentaje de ocupación creará más infraestructura ociosa para </w:t>
      </w:r>
      <w:r w:rsidR="005C79A6" w:rsidRPr="008762D1">
        <w:rPr>
          <w:rFonts w:ascii="ITC Avant Garde" w:hAnsi="ITC Avant Garde" w:cs="Arial"/>
          <w:color w:val="000000" w:themeColor="text1"/>
          <w:lang w:eastAsia="es-MX"/>
        </w:rPr>
        <w:t>Telmex</w:t>
      </w:r>
      <w:r w:rsidR="00487448" w:rsidRPr="008762D1">
        <w:rPr>
          <w:rFonts w:ascii="ITC Avant Garde" w:hAnsi="ITC Avant Garde" w:cs="Arial"/>
          <w:color w:val="000000" w:themeColor="text1"/>
          <w:lang w:eastAsia="es-MX"/>
        </w:rPr>
        <w:t>, como aconte</w:t>
      </w:r>
      <w:r w:rsidR="008434B2" w:rsidRPr="008762D1">
        <w:rPr>
          <w:rFonts w:ascii="ITC Avant Garde" w:hAnsi="ITC Avant Garde" w:cs="Arial"/>
          <w:color w:val="000000" w:themeColor="text1"/>
          <w:lang w:eastAsia="es-MX"/>
        </w:rPr>
        <w:t>ce con los 21 PDIC</w:t>
      </w:r>
      <w:r w:rsidR="00487448" w:rsidRPr="008762D1">
        <w:rPr>
          <w:rFonts w:ascii="ITC Avant Garde" w:hAnsi="ITC Avant Garde" w:cs="Arial"/>
          <w:color w:val="000000" w:themeColor="text1"/>
          <w:lang w:eastAsia="es-MX"/>
        </w:rPr>
        <w:t xml:space="preserve"> (</w:t>
      </w:r>
      <w:proofErr w:type="spellStart"/>
      <w:r w:rsidR="00487448" w:rsidRPr="008762D1">
        <w:rPr>
          <w:rFonts w:ascii="ITC Avant Garde" w:hAnsi="ITC Avant Garde" w:cs="Arial"/>
          <w:color w:val="000000" w:themeColor="text1"/>
          <w:lang w:eastAsia="es-MX"/>
        </w:rPr>
        <w:t>lP</w:t>
      </w:r>
      <w:proofErr w:type="spellEnd"/>
      <w:r w:rsidR="00487448" w:rsidRPr="008762D1">
        <w:rPr>
          <w:rFonts w:ascii="ITC Avant Garde" w:hAnsi="ITC Avant Garde" w:cs="Arial"/>
          <w:color w:val="000000" w:themeColor="text1"/>
          <w:lang w:eastAsia="es-MX"/>
        </w:rPr>
        <w:t>) puestos en operación, de los únicamente 3 o 4 son utilizados.</w:t>
      </w:r>
      <w:r w:rsidRPr="008762D1">
        <w:rPr>
          <w:rFonts w:ascii="ITC Avant Garde" w:hAnsi="ITC Avant Garde" w:cs="Arial"/>
          <w:color w:val="000000" w:themeColor="text1"/>
          <w:lang w:eastAsia="es-MX"/>
        </w:rPr>
        <w:t xml:space="preserve"> Señala que e</w:t>
      </w:r>
      <w:r w:rsidR="00487448" w:rsidRPr="008762D1">
        <w:rPr>
          <w:rFonts w:ascii="ITC Avant Garde" w:hAnsi="ITC Avant Garde" w:cs="Arial"/>
          <w:color w:val="000000" w:themeColor="text1"/>
          <w:lang w:eastAsia="es-MX"/>
        </w:rPr>
        <w:t xml:space="preserve">l dimensionamiento de la red de </w:t>
      </w:r>
      <w:r w:rsidRPr="008762D1">
        <w:rPr>
          <w:rFonts w:ascii="ITC Avant Garde" w:hAnsi="ITC Avant Garde" w:cs="Arial"/>
          <w:color w:val="000000" w:themeColor="text1"/>
          <w:lang w:eastAsia="es-MX"/>
        </w:rPr>
        <w:t>Telcel no puede servir de parámetro para la red de Telmex en virtud del tráfico cursado por cada una de ellas</w:t>
      </w:r>
      <w:r w:rsidR="00487448" w:rsidRPr="008762D1">
        <w:rPr>
          <w:rFonts w:ascii="ITC Avant Garde" w:hAnsi="ITC Avant Garde" w:cs="Arial"/>
          <w:color w:val="000000" w:themeColor="text1"/>
          <w:lang w:eastAsia="es-MX"/>
        </w:rPr>
        <w:t>.</w:t>
      </w:r>
    </w:p>
    <w:p w14:paraId="50B0660B" w14:textId="77777777" w:rsidR="000F0B9F" w:rsidRPr="008762D1" w:rsidRDefault="004F3360"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Por lo anterior, Telmex requiere al </w:t>
      </w:r>
      <w:proofErr w:type="spellStart"/>
      <w:r w:rsidRPr="008762D1">
        <w:rPr>
          <w:rFonts w:ascii="ITC Avant Garde" w:hAnsi="ITC Avant Garde" w:cs="Arial"/>
          <w:color w:val="000000" w:themeColor="text1"/>
          <w:lang w:eastAsia="es-MX"/>
        </w:rPr>
        <w:t>lnstituto</w:t>
      </w:r>
      <w:proofErr w:type="spellEnd"/>
      <w:r w:rsidRPr="008762D1">
        <w:rPr>
          <w:rFonts w:ascii="ITC Avant Garde" w:hAnsi="ITC Avant Garde" w:cs="Arial"/>
          <w:color w:val="000000" w:themeColor="text1"/>
          <w:lang w:eastAsia="es-MX"/>
        </w:rPr>
        <w:t xml:space="preserve"> no modificar los términos del parámetro del porcentaje de ocupación para iniciar el crecimiento de los servicios de interconexión, debiendo mantenerse en el 85% en hora pico, ya que, el considerar el crecimiento a un porcentaje menor del 85% significa inversiones adicionales para el crecimiento de la red, lo cual no se justifica, ya que como se puede observar, el porcentaje indicado se considera en la hora de mayor tráfico (hora pico), situación que no prevalece en la red durante todo el día.</w:t>
      </w:r>
    </w:p>
    <w:p w14:paraId="45DF9F00" w14:textId="77777777" w:rsidR="000F0B9F" w:rsidRPr="008762D1" w:rsidRDefault="00D03667"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Telmex presenta una gráfica con la curva del comportamiento típico del tráfico de interconexión en un día normal de Telmex</w:t>
      </w:r>
      <w:r w:rsidR="004F3360" w:rsidRPr="008762D1">
        <w:rPr>
          <w:rFonts w:ascii="ITC Avant Garde" w:hAnsi="ITC Avant Garde" w:cs="Arial"/>
          <w:color w:val="000000" w:themeColor="text1"/>
          <w:lang w:eastAsia="es-MX"/>
        </w:rPr>
        <w:t xml:space="preserve">. De </w:t>
      </w:r>
      <w:r w:rsidR="005C79A6" w:rsidRPr="008762D1">
        <w:rPr>
          <w:rFonts w:ascii="ITC Avant Garde" w:hAnsi="ITC Avant Garde" w:cs="Arial"/>
          <w:color w:val="000000" w:themeColor="text1"/>
          <w:lang w:eastAsia="es-MX"/>
        </w:rPr>
        <w:t>lo cual señala que</w:t>
      </w:r>
      <w:r w:rsidR="004F3360" w:rsidRPr="008762D1">
        <w:rPr>
          <w:rFonts w:ascii="ITC Avant Garde" w:hAnsi="ITC Avant Garde" w:cs="Arial"/>
          <w:color w:val="000000" w:themeColor="text1"/>
          <w:lang w:eastAsia="es-MX"/>
        </w:rPr>
        <w:t xml:space="preserve"> en gran parte del día el volumen de tráfico es menor al 50% de la ocupación del enlace,</w:t>
      </w:r>
      <w:r w:rsidR="008434B2" w:rsidRPr="008762D1">
        <w:rPr>
          <w:rFonts w:ascii="ITC Avant Garde" w:hAnsi="ITC Avant Garde" w:cs="Arial"/>
          <w:color w:val="000000" w:themeColor="text1"/>
          <w:lang w:eastAsia="es-MX"/>
        </w:rPr>
        <w:t xml:space="preserve"> que</w:t>
      </w:r>
      <w:r w:rsidR="004F3360" w:rsidRPr="008762D1">
        <w:rPr>
          <w:rFonts w:ascii="ITC Avant Garde" w:hAnsi="ITC Avant Garde" w:cs="Arial"/>
          <w:color w:val="000000" w:themeColor="text1"/>
          <w:lang w:eastAsia="es-MX"/>
        </w:rPr>
        <w:t xml:space="preserve"> solo en las horas pico del </w:t>
      </w:r>
      <w:r w:rsidR="008434B2" w:rsidRPr="008762D1">
        <w:rPr>
          <w:rFonts w:ascii="ITC Avant Garde" w:hAnsi="ITC Avant Garde" w:cs="Arial"/>
          <w:color w:val="000000" w:themeColor="text1"/>
          <w:lang w:eastAsia="es-MX"/>
        </w:rPr>
        <w:t>tráfico</w:t>
      </w:r>
      <w:r w:rsidR="004F3360" w:rsidRPr="008762D1">
        <w:rPr>
          <w:rFonts w:ascii="ITC Avant Garde" w:hAnsi="ITC Avant Garde" w:cs="Arial"/>
          <w:color w:val="000000" w:themeColor="text1"/>
          <w:lang w:eastAsia="es-MX"/>
        </w:rPr>
        <w:t xml:space="preserve"> la ocupación del enlace tendrá valores máximos, y aún en estos casos se puede observar que el tráfico se protege teniendo una reserva de al</w:t>
      </w:r>
      <w:r w:rsidR="005C79A6" w:rsidRPr="008762D1">
        <w:rPr>
          <w:rFonts w:ascii="ITC Avant Garde" w:hAnsi="ITC Avant Garde" w:cs="Arial"/>
          <w:color w:val="000000" w:themeColor="text1"/>
          <w:lang w:eastAsia="es-MX"/>
        </w:rPr>
        <w:t xml:space="preserve"> </w:t>
      </w:r>
      <w:r w:rsidR="004F3360" w:rsidRPr="008762D1">
        <w:rPr>
          <w:rFonts w:ascii="ITC Avant Garde" w:hAnsi="ITC Avant Garde" w:cs="Arial"/>
          <w:color w:val="000000" w:themeColor="text1"/>
          <w:lang w:eastAsia="es-MX"/>
        </w:rPr>
        <w:t xml:space="preserve">menos el 15% para un evento de tráfico atípico que se pudiera presentar, esto en el caso extremo con una ocupación del 85% para dar inicio al crecimiento del </w:t>
      </w:r>
      <w:r w:rsidR="005C79A6" w:rsidRPr="008762D1">
        <w:rPr>
          <w:rFonts w:ascii="ITC Avant Garde" w:hAnsi="ITC Avant Garde" w:cs="Arial"/>
          <w:color w:val="000000" w:themeColor="text1"/>
          <w:lang w:eastAsia="es-MX"/>
        </w:rPr>
        <w:t>servicio. En caso de que la oc</w:t>
      </w:r>
      <w:r w:rsidR="004F3360" w:rsidRPr="008762D1">
        <w:rPr>
          <w:rFonts w:ascii="ITC Avant Garde" w:hAnsi="ITC Avant Garde" w:cs="Arial"/>
          <w:color w:val="000000" w:themeColor="text1"/>
          <w:lang w:eastAsia="es-MX"/>
        </w:rPr>
        <w:t>upación del enlace sea menor al parámetro del 85%, por ejemplo 65% o 40%, evidentemente la reserva será mucho mayor.</w:t>
      </w:r>
    </w:p>
    <w:p w14:paraId="6DCDECB9" w14:textId="77777777" w:rsidR="000F0B9F" w:rsidRPr="008762D1" w:rsidRDefault="004F3360"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De lo anterior, Telmex señala que se demuestra que el bajar el </w:t>
      </w:r>
      <w:r w:rsidR="00CE40FF" w:rsidRPr="008762D1">
        <w:rPr>
          <w:rFonts w:ascii="ITC Avant Garde" w:hAnsi="ITC Avant Garde" w:cs="Arial"/>
          <w:color w:val="000000" w:themeColor="text1"/>
          <w:lang w:eastAsia="es-MX"/>
        </w:rPr>
        <w:t>porcentaje</w:t>
      </w:r>
      <w:r w:rsidRPr="008762D1">
        <w:rPr>
          <w:rFonts w:ascii="ITC Avant Garde" w:hAnsi="ITC Avant Garde" w:cs="Arial"/>
          <w:color w:val="000000" w:themeColor="text1"/>
          <w:lang w:eastAsia="es-MX"/>
        </w:rPr>
        <w:t xml:space="preserve"> de ocupación al 60% dará como resultado </w:t>
      </w:r>
      <w:r w:rsidR="00176813" w:rsidRPr="008762D1">
        <w:rPr>
          <w:rFonts w:ascii="ITC Avant Garde" w:hAnsi="ITC Avant Garde" w:cs="Arial"/>
          <w:color w:val="000000" w:themeColor="text1"/>
          <w:lang w:eastAsia="es-MX"/>
        </w:rPr>
        <w:t>capacidades ociosas, es decir desaprovechadas,</w:t>
      </w:r>
      <w:r w:rsidRPr="008762D1">
        <w:rPr>
          <w:rFonts w:ascii="ITC Avant Garde" w:hAnsi="ITC Avant Garde" w:cs="Arial"/>
          <w:color w:val="000000" w:themeColor="text1"/>
          <w:lang w:eastAsia="es-MX"/>
        </w:rPr>
        <w:t xml:space="preserve"> sin utilización: ello sin mencionar </w:t>
      </w:r>
      <w:r w:rsidR="00176813" w:rsidRPr="008762D1">
        <w:rPr>
          <w:rFonts w:ascii="ITC Avant Garde" w:hAnsi="ITC Avant Garde" w:cs="Arial"/>
          <w:color w:val="000000" w:themeColor="text1"/>
          <w:lang w:eastAsia="es-MX"/>
        </w:rPr>
        <w:t xml:space="preserve">que la mayoría </w:t>
      </w:r>
      <w:r w:rsidRPr="008762D1">
        <w:rPr>
          <w:rFonts w:ascii="ITC Avant Garde" w:hAnsi="ITC Avant Garde" w:cs="Arial"/>
          <w:color w:val="000000" w:themeColor="text1"/>
          <w:lang w:eastAsia="es-MX"/>
        </w:rPr>
        <w:t xml:space="preserve">de los Puntos de </w:t>
      </w:r>
      <w:proofErr w:type="spellStart"/>
      <w:r w:rsidRPr="008762D1">
        <w:rPr>
          <w:rFonts w:ascii="ITC Avant Garde" w:hAnsi="ITC Avant Garde" w:cs="Arial"/>
          <w:color w:val="000000" w:themeColor="text1"/>
          <w:lang w:eastAsia="es-MX"/>
        </w:rPr>
        <w:t>lnterconexión</w:t>
      </w:r>
      <w:proofErr w:type="spellEnd"/>
      <w:r w:rsidRPr="008762D1">
        <w:rPr>
          <w:rFonts w:ascii="ITC Avant Garde" w:hAnsi="ITC Avant Garde" w:cs="Arial"/>
          <w:color w:val="000000" w:themeColor="text1"/>
          <w:lang w:eastAsia="es-MX"/>
        </w:rPr>
        <w:t xml:space="preserve"> </w:t>
      </w:r>
      <w:proofErr w:type="spellStart"/>
      <w:r w:rsidRPr="008762D1">
        <w:rPr>
          <w:rFonts w:ascii="ITC Avant Garde" w:hAnsi="ITC Avant Garde" w:cs="Arial"/>
          <w:color w:val="000000" w:themeColor="text1"/>
          <w:lang w:eastAsia="es-MX"/>
        </w:rPr>
        <w:t>lP</w:t>
      </w:r>
      <w:proofErr w:type="spellEnd"/>
      <w:r w:rsidRPr="008762D1">
        <w:rPr>
          <w:rFonts w:ascii="ITC Avant Garde" w:hAnsi="ITC Avant Garde" w:cs="Arial"/>
          <w:color w:val="000000" w:themeColor="text1"/>
          <w:lang w:eastAsia="es-MX"/>
        </w:rPr>
        <w:t xml:space="preserve"> que Telmex tiene disponibles se encu</w:t>
      </w:r>
      <w:r w:rsidR="00176813" w:rsidRPr="008762D1">
        <w:rPr>
          <w:rFonts w:ascii="ITC Avant Garde" w:hAnsi="ITC Avant Garde" w:cs="Arial"/>
          <w:color w:val="000000" w:themeColor="text1"/>
          <w:lang w:eastAsia="es-MX"/>
        </w:rPr>
        <w:t>entran subutilizados, es decir,</w:t>
      </w:r>
      <w:r w:rsidRPr="008762D1">
        <w:rPr>
          <w:rFonts w:ascii="ITC Avant Garde" w:hAnsi="ITC Avant Garde" w:cs="Arial"/>
          <w:color w:val="000000" w:themeColor="text1"/>
          <w:lang w:eastAsia="es-MX"/>
        </w:rPr>
        <w:t xml:space="preserve"> que los concesionarios han optado </w:t>
      </w:r>
      <w:r w:rsidR="00176813" w:rsidRPr="008762D1">
        <w:rPr>
          <w:rFonts w:ascii="ITC Avant Garde" w:hAnsi="ITC Avant Garde" w:cs="Arial"/>
          <w:color w:val="000000" w:themeColor="text1"/>
          <w:lang w:eastAsia="es-MX"/>
        </w:rPr>
        <w:t xml:space="preserve">por utilizar solo 3 de ellos, </w:t>
      </w:r>
      <w:r w:rsidRPr="008762D1">
        <w:rPr>
          <w:rFonts w:ascii="ITC Avant Garde" w:hAnsi="ITC Avant Garde" w:cs="Arial"/>
          <w:color w:val="000000" w:themeColor="text1"/>
          <w:lang w:eastAsia="es-MX"/>
        </w:rPr>
        <w:t>ocasio</w:t>
      </w:r>
      <w:r w:rsidR="00176813" w:rsidRPr="008762D1">
        <w:rPr>
          <w:rFonts w:ascii="ITC Avant Garde" w:hAnsi="ITC Avant Garde" w:cs="Arial"/>
          <w:color w:val="000000" w:themeColor="text1"/>
          <w:lang w:eastAsia="es-MX"/>
        </w:rPr>
        <w:t>nando una g</w:t>
      </w:r>
      <w:r w:rsidRPr="008762D1">
        <w:rPr>
          <w:rFonts w:ascii="ITC Avant Garde" w:hAnsi="ITC Avant Garde" w:cs="Arial"/>
          <w:color w:val="000000" w:themeColor="text1"/>
          <w:lang w:eastAsia="es-MX"/>
        </w:rPr>
        <w:t xml:space="preserve">ran concentración de </w:t>
      </w:r>
      <w:r w:rsidR="00176813" w:rsidRPr="008762D1">
        <w:rPr>
          <w:rFonts w:ascii="ITC Avant Garde" w:hAnsi="ITC Avant Garde" w:cs="Arial"/>
          <w:color w:val="000000" w:themeColor="text1"/>
          <w:lang w:eastAsia="es-MX"/>
        </w:rPr>
        <w:t>tráfico y generando altos riesg</w:t>
      </w:r>
      <w:r w:rsidRPr="008762D1">
        <w:rPr>
          <w:rFonts w:ascii="ITC Avant Garde" w:hAnsi="ITC Avant Garde" w:cs="Arial"/>
          <w:color w:val="000000" w:themeColor="text1"/>
          <w:lang w:eastAsia="es-MX"/>
        </w:rPr>
        <w:t>os de afectación masiva.</w:t>
      </w:r>
    </w:p>
    <w:p w14:paraId="533A3211" w14:textId="77777777" w:rsidR="000F0B9F" w:rsidRPr="008762D1" w:rsidRDefault="001B56BE"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Señala que e</w:t>
      </w:r>
      <w:r w:rsidR="004F3360" w:rsidRPr="008762D1">
        <w:rPr>
          <w:rFonts w:ascii="ITC Avant Garde" w:hAnsi="ITC Avant Garde" w:cs="Arial"/>
          <w:color w:val="000000" w:themeColor="text1"/>
          <w:lang w:eastAsia="es-MX"/>
        </w:rPr>
        <w:t>s totalmente distinto el dimensionamiento de la red de Telcel, cuyo CMI también establece un p</w:t>
      </w:r>
      <w:r w:rsidRPr="008762D1">
        <w:rPr>
          <w:rFonts w:ascii="ITC Avant Garde" w:hAnsi="ITC Avant Garde" w:cs="Arial"/>
          <w:color w:val="000000" w:themeColor="text1"/>
          <w:lang w:eastAsia="es-MX"/>
        </w:rPr>
        <w:t>orcentaje de ocupación del 60%, ya</w:t>
      </w:r>
      <w:r w:rsidR="004F3360" w:rsidRPr="008762D1">
        <w:rPr>
          <w:rFonts w:ascii="ITC Avant Garde" w:hAnsi="ITC Avant Garde" w:cs="Arial"/>
          <w:color w:val="000000" w:themeColor="text1"/>
          <w:lang w:eastAsia="es-MX"/>
        </w:rPr>
        <w:t xml:space="preserve"> que la red de </w:t>
      </w:r>
      <w:r w:rsidRPr="008762D1">
        <w:rPr>
          <w:rFonts w:ascii="ITC Avant Garde" w:hAnsi="ITC Avant Garde" w:cs="Arial"/>
          <w:color w:val="000000" w:themeColor="text1"/>
          <w:lang w:eastAsia="es-MX"/>
        </w:rPr>
        <w:t>Telmex</w:t>
      </w:r>
      <w:r w:rsidR="004F3360" w:rsidRPr="008762D1">
        <w:rPr>
          <w:rFonts w:ascii="ITC Avant Garde" w:hAnsi="ITC Avant Garde" w:cs="Arial"/>
          <w:color w:val="000000" w:themeColor="text1"/>
          <w:lang w:eastAsia="es-MX"/>
        </w:rPr>
        <w:t xml:space="preserve"> refleja un comportamiento totalmente diferente en aspectos como </w:t>
      </w:r>
      <w:r w:rsidR="004F3360" w:rsidRPr="008762D1">
        <w:rPr>
          <w:rFonts w:ascii="ITC Avant Garde" w:hAnsi="ITC Avant Garde" w:cs="Arial"/>
          <w:color w:val="000000" w:themeColor="text1"/>
          <w:lang w:eastAsia="es-MX"/>
        </w:rPr>
        <w:lastRenderedPageBreak/>
        <w:t>concentración de tráfico de terminación y tránsito, disponibilidad de infraestructura, disponibilidad en enlaces, entre otros.</w:t>
      </w:r>
    </w:p>
    <w:p w14:paraId="58A0C163" w14:textId="77777777" w:rsidR="000F0B9F" w:rsidRPr="008762D1" w:rsidRDefault="004F3360"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En virtud de </w:t>
      </w:r>
      <w:r w:rsidR="001B56BE" w:rsidRPr="008762D1">
        <w:rPr>
          <w:rFonts w:ascii="ITC Avant Garde" w:hAnsi="ITC Avant Garde" w:cs="Arial"/>
          <w:color w:val="000000" w:themeColor="text1"/>
          <w:lang w:eastAsia="es-MX"/>
        </w:rPr>
        <w:t>lo anterior, manifiesta que</w:t>
      </w:r>
      <w:r w:rsidRPr="008762D1">
        <w:rPr>
          <w:rFonts w:ascii="ITC Avant Garde" w:hAnsi="ITC Avant Garde" w:cs="Arial"/>
          <w:color w:val="000000" w:themeColor="text1"/>
          <w:lang w:eastAsia="es-MX"/>
        </w:rPr>
        <w:t xml:space="preserve"> es improcedente la modificación del porcentaje de ocupación que </w:t>
      </w:r>
      <w:r w:rsidR="001B56BE" w:rsidRPr="008762D1">
        <w:rPr>
          <w:rFonts w:ascii="ITC Avant Garde" w:hAnsi="ITC Avant Garde" w:cs="Arial"/>
          <w:color w:val="000000" w:themeColor="text1"/>
          <w:lang w:eastAsia="es-MX"/>
        </w:rPr>
        <w:t>el</w:t>
      </w:r>
      <w:r w:rsidRPr="008762D1">
        <w:rPr>
          <w:rFonts w:ascii="ITC Avant Garde" w:hAnsi="ITC Avant Garde" w:cs="Arial"/>
          <w:color w:val="000000" w:themeColor="text1"/>
          <w:lang w:eastAsia="es-MX"/>
        </w:rPr>
        <w:t xml:space="preserve"> </w:t>
      </w:r>
      <w:proofErr w:type="spellStart"/>
      <w:r w:rsidRPr="008762D1">
        <w:rPr>
          <w:rFonts w:ascii="ITC Avant Garde" w:hAnsi="ITC Avant Garde" w:cs="Arial"/>
          <w:color w:val="000000" w:themeColor="text1"/>
          <w:lang w:eastAsia="es-MX"/>
        </w:rPr>
        <w:t>lnstituto</w:t>
      </w:r>
      <w:proofErr w:type="spellEnd"/>
      <w:r w:rsidRPr="008762D1">
        <w:rPr>
          <w:rFonts w:ascii="ITC Avant Garde" w:hAnsi="ITC Avant Garde" w:cs="Arial"/>
          <w:color w:val="000000" w:themeColor="text1"/>
          <w:lang w:eastAsia="es-MX"/>
        </w:rPr>
        <w:t xml:space="preserve"> pretende realizar, independientemente de que no cuenta con sustento técnico, económico o legal</w:t>
      </w:r>
      <w:r w:rsidR="001B56BE" w:rsidRPr="008762D1">
        <w:rPr>
          <w:rFonts w:ascii="ITC Avant Garde" w:hAnsi="ITC Avant Garde" w:cs="Arial"/>
          <w:color w:val="000000" w:themeColor="text1"/>
          <w:lang w:eastAsia="es-MX"/>
        </w:rPr>
        <w:t xml:space="preserve"> </w:t>
      </w:r>
      <w:r w:rsidRPr="008762D1">
        <w:rPr>
          <w:rFonts w:ascii="ITC Avant Garde" w:hAnsi="ITC Avant Garde" w:cs="Arial"/>
          <w:color w:val="000000" w:themeColor="text1"/>
          <w:lang w:eastAsia="es-MX"/>
        </w:rPr>
        <w:t>alguno.</w:t>
      </w:r>
    </w:p>
    <w:p w14:paraId="576F63E6" w14:textId="77777777" w:rsidR="000F0B9F" w:rsidRPr="008762D1" w:rsidRDefault="005C79A6"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De lo anterior, </w:t>
      </w:r>
      <w:r w:rsidR="0024157B" w:rsidRPr="008762D1">
        <w:rPr>
          <w:rFonts w:ascii="ITC Avant Garde" w:hAnsi="ITC Avant Garde" w:cs="Arial"/>
          <w:color w:val="000000" w:themeColor="text1"/>
          <w:lang w:eastAsia="es-MX"/>
        </w:rPr>
        <w:t>Telmex modificó el numeral 5.7.3 en el siguiente sentido:</w:t>
      </w:r>
    </w:p>
    <w:p w14:paraId="59A94AB8" w14:textId="2A27E455" w:rsidR="0024157B" w:rsidRPr="008762D1" w:rsidRDefault="0024157B"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“Las condiciones mínimas requeridas para el intercambio de tráfico SIP deberán ser las siguientes:</w:t>
      </w:r>
    </w:p>
    <w:p w14:paraId="118AD451" w14:textId="74D5FB99" w:rsidR="0024157B" w:rsidRPr="008762D1" w:rsidRDefault="0024157B" w:rsidP="00A04FE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15FFE458" w14:textId="77777777" w:rsidR="0024157B" w:rsidRPr="008762D1" w:rsidRDefault="0024157B"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w:t>
      </w:r>
      <w:r w:rsidRPr="008762D1">
        <w:rPr>
          <w:rFonts w:ascii="ITC Avant Garde" w:hAnsi="ITC Avant Garde"/>
          <w:strike/>
          <w:color w:val="000000" w:themeColor="text1"/>
          <w:sz w:val="18"/>
          <w:szCs w:val="18"/>
        </w:rPr>
        <w:tab/>
        <w:t>Los crecimientos de los Enlaces de Transmisión de Interconexión, para un nuevo enlace en un mismo Punto de Interconexión, se realizarán una vez que se alcance la ocupación del 60% (sesenta por ciento) de la capacidad instalada en dicho Enlace de Transmisión de Interconexión. El crecimiento de Enlaces de Transmisión de Interconexión se hará mediante la habilitación de un puerto adicional en el mismo Punto de Interconexión o, si esto ya no resultare técnicamente factible, en otro Punto de Interconexión en el que el CONCESIONARIO ya se encuentre interconectado en IP. 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Independientemente de lo anterior, el CONCESIONARIO podrá solicitar acceso en otros Puntos de Interconexión conforme a lo dispuesto en el Acuerdo de Puntos de Interconexión.</w:t>
      </w:r>
    </w:p>
    <w:p w14:paraId="42598B4B" w14:textId="77777777" w:rsidR="000F0B9F" w:rsidRPr="008762D1" w:rsidRDefault="0024157B"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color w:val="000000" w:themeColor="text1"/>
          <w:sz w:val="18"/>
          <w:szCs w:val="18"/>
        </w:rPr>
        <w:tab/>
      </w:r>
      <w:r w:rsidRPr="008762D1">
        <w:rPr>
          <w:rFonts w:ascii="ITC Avant Garde" w:hAnsi="ITC Avant Garde"/>
          <w:color w:val="000000" w:themeColor="text1"/>
          <w:sz w:val="18"/>
          <w:szCs w:val="18"/>
          <w:u w:val="single"/>
        </w:rPr>
        <w:t xml:space="preserve">Dentro de la interfaz activa se </w:t>
      </w:r>
      <w:r w:rsidR="00E436E3" w:rsidRPr="008762D1">
        <w:rPr>
          <w:rFonts w:ascii="ITC Avant Garde" w:hAnsi="ITC Avant Garde"/>
          <w:color w:val="000000" w:themeColor="text1"/>
          <w:sz w:val="18"/>
          <w:szCs w:val="18"/>
          <w:u w:val="single"/>
        </w:rPr>
        <w:t xml:space="preserve">incrementará </w:t>
      </w:r>
      <w:r w:rsidRPr="008762D1">
        <w:rPr>
          <w:rFonts w:ascii="ITC Avant Garde" w:hAnsi="ITC Avant Garde"/>
          <w:color w:val="000000" w:themeColor="text1"/>
          <w:sz w:val="18"/>
          <w:szCs w:val="18"/>
          <w:u w:val="single"/>
        </w:rPr>
        <w:t xml:space="preserve">la capacidad de manejo de tráfico con incrementos de 10 Mbps o 100 Mbps. Los crecimientos se realizarán al llegar al 85% de ocupación de la </w:t>
      </w:r>
      <w:r w:rsidR="00023F93" w:rsidRPr="008762D1">
        <w:rPr>
          <w:rFonts w:ascii="ITC Avant Garde" w:hAnsi="ITC Avant Garde"/>
          <w:color w:val="000000" w:themeColor="text1"/>
          <w:sz w:val="18"/>
          <w:szCs w:val="18"/>
          <w:u w:val="single"/>
        </w:rPr>
        <w:t>i</w:t>
      </w:r>
      <w:r w:rsidR="00E436E3" w:rsidRPr="008762D1">
        <w:rPr>
          <w:rFonts w:ascii="ITC Avant Garde" w:hAnsi="ITC Avant Garde"/>
          <w:color w:val="000000" w:themeColor="text1"/>
          <w:sz w:val="18"/>
          <w:szCs w:val="18"/>
          <w:u w:val="single"/>
        </w:rPr>
        <w:t>nterfaz</w:t>
      </w:r>
      <w:r w:rsidRPr="008762D1">
        <w:rPr>
          <w:rFonts w:ascii="ITC Avant Garde" w:hAnsi="ITC Avant Garde"/>
          <w:color w:val="000000" w:themeColor="text1"/>
          <w:sz w:val="18"/>
          <w:szCs w:val="18"/>
        </w:rPr>
        <w:t>”</w:t>
      </w:r>
    </w:p>
    <w:p w14:paraId="6E0DE856" w14:textId="77777777" w:rsidR="000F0B9F" w:rsidRPr="008762D1" w:rsidRDefault="001171BB"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0DA1B4A0" w14:textId="77777777" w:rsidR="000F0B9F" w:rsidRPr="008762D1" w:rsidRDefault="001171B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w:t>
      </w:r>
      <w:r w:rsidRPr="008762D1">
        <w:rPr>
          <w:rFonts w:ascii="ITC Avant Garde" w:hAnsi="ITC Avant Garde" w:cs="Arial"/>
          <w:b/>
          <w:color w:val="000000" w:themeColor="text1"/>
          <w:sz w:val="18"/>
          <w:szCs w:val="18"/>
          <w:lang w:eastAsia="es-MX"/>
        </w:rPr>
        <w:t>6.2 CALIDAD DE LOS SERVICIOS DE INTERCONEXION</w:t>
      </w:r>
      <w:r w:rsidRPr="008762D1">
        <w:rPr>
          <w:rFonts w:ascii="ITC Avant Garde" w:hAnsi="ITC Avant Garde" w:cs="Arial"/>
          <w:color w:val="000000" w:themeColor="text1"/>
          <w:sz w:val="18"/>
          <w:szCs w:val="18"/>
          <w:lang w:eastAsia="es-MX"/>
        </w:rPr>
        <w:t>.</w:t>
      </w:r>
    </w:p>
    <w:p w14:paraId="49304770" w14:textId="4EC11317" w:rsidR="000F0B9F" w:rsidRPr="008762D1" w:rsidRDefault="001171B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 xml:space="preserve">Telmex se obliga a instalar, la capacidad suficiente para satisfacer la demanda de Servicios de Interconexión, a solicitud de </w:t>
      </w:r>
      <w:r w:rsidR="00A04FEF" w:rsidRPr="008762D1">
        <w:rPr>
          <w:rFonts w:cs="Arial"/>
          <w:b/>
          <w:color w:val="0000FF"/>
        </w:rPr>
        <w:t>(…)</w:t>
      </w:r>
      <w:r w:rsidRPr="008762D1">
        <w:rPr>
          <w:rFonts w:ascii="ITC Avant Garde" w:hAnsi="ITC Avant Garde" w:cs="Arial"/>
          <w:color w:val="000000" w:themeColor="text1"/>
          <w:sz w:val="18"/>
          <w:szCs w:val="18"/>
          <w:lang w:eastAsia="es-MX"/>
        </w:rPr>
        <w:t xml:space="preserve"> incrementando la capacidad requerida una vez que ésta llegue a una ocupación del </w:t>
      </w:r>
      <w:r w:rsidRPr="008762D1">
        <w:rPr>
          <w:rFonts w:ascii="ITC Avant Garde" w:hAnsi="ITC Avant Garde" w:cs="Arial"/>
          <w:color w:val="000000" w:themeColor="text1"/>
          <w:sz w:val="18"/>
          <w:szCs w:val="18"/>
          <w:u w:val="single"/>
          <w:lang w:eastAsia="es-MX"/>
        </w:rPr>
        <w:t xml:space="preserve">85% (ochenta y cinco por ciento) </w:t>
      </w:r>
      <w:r w:rsidRPr="008762D1">
        <w:rPr>
          <w:rFonts w:ascii="ITC Avant Garde" w:hAnsi="ITC Avant Garde" w:cs="Arial"/>
          <w:color w:val="000000" w:themeColor="text1"/>
          <w:sz w:val="18"/>
          <w:szCs w:val="18"/>
          <w:lang w:eastAsia="es-MX"/>
        </w:rPr>
        <w:t>en hora pico. De manera recíproca el Operador Solicitante se obliga a instalar la capacidad suficiente para satisfacer la demanda de Servicios de Interconexión a solicitud de Telmex.</w:t>
      </w:r>
    </w:p>
    <w:p w14:paraId="00610360" w14:textId="3F4FA914" w:rsidR="001171BB" w:rsidRPr="008762D1" w:rsidRDefault="001171B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 xml:space="preserve">Telmex se obliga a instalar la capacidad suficiente para satisfacer la demanda de tráfico de interconexión hacia la red de </w:t>
      </w:r>
      <w:r w:rsidR="00A04FEF" w:rsidRPr="008762D1">
        <w:rPr>
          <w:rFonts w:cs="Arial"/>
          <w:b/>
          <w:color w:val="0000FF"/>
        </w:rPr>
        <w:t>(…)</w:t>
      </w:r>
      <w:r w:rsidR="00A04FEF" w:rsidRPr="00A04FEF">
        <w:rPr>
          <w:rFonts w:ascii="ITC Avant Garde" w:hAnsi="ITC Avant Garde" w:cs="Arial"/>
          <w:color w:val="000000" w:themeColor="text1"/>
          <w:sz w:val="18"/>
          <w:szCs w:val="18"/>
          <w:lang w:eastAsia="es-MX"/>
        </w:rPr>
        <w:t>,</w:t>
      </w:r>
      <w:r w:rsidRPr="008762D1">
        <w:rPr>
          <w:rFonts w:ascii="ITC Avant Garde" w:hAnsi="ITC Avant Garde" w:cs="Arial"/>
          <w:color w:val="000000" w:themeColor="text1"/>
          <w:sz w:val="18"/>
          <w:szCs w:val="18"/>
          <w:lang w:eastAsia="es-MX"/>
        </w:rPr>
        <w:t xml:space="preserve"> incrementando la capacidad una vez que esta llegue a una ocupación del </w:t>
      </w:r>
      <w:r w:rsidRPr="008762D1">
        <w:rPr>
          <w:rFonts w:ascii="ITC Avant Garde" w:hAnsi="ITC Avant Garde" w:cs="Arial"/>
          <w:color w:val="000000" w:themeColor="text1"/>
          <w:sz w:val="18"/>
          <w:szCs w:val="18"/>
          <w:u w:val="single"/>
          <w:lang w:eastAsia="es-MX"/>
        </w:rPr>
        <w:t>85% (ochenta y cinco por ciento)</w:t>
      </w:r>
      <w:r w:rsidRPr="008762D1">
        <w:rPr>
          <w:rFonts w:ascii="ITC Avant Garde" w:hAnsi="ITC Avant Garde" w:cs="Arial"/>
          <w:color w:val="000000" w:themeColor="text1"/>
          <w:sz w:val="18"/>
          <w:szCs w:val="18"/>
          <w:lang w:eastAsia="es-MX"/>
        </w:rPr>
        <w:t xml:space="preserve"> en hora pico.</w:t>
      </w:r>
    </w:p>
    <w:p w14:paraId="24CB32D3" w14:textId="77777777" w:rsidR="001171BB" w:rsidRPr="008762D1" w:rsidRDefault="001171BB" w:rsidP="000F0B9F">
      <w:pPr>
        <w:autoSpaceDE w:val="0"/>
        <w:autoSpaceDN w:val="0"/>
        <w:adjustRightInd w:val="0"/>
        <w:spacing w:before="240" w:after="0" w:line="276" w:lineRule="auto"/>
        <w:ind w:left="567" w:right="567"/>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sz w:val="18"/>
          <w:szCs w:val="18"/>
          <w:lang w:eastAsia="es-MX"/>
        </w:rPr>
        <w:t>(…) ”</w:t>
      </w:r>
    </w:p>
    <w:p w14:paraId="6CE5E3A0" w14:textId="77777777" w:rsidR="000F0B9F" w:rsidRPr="008762D1" w:rsidRDefault="001171BB"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lastRenderedPageBreak/>
        <w:t>Énfasis añadido</w:t>
      </w:r>
    </w:p>
    <w:p w14:paraId="55AC3454" w14:textId="468B6671" w:rsidR="00682875" w:rsidRPr="008762D1" w:rsidRDefault="0068287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93444CA" w14:textId="77777777" w:rsidR="000F0B9F" w:rsidRPr="008762D1" w:rsidRDefault="008434B2"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La propuesta de Telmex sobre el incremento de la capacidad de los servicios de interconexión al alcanzar el 85% de ocupación de la misma en horario pico</w:t>
      </w:r>
      <w:r w:rsidR="00F45B63" w:rsidRPr="008762D1">
        <w:rPr>
          <w:rFonts w:ascii="ITC Avant Garde" w:hAnsi="ITC Avant Garde"/>
          <w:color w:val="000000" w:themeColor="text1"/>
        </w:rPr>
        <w:t xml:space="preserve"> esto es, la hora en que se cursa mayor cantidad de tráfico </w:t>
      </w:r>
      <w:r w:rsidRPr="008762D1">
        <w:rPr>
          <w:rFonts w:ascii="ITC Avant Garde" w:hAnsi="ITC Avant Garde"/>
          <w:color w:val="000000" w:themeColor="text1"/>
        </w:rPr>
        <w:t>permite asegurar que la red de Telmex será dimensionada para contar con la capacidad suficiente para el intercambio de la totalidad del tráfico de interconexión aún en el periodo de tiempo en que el tráfico cursado sea máximo</w:t>
      </w:r>
      <w:r w:rsidR="00F45B63" w:rsidRPr="008762D1">
        <w:rPr>
          <w:rFonts w:ascii="ITC Avant Garde" w:hAnsi="ITC Avant Garde"/>
          <w:color w:val="000000" w:themeColor="text1"/>
        </w:rPr>
        <w:t>,</w:t>
      </w:r>
      <w:r w:rsidRPr="008762D1">
        <w:rPr>
          <w:rFonts w:ascii="ITC Avant Garde" w:hAnsi="ITC Avant Garde"/>
          <w:color w:val="000000" w:themeColor="text1"/>
        </w:rPr>
        <w:t xml:space="preserve"> por lo que también será suficiente para cursar el tráfico en</w:t>
      </w:r>
      <w:r w:rsidR="00F45B63" w:rsidRPr="008762D1">
        <w:rPr>
          <w:rFonts w:ascii="ITC Avant Garde" w:hAnsi="ITC Avant Garde"/>
          <w:color w:val="000000" w:themeColor="text1"/>
        </w:rPr>
        <w:t xml:space="preserve"> un horario en</w:t>
      </w:r>
      <w:r w:rsidRPr="008762D1">
        <w:rPr>
          <w:rFonts w:ascii="ITC Avant Garde" w:hAnsi="ITC Avant Garde"/>
          <w:color w:val="000000" w:themeColor="text1"/>
        </w:rPr>
        <w:t xml:space="preserve"> el que la demanda es menor, y  adicionalmente establece un margen de seguridad del 15%  el cual permite el manejo de 15% más del tráfico máximo cursado en hora pico.</w:t>
      </w:r>
    </w:p>
    <w:p w14:paraId="1AC83834" w14:textId="77777777" w:rsidR="000F0B9F" w:rsidRPr="008762D1" w:rsidRDefault="00870805"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Es importante señalar que el porcentaje indicado se considera en la hora </w:t>
      </w:r>
      <w:r w:rsidR="00F30A50" w:rsidRPr="008762D1">
        <w:rPr>
          <w:rFonts w:ascii="ITC Avant Garde" w:hAnsi="ITC Avant Garde" w:cs="Arial"/>
          <w:color w:val="000000" w:themeColor="text1"/>
          <w:lang w:eastAsia="es-MX"/>
        </w:rPr>
        <w:t>de mayor tráfico</w:t>
      </w:r>
      <w:r w:rsidRPr="008762D1">
        <w:rPr>
          <w:rFonts w:ascii="ITC Avant Garde" w:hAnsi="ITC Avant Garde" w:cs="Arial"/>
          <w:color w:val="000000" w:themeColor="text1"/>
          <w:lang w:eastAsia="es-MX"/>
        </w:rPr>
        <w:t xml:space="preserve">, situación que no prevalece en la red durante todo el </w:t>
      </w:r>
      <w:r w:rsidR="00F30A50" w:rsidRPr="008762D1">
        <w:rPr>
          <w:rFonts w:ascii="ITC Avant Garde" w:hAnsi="ITC Avant Garde" w:cs="Arial"/>
          <w:color w:val="000000" w:themeColor="text1"/>
          <w:lang w:eastAsia="es-MX"/>
        </w:rPr>
        <w:t xml:space="preserve">día, es así que reducir el porcentaje de ocupación necesario para realizar un crecimiento de capacidad, supondría </w:t>
      </w:r>
      <w:r w:rsidR="00E25625" w:rsidRPr="008762D1">
        <w:rPr>
          <w:rFonts w:ascii="ITC Avant Garde" w:hAnsi="ITC Avant Garde" w:cs="Arial"/>
          <w:color w:val="000000" w:themeColor="text1"/>
          <w:lang w:eastAsia="es-MX"/>
        </w:rPr>
        <w:t xml:space="preserve">la instalación de </w:t>
      </w:r>
      <w:r w:rsidR="00F30A50" w:rsidRPr="008762D1">
        <w:rPr>
          <w:rFonts w:ascii="ITC Avant Garde" w:hAnsi="ITC Avant Garde" w:cs="Arial"/>
          <w:color w:val="000000" w:themeColor="text1"/>
          <w:lang w:eastAsia="es-MX"/>
        </w:rPr>
        <w:t xml:space="preserve">capacidad </w:t>
      </w:r>
      <w:r w:rsidR="00E25625" w:rsidRPr="008762D1">
        <w:rPr>
          <w:rFonts w:ascii="ITC Avant Garde" w:hAnsi="ITC Avant Garde" w:cs="Arial"/>
          <w:color w:val="000000" w:themeColor="text1"/>
          <w:lang w:eastAsia="es-MX"/>
        </w:rPr>
        <w:t>adicional</w:t>
      </w:r>
      <w:r w:rsidR="00F30A50" w:rsidRPr="008762D1">
        <w:rPr>
          <w:rFonts w:ascii="ITC Avant Garde" w:hAnsi="ITC Avant Garde" w:cs="Arial"/>
          <w:color w:val="000000" w:themeColor="text1"/>
          <w:lang w:eastAsia="es-MX"/>
        </w:rPr>
        <w:t xml:space="preserve"> no utilizada durante la mayor parte del tiempo.</w:t>
      </w:r>
    </w:p>
    <w:p w14:paraId="1E6D7312" w14:textId="77777777" w:rsidR="000F0B9F" w:rsidRPr="008762D1" w:rsidRDefault="001663D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Es así que se considera que el incremento de capacidad de los servicios de interconexión al 85% de ocupación de la misma es suficiente para asegurar la prestación del servicio incluso en la hora de mayor demanda</w:t>
      </w:r>
      <w:r w:rsidR="00023F93" w:rsidRPr="008762D1">
        <w:rPr>
          <w:rFonts w:ascii="ITC Avant Garde" w:hAnsi="ITC Avant Garde"/>
          <w:color w:val="000000" w:themeColor="text1"/>
        </w:rPr>
        <w:t>. Adicionalmente, es necesario señalar que el crecimiento de la interfaz activa se realizará también al llegar al 85% de ocupación,</w:t>
      </w:r>
      <w:r w:rsidRPr="008762D1">
        <w:rPr>
          <w:rFonts w:ascii="ITC Avant Garde" w:hAnsi="ITC Avant Garde"/>
          <w:color w:val="000000" w:themeColor="text1"/>
        </w:rPr>
        <w:t xml:space="preserve"> por lo que se considera procedente </w:t>
      </w:r>
      <w:r w:rsidR="00673D05" w:rsidRPr="008762D1">
        <w:rPr>
          <w:rFonts w:ascii="ITC Avant Garde" w:hAnsi="ITC Avant Garde"/>
          <w:color w:val="000000" w:themeColor="text1"/>
        </w:rPr>
        <w:t xml:space="preserve">la aprobación del numeral 5.7.3 </w:t>
      </w:r>
      <w:r w:rsidRPr="008762D1">
        <w:rPr>
          <w:rFonts w:ascii="ITC Avant Garde" w:hAnsi="ITC Avant Garde"/>
          <w:color w:val="000000" w:themeColor="text1"/>
        </w:rPr>
        <w:t>en los términos propuestos por Telmex.</w:t>
      </w:r>
    </w:p>
    <w:p w14:paraId="39FE48D7" w14:textId="77777777" w:rsidR="000F0B9F" w:rsidRPr="008762D1" w:rsidRDefault="008434B2"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Lo anterior con independencia de las verificaciones que pueda llevar a cabo el Instituto a efecto de que se dé cumplimiento estricto de dicho parámetro de calidad y no se observe saturación en los enlaces de interconexión mediante los cuales Telmex entrega el tráfico a los CS. </w:t>
      </w:r>
    </w:p>
    <w:p w14:paraId="22FF5777" w14:textId="77777777" w:rsidR="000F0B9F" w:rsidRPr="008762D1" w:rsidRDefault="005B74DB"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Sobre el resto de los numerales de la Cláusula Quinta, se señala que los mismos versan sob</w:t>
      </w:r>
      <w:r w:rsidR="00E45B10" w:rsidRPr="008762D1">
        <w:rPr>
          <w:rFonts w:ascii="ITC Avant Garde" w:hAnsi="ITC Avant Garde" w:cs="Arial"/>
          <w:color w:val="000000" w:themeColor="text1"/>
          <w:lang w:eastAsia="es-MX"/>
        </w:rPr>
        <w:t>re diferentes aspectos técnicos</w:t>
      </w:r>
      <w:r w:rsidR="00783E98" w:rsidRPr="008762D1">
        <w:rPr>
          <w:rFonts w:ascii="ITC Avant Garde" w:hAnsi="ITC Avant Garde" w:cs="Arial"/>
          <w:color w:val="000000" w:themeColor="text1"/>
          <w:lang w:eastAsia="es-MX"/>
        </w:rPr>
        <w:t xml:space="preserve">, </w:t>
      </w:r>
      <w:r w:rsidR="00570B80" w:rsidRPr="008762D1">
        <w:rPr>
          <w:rFonts w:ascii="ITC Avant Garde" w:hAnsi="ITC Avant Garde" w:cs="Arial"/>
          <w:color w:val="000000" w:themeColor="text1"/>
          <w:lang w:eastAsia="es-MX"/>
        </w:rPr>
        <w:t xml:space="preserve">mismos que </w:t>
      </w:r>
      <w:r w:rsidR="00D91356" w:rsidRPr="008762D1">
        <w:rPr>
          <w:rFonts w:ascii="ITC Avant Garde" w:hAnsi="ITC Avant Garde" w:cs="Arial"/>
          <w:color w:val="000000" w:themeColor="text1"/>
          <w:lang w:eastAsia="es-MX"/>
        </w:rPr>
        <w:t>ya fueron</w:t>
      </w:r>
      <w:r w:rsidR="00C179CC" w:rsidRPr="008762D1">
        <w:rPr>
          <w:rFonts w:ascii="ITC Avant Garde" w:hAnsi="ITC Avant Garde" w:cs="Arial"/>
          <w:color w:val="000000" w:themeColor="text1"/>
          <w:lang w:eastAsia="es-MX"/>
        </w:rPr>
        <w:t xml:space="preserve"> autorizado</w:t>
      </w:r>
      <w:r w:rsidR="00570B80" w:rsidRPr="008762D1">
        <w:rPr>
          <w:rFonts w:ascii="ITC Avant Garde" w:hAnsi="ITC Avant Garde" w:cs="Arial"/>
          <w:color w:val="000000" w:themeColor="text1"/>
          <w:lang w:eastAsia="es-MX"/>
        </w:rPr>
        <w:t>s</w:t>
      </w:r>
      <w:r w:rsidR="00C179CC" w:rsidRPr="008762D1">
        <w:rPr>
          <w:rFonts w:ascii="ITC Avant Garde" w:hAnsi="ITC Avant Garde" w:cs="Arial"/>
          <w:color w:val="000000" w:themeColor="text1"/>
          <w:lang w:eastAsia="es-MX"/>
        </w:rPr>
        <w:t xml:space="preserve"> en el CMI </w:t>
      </w:r>
      <w:r w:rsidR="0066078E" w:rsidRPr="008762D1">
        <w:rPr>
          <w:rFonts w:ascii="ITC Avant Garde" w:hAnsi="ITC Avant Garde" w:cs="Arial"/>
          <w:color w:val="000000" w:themeColor="text1"/>
          <w:lang w:eastAsia="es-MX"/>
        </w:rPr>
        <w:t>2017</w:t>
      </w:r>
      <w:r w:rsidR="00E45B10" w:rsidRPr="008762D1">
        <w:rPr>
          <w:rFonts w:ascii="ITC Avant Garde" w:hAnsi="ITC Avant Garde" w:cs="Arial"/>
          <w:color w:val="000000" w:themeColor="text1"/>
          <w:lang w:eastAsia="es-MX"/>
        </w:rPr>
        <w:t>.</w:t>
      </w:r>
    </w:p>
    <w:p w14:paraId="65AC96D6" w14:textId="77777777" w:rsidR="000F0B9F" w:rsidRPr="008762D1" w:rsidRDefault="005F3310"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En </w:t>
      </w:r>
      <w:r w:rsidR="00D76B5D" w:rsidRPr="008762D1">
        <w:rPr>
          <w:rFonts w:ascii="ITC Avant Garde" w:hAnsi="ITC Avant Garde" w:cs="Arial"/>
          <w:color w:val="000000" w:themeColor="text1"/>
          <w:lang w:eastAsia="es-MX"/>
        </w:rPr>
        <w:t>la Cláusula</w:t>
      </w:r>
      <w:r w:rsidRPr="008762D1">
        <w:rPr>
          <w:rFonts w:ascii="ITC Avant Garde" w:hAnsi="ITC Avant Garde" w:cs="Arial"/>
          <w:color w:val="000000" w:themeColor="text1"/>
          <w:lang w:eastAsia="es-MX"/>
        </w:rPr>
        <w:t xml:space="preserve"> 5.1 </w:t>
      </w:r>
      <w:r w:rsidR="00F676D2" w:rsidRPr="008762D1">
        <w:rPr>
          <w:rFonts w:ascii="ITC Avant Garde" w:hAnsi="ITC Avant Garde" w:cs="Arial"/>
          <w:color w:val="000000" w:themeColor="text1"/>
          <w:lang w:eastAsia="es-MX"/>
        </w:rPr>
        <w:t xml:space="preserve">se </w:t>
      </w:r>
      <w:r w:rsidRPr="008762D1">
        <w:rPr>
          <w:rFonts w:ascii="ITC Avant Garde" w:hAnsi="ITC Avant Garde" w:cs="Arial"/>
          <w:color w:val="000000" w:themeColor="text1"/>
          <w:lang w:eastAsia="es-MX"/>
        </w:rPr>
        <w:t xml:space="preserve">señala </w:t>
      </w:r>
      <w:r w:rsidR="005B74DB" w:rsidRPr="008762D1">
        <w:rPr>
          <w:rFonts w:ascii="ITC Avant Garde" w:hAnsi="ITC Avant Garde" w:cs="Arial"/>
          <w:color w:val="000000" w:themeColor="text1"/>
          <w:lang w:eastAsia="es-MX"/>
        </w:rPr>
        <w:t xml:space="preserve">la adopción de diseños de arquitectura abierta a fin de garantizar la interconexión e interoperabilidad de las </w:t>
      </w:r>
      <w:r w:rsidR="00873BCC" w:rsidRPr="008762D1">
        <w:rPr>
          <w:rFonts w:ascii="ITC Avant Garde" w:hAnsi="ITC Avant Garde" w:cs="Arial"/>
          <w:color w:val="000000" w:themeColor="text1"/>
          <w:lang w:eastAsia="es-MX"/>
        </w:rPr>
        <w:t xml:space="preserve">redes, lo cual es acorde a lo establecido en el artículo 124 de la </w:t>
      </w:r>
      <w:r w:rsidR="00B220B1" w:rsidRPr="008762D1">
        <w:rPr>
          <w:rFonts w:ascii="ITC Avant Garde" w:hAnsi="ITC Avant Garde" w:cs="Arial"/>
          <w:color w:val="000000" w:themeColor="text1"/>
          <w:lang w:eastAsia="es-MX"/>
        </w:rPr>
        <w:t>LFTR</w:t>
      </w:r>
      <w:r w:rsidR="00E45B10" w:rsidRPr="008762D1">
        <w:rPr>
          <w:rFonts w:ascii="ITC Avant Garde" w:hAnsi="ITC Avant Garde" w:cs="Arial"/>
          <w:color w:val="000000" w:themeColor="text1"/>
          <w:lang w:eastAsia="es-MX"/>
        </w:rPr>
        <w:t xml:space="preserve">, por lo que se considera procedente su </w:t>
      </w:r>
      <w:r w:rsidR="00F46711" w:rsidRPr="008762D1">
        <w:rPr>
          <w:rFonts w:ascii="ITC Avant Garde" w:hAnsi="ITC Avant Garde" w:cs="Arial"/>
          <w:color w:val="000000" w:themeColor="text1"/>
          <w:lang w:eastAsia="es-MX"/>
        </w:rPr>
        <w:t>aprobación</w:t>
      </w:r>
      <w:r w:rsidRPr="008762D1">
        <w:rPr>
          <w:rFonts w:ascii="ITC Avant Garde" w:hAnsi="ITC Avant Garde" w:cs="Arial"/>
          <w:color w:val="000000" w:themeColor="text1"/>
          <w:lang w:eastAsia="es-MX"/>
        </w:rPr>
        <w:t>.</w:t>
      </w:r>
    </w:p>
    <w:p w14:paraId="50C3F1B6" w14:textId="77777777" w:rsidR="000F0B9F" w:rsidRPr="008762D1" w:rsidRDefault="00D76B5D" w:rsidP="000F0B9F">
      <w:pPr>
        <w:autoSpaceDE w:val="0"/>
        <w:autoSpaceDN w:val="0"/>
        <w:adjustRightInd w:val="0"/>
        <w:spacing w:before="240" w:after="0" w:line="276" w:lineRule="auto"/>
        <w:jc w:val="both"/>
        <w:rPr>
          <w:rFonts w:ascii="ITC Avant Garde" w:hAnsi="ITC Avant Garde" w:cs="Arial"/>
          <w:color w:val="000000" w:themeColor="text1"/>
          <w:sz w:val="18"/>
          <w:szCs w:val="18"/>
          <w:lang w:eastAsia="es-MX"/>
        </w:rPr>
      </w:pPr>
      <w:r w:rsidRPr="008762D1">
        <w:rPr>
          <w:rFonts w:ascii="ITC Avant Garde" w:hAnsi="ITC Avant Garde" w:cs="Arial"/>
          <w:color w:val="000000" w:themeColor="text1"/>
          <w:lang w:eastAsia="es-MX"/>
        </w:rPr>
        <w:lastRenderedPageBreak/>
        <w:t xml:space="preserve">La Cláusula </w:t>
      </w:r>
      <w:r w:rsidR="005F3310" w:rsidRPr="008762D1">
        <w:rPr>
          <w:rFonts w:ascii="ITC Avant Garde" w:hAnsi="ITC Avant Garde" w:cs="Arial"/>
          <w:color w:val="000000" w:themeColor="text1"/>
          <w:lang w:eastAsia="es-MX"/>
        </w:rPr>
        <w:t>5.2 señala</w:t>
      </w:r>
      <w:r w:rsidR="005B74DB" w:rsidRPr="008762D1">
        <w:rPr>
          <w:rFonts w:ascii="ITC Avant Garde" w:hAnsi="ITC Avant Garde" w:cs="Arial"/>
          <w:color w:val="000000" w:themeColor="text1"/>
          <w:lang w:eastAsia="es-MX"/>
        </w:rPr>
        <w:t xml:space="preserve"> la información sobre los puntos de interconexión que Telmex deberá prop</w:t>
      </w:r>
      <w:r w:rsidR="00E45B10" w:rsidRPr="008762D1">
        <w:rPr>
          <w:rFonts w:ascii="ITC Avant Garde" w:hAnsi="ITC Avant Garde" w:cs="Arial"/>
          <w:color w:val="000000" w:themeColor="text1"/>
          <w:lang w:eastAsia="es-MX"/>
        </w:rPr>
        <w:t>orcionar a solicitud de los CS lo cual es acorde a lo establecido en el Acu</w:t>
      </w:r>
      <w:r w:rsidR="006E4A8B" w:rsidRPr="008762D1">
        <w:rPr>
          <w:rFonts w:ascii="ITC Avant Garde" w:hAnsi="ITC Avant Garde" w:cs="Arial"/>
          <w:color w:val="000000" w:themeColor="text1"/>
          <w:lang w:eastAsia="es-MX"/>
        </w:rPr>
        <w:t>e</w:t>
      </w:r>
      <w:r w:rsidR="00570B80" w:rsidRPr="008762D1">
        <w:rPr>
          <w:rFonts w:ascii="ITC Avant Garde" w:hAnsi="ITC Avant Garde" w:cs="Arial"/>
          <w:color w:val="000000" w:themeColor="text1"/>
          <w:lang w:eastAsia="es-MX"/>
        </w:rPr>
        <w:t>rdo de Puntos de Interconexión.</w:t>
      </w:r>
    </w:p>
    <w:p w14:paraId="4FFE7AD9" w14:textId="77777777" w:rsidR="000F0B9F" w:rsidRPr="008762D1" w:rsidRDefault="00D76B5D"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En la Cláusula </w:t>
      </w:r>
      <w:r w:rsidR="00C60FCA" w:rsidRPr="008762D1">
        <w:rPr>
          <w:rFonts w:ascii="ITC Avant Garde" w:hAnsi="ITC Avant Garde" w:cs="Arial"/>
          <w:color w:val="000000" w:themeColor="text1"/>
          <w:lang w:eastAsia="es-MX"/>
        </w:rPr>
        <w:t xml:space="preserve">5.3.1 se señala que en los espacios de </w:t>
      </w:r>
      <w:proofErr w:type="spellStart"/>
      <w:r w:rsidR="00C60FCA" w:rsidRPr="008762D1">
        <w:rPr>
          <w:rFonts w:ascii="ITC Avant Garde" w:hAnsi="ITC Avant Garde" w:cs="Arial"/>
          <w:color w:val="000000" w:themeColor="text1"/>
          <w:lang w:eastAsia="es-MX"/>
        </w:rPr>
        <w:t>coubicación</w:t>
      </w:r>
      <w:proofErr w:type="spellEnd"/>
      <w:r w:rsidR="00C60FCA" w:rsidRPr="008762D1">
        <w:rPr>
          <w:rFonts w:ascii="ITC Avant Garde" w:hAnsi="ITC Avant Garde" w:cs="Arial"/>
          <w:color w:val="000000" w:themeColor="text1"/>
          <w:lang w:eastAsia="es-MX"/>
        </w:rPr>
        <w:t xml:space="preserve">, la parte </w:t>
      </w:r>
      <w:r w:rsidR="00517AC4" w:rsidRPr="008762D1">
        <w:rPr>
          <w:rFonts w:ascii="ITC Avant Garde" w:hAnsi="ITC Avant Garde" w:cs="Arial"/>
          <w:color w:val="000000" w:themeColor="text1"/>
          <w:lang w:eastAsia="es-MX"/>
        </w:rPr>
        <w:t>contratante</w:t>
      </w:r>
      <w:r w:rsidR="005C2283" w:rsidRPr="008762D1">
        <w:rPr>
          <w:rFonts w:ascii="ITC Avant Garde" w:hAnsi="ITC Avant Garde" w:cs="Arial"/>
          <w:color w:val="000000" w:themeColor="text1"/>
          <w:lang w:eastAsia="es-MX"/>
        </w:rPr>
        <w:t xml:space="preserve"> podrá</w:t>
      </w:r>
      <w:r w:rsidR="00C60FCA" w:rsidRPr="008762D1">
        <w:rPr>
          <w:rFonts w:ascii="ITC Avant Garde" w:hAnsi="ITC Avant Garde" w:cs="Arial"/>
          <w:color w:val="000000" w:themeColor="text1"/>
          <w:lang w:eastAsia="es-MX"/>
        </w:rPr>
        <w:t xml:space="preserve"> recibir y entregar tráfico de sus usuarios así como la entrega de puertos de interconexión contratados por otros concesionarios distintos al que </w:t>
      </w:r>
      <w:r w:rsidR="00E45B10" w:rsidRPr="008762D1">
        <w:rPr>
          <w:rFonts w:ascii="ITC Avant Garde" w:hAnsi="ITC Avant Garde" w:cs="Arial"/>
          <w:color w:val="000000" w:themeColor="text1"/>
          <w:lang w:eastAsia="es-MX"/>
        </w:rPr>
        <w:t xml:space="preserve">tiene contratada la </w:t>
      </w:r>
      <w:proofErr w:type="spellStart"/>
      <w:r w:rsidR="00E45B10" w:rsidRPr="008762D1">
        <w:rPr>
          <w:rFonts w:ascii="ITC Avant Garde" w:hAnsi="ITC Avant Garde" w:cs="Arial"/>
          <w:color w:val="000000" w:themeColor="text1"/>
          <w:lang w:eastAsia="es-MX"/>
        </w:rPr>
        <w:t>coubicación</w:t>
      </w:r>
      <w:proofErr w:type="spellEnd"/>
      <w:r w:rsidR="00E45B10" w:rsidRPr="008762D1">
        <w:rPr>
          <w:rFonts w:ascii="ITC Avant Garde" w:hAnsi="ITC Avant Garde" w:cs="Arial"/>
          <w:color w:val="000000" w:themeColor="text1"/>
          <w:lang w:eastAsia="es-MX"/>
        </w:rPr>
        <w:t xml:space="preserve">, </w:t>
      </w:r>
      <w:r w:rsidR="00E45B10" w:rsidRPr="008762D1">
        <w:rPr>
          <w:rFonts w:ascii="ITC Avant Garde" w:hAnsi="ITC Avant Garde"/>
          <w:color w:val="000000" w:themeColor="text1"/>
        </w:rPr>
        <w:t xml:space="preserve">por lo que se considera procedente su </w:t>
      </w:r>
      <w:r w:rsidR="00F46711" w:rsidRPr="008762D1">
        <w:rPr>
          <w:rFonts w:ascii="ITC Avant Garde" w:hAnsi="ITC Avant Garde" w:cs="Arial"/>
          <w:color w:val="000000" w:themeColor="text1"/>
          <w:lang w:eastAsia="es-MX"/>
        </w:rPr>
        <w:t>aprobación</w:t>
      </w:r>
      <w:r w:rsidR="00E45B10" w:rsidRPr="008762D1">
        <w:rPr>
          <w:rFonts w:ascii="ITC Avant Garde" w:hAnsi="ITC Avant Garde"/>
          <w:color w:val="000000" w:themeColor="text1"/>
        </w:rPr>
        <w:t>.</w:t>
      </w:r>
    </w:p>
    <w:p w14:paraId="6A72D3CB" w14:textId="77777777" w:rsidR="000F0B9F" w:rsidRPr="008762D1" w:rsidRDefault="005D3377"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En el</w:t>
      </w:r>
      <w:r w:rsidR="00CB4B70" w:rsidRPr="008762D1">
        <w:rPr>
          <w:rFonts w:ascii="ITC Avant Garde" w:hAnsi="ITC Avant Garde"/>
          <w:color w:val="000000" w:themeColor="text1"/>
        </w:rPr>
        <w:t xml:space="preserve"> numeral 5.6 “Tránsito” Telmex señala que ofrecerá dicho servicio para la </w:t>
      </w:r>
      <w:proofErr w:type="spellStart"/>
      <w:r w:rsidR="00CB4B70" w:rsidRPr="008762D1">
        <w:rPr>
          <w:rFonts w:ascii="ITC Avant Garde" w:hAnsi="ITC Avant Garde"/>
          <w:color w:val="000000" w:themeColor="text1"/>
        </w:rPr>
        <w:t>originación</w:t>
      </w:r>
      <w:proofErr w:type="spellEnd"/>
      <w:r w:rsidR="00CB4B70" w:rsidRPr="008762D1">
        <w:rPr>
          <w:rFonts w:ascii="ITC Avant Garde" w:hAnsi="ITC Avant Garde"/>
          <w:color w:val="000000" w:themeColor="text1"/>
        </w:rPr>
        <w:t xml:space="preserve"> y terminación de tráfico en territorio nacional. Dicho señalamiento cumple con la Medida Cuarta de las Medidas Fijas así como </w:t>
      </w:r>
      <w:r w:rsidR="00C179CC" w:rsidRPr="008762D1">
        <w:rPr>
          <w:rFonts w:ascii="ITC Avant Garde" w:hAnsi="ITC Avant Garde"/>
          <w:color w:val="000000" w:themeColor="text1"/>
        </w:rPr>
        <w:t xml:space="preserve">con </w:t>
      </w:r>
      <w:r w:rsidR="00CB4B70" w:rsidRPr="008762D1">
        <w:rPr>
          <w:rFonts w:ascii="ITC Avant Garde" w:hAnsi="ITC Avant Garde"/>
          <w:color w:val="000000" w:themeColor="text1"/>
        </w:rPr>
        <w:t>la definición de servicio de tránsito establecida en el Acuerdo de Puntos de Interconexión</w:t>
      </w:r>
      <w:r w:rsidR="00D91356" w:rsidRPr="008762D1">
        <w:rPr>
          <w:rFonts w:ascii="ITC Avant Garde" w:hAnsi="ITC Avant Garde"/>
          <w:color w:val="000000" w:themeColor="text1"/>
        </w:rPr>
        <w:t xml:space="preserve">, </w:t>
      </w:r>
      <w:r w:rsidR="00CB4B70" w:rsidRPr="008762D1">
        <w:rPr>
          <w:rFonts w:ascii="ITC Avant Garde" w:hAnsi="ITC Avant Garde"/>
          <w:color w:val="000000" w:themeColor="text1"/>
        </w:rPr>
        <w:t xml:space="preserve">por lo que se considera procedente su </w:t>
      </w:r>
      <w:r w:rsidR="00F46711" w:rsidRPr="008762D1">
        <w:rPr>
          <w:rFonts w:ascii="ITC Avant Garde" w:hAnsi="ITC Avant Garde" w:cs="Arial"/>
          <w:color w:val="000000" w:themeColor="text1"/>
          <w:lang w:eastAsia="es-MX"/>
        </w:rPr>
        <w:t>aprobación</w:t>
      </w:r>
      <w:r w:rsidR="00CB4B70" w:rsidRPr="008762D1">
        <w:rPr>
          <w:rFonts w:ascii="ITC Avant Garde" w:hAnsi="ITC Avant Garde"/>
          <w:color w:val="000000" w:themeColor="text1"/>
        </w:rPr>
        <w:t>.</w:t>
      </w:r>
    </w:p>
    <w:p w14:paraId="30CDDCB6" w14:textId="77777777" w:rsidR="000F0B9F" w:rsidRPr="008762D1" w:rsidRDefault="00CB4B70" w:rsidP="000F0B9F">
      <w:pPr>
        <w:spacing w:before="240" w:after="0" w:line="276" w:lineRule="auto"/>
        <w:jc w:val="both"/>
        <w:rPr>
          <w:rFonts w:ascii="ITC Avant Garde" w:hAnsi="ITC Avant Garde"/>
          <w:color w:val="000000" w:themeColor="text1"/>
          <w:lang w:val="es-ES_tradnl"/>
        </w:rPr>
      </w:pPr>
      <w:r w:rsidRPr="008762D1">
        <w:rPr>
          <w:rFonts w:ascii="ITC Avant Garde" w:hAnsi="ITC Avant Garde"/>
          <w:color w:val="000000" w:themeColor="text1"/>
        </w:rPr>
        <w:t>Sobre el numeral 5.7 “Realización Física de la Interconexión”, Telmex señala que las Partes se obligan a que los enlaces dedicados de interconexión entre sus respectivas redes sean realizados físicamente. Al respecto, se considera</w:t>
      </w:r>
      <w:r w:rsidRPr="008762D1">
        <w:rPr>
          <w:rFonts w:ascii="ITC Avant Garde" w:hAnsi="ITC Avant Garde"/>
          <w:color w:val="000000" w:themeColor="text1"/>
          <w:lang w:val="es-ES_tradnl"/>
        </w:rPr>
        <w:t xml:space="preserve"> que la interconexión de manera física vía un enlace dedicado directo entre las redes de ambos concesionarios permite asegurar una mayor calidad en el tráfico cursado debido a que se asignan recursos específicos destinados a la prestación de los servicios, </w:t>
      </w:r>
      <w:r w:rsidRPr="008762D1">
        <w:rPr>
          <w:rFonts w:ascii="ITC Avant Garde" w:hAnsi="ITC Avant Garde"/>
          <w:color w:val="000000" w:themeColor="text1"/>
        </w:rPr>
        <w:t xml:space="preserve">por lo que se considera procedente su </w:t>
      </w:r>
      <w:r w:rsidR="001663D5" w:rsidRPr="008762D1">
        <w:rPr>
          <w:rFonts w:ascii="ITC Avant Garde" w:hAnsi="ITC Avant Garde" w:cs="Arial"/>
          <w:color w:val="000000" w:themeColor="text1"/>
          <w:lang w:eastAsia="es-MX"/>
        </w:rPr>
        <w:t>aprobación</w:t>
      </w:r>
      <w:r w:rsidRPr="008762D1">
        <w:rPr>
          <w:rFonts w:ascii="ITC Avant Garde" w:hAnsi="ITC Avant Garde"/>
          <w:color w:val="000000" w:themeColor="text1"/>
        </w:rPr>
        <w:t>.</w:t>
      </w:r>
      <w:r w:rsidR="005C2283" w:rsidRPr="008762D1">
        <w:rPr>
          <w:rFonts w:ascii="ITC Avant Garde" w:hAnsi="ITC Avant Garde"/>
          <w:color w:val="000000" w:themeColor="text1"/>
        </w:rPr>
        <w:t xml:space="preserve"> </w:t>
      </w:r>
    </w:p>
    <w:p w14:paraId="3DE7C197" w14:textId="77777777" w:rsidR="000F0B9F" w:rsidRPr="008762D1" w:rsidRDefault="00CB4B70"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Sobre el numeral 5.8 “Cambios a la Interconexión” el mismo señala fundamentalmente que cualquier cambio que pudiera afectar las características técnicas de la interconexión, deberá ser notificado al menos con dos meses de anticipación a la fecha que se pretende realizar, al respecto se considera que toda vez que en la interconexión se debe asegurar la continuidad del servicio resulta razonable que las partes se avisen de cualquier cambio en el sentido señalado a efecto de que puedan tomar las medidas necesarias para evitar que se interrumpa el servicio, por lo que se considera procedente su </w:t>
      </w:r>
      <w:r w:rsidR="00F46711" w:rsidRPr="008762D1">
        <w:rPr>
          <w:rFonts w:ascii="ITC Avant Garde" w:hAnsi="ITC Avant Garde" w:cs="Arial"/>
          <w:color w:val="000000" w:themeColor="text1"/>
          <w:lang w:eastAsia="es-MX"/>
        </w:rPr>
        <w:t>aprobación</w:t>
      </w:r>
      <w:r w:rsidRPr="008762D1">
        <w:rPr>
          <w:rFonts w:ascii="ITC Avant Garde" w:hAnsi="ITC Avant Garde"/>
          <w:color w:val="000000" w:themeColor="text1"/>
        </w:rPr>
        <w:t>.</w:t>
      </w:r>
    </w:p>
    <w:p w14:paraId="5464BAD4" w14:textId="49A79ABB" w:rsidR="000F0B9F" w:rsidRPr="008762D1" w:rsidRDefault="00226A30" w:rsidP="000F0B9F">
      <w:pPr>
        <w:pStyle w:val="IFT1"/>
        <w:numPr>
          <w:ilvl w:val="2"/>
          <w:numId w:val="9"/>
        </w:numPr>
        <w:spacing w:before="240" w:after="0"/>
        <w:ind w:left="0" w:firstLine="0"/>
        <w:rPr>
          <w:b/>
          <w:color w:val="000000" w:themeColor="text1"/>
        </w:rPr>
      </w:pPr>
      <w:r w:rsidRPr="008762D1">
        <w:rPr>
          <w:b/>
          <w:color w:val="000000" w:themeColor="text1"/>
        </w:rPr>
        <w:t>CLÁUSULA SEXTA</w:t>
      </w:r>
    </w:p>
    <w:p w14:paraId="03F9684C" w14:textId="77777777" w:rsidR="000F0B9F" w:rsidRPr="008762D1" w:rsidRDefault="0057777E" w:rsidP="000F0B9F">
      <w:pPr>
        <w:pStyle w:val="IFT1"/>
        <w:spacing w:before="240" w:after="0"/>
        <w:rPr>
          <w:b/>
          <w:color w:val="000000" w:themeColor="text1"/>
        </w:rPr>
      </w:pPr>
      <w:r w:rsidRPr="008762D1">
        <w:rPr>
          <w:b/>
          <w:color w:val="000000" w:themeColor="text1"/>
        </w:rPr>
        <w:t xml:space="preserve">5.5.6.1 </w:t>
      </w:r>
      <w:r w:rsidR="00226A30" w:rsidRPr="008762D1">
        <w:rPr>
          <w:b/>
          <w:color w:val="000000" w:themeColor="text1"/>
        </w:rPr>
        <w:t>CALIDAD DE LOS SERVICIOS DE INTERCONEXIÓN.</w:t>
      </w:r>
    </w:p>
    <w:p w14:paraId="3B98B681" w14:textId="376049BB" w:rsidR="009221DC" w:rsidRPr="008762D1" w:rsidRDefault="009221D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60B24B32" w14:textId="77777777" w:rsidR="000F0B9F" w:rsidRPr="008762D1" w:rsidRDefault="00CD7227"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En el numer</w:t>
      </w:r>
      <w:r w:rsidR="00D1734D" w:rsidRPr="008762D1">
        <w:rPr>
          <w:rFonts w:ascii="ITC Avant Garde" w:hAnsi="ITC Avant Garde"/>
          <w:color w:val="000000" w:themeColor="text1"/>
        </w:rPr>
        <w:t>al 6.1, de la Cláusu</w:t>
      </w:r>
      <w:r w:rsidR="0066078E" w:rsidRPr="008762D1">
        <w:rPr>
          <w:rFonts w:ascii="ITC Avant Garde" w:hAnsi="ITC Avant Garde"/>
          <w:color w:val="000000" w:themeColor="text1"/>
        </w:rPr>
        <w:t>l</w:t>
      </w:r>
      <w:r w:rsidRPr="008762D1">
        <w:rPr>
          <w:rFonts w:ascii="ITC Avant Garde" w:hAnsi="ITC Avant Garde"/>
          <w:color w:val="000000" w:themeColor="text1"/>
        </w:rPr>
        <w:t xml:space="preserve">a Sexta Telmex señala las responsabilidades de las partes, </w:t>
      </w:r>
      <w:r w:rsidR="00F30BA0" w:rsidRPr="008762D1">
        <w:rPr>
          <w:rFonts w:ascii="ITC Avant Garde" w:hAnsi="ITC Avant Garde" w:cs="Arial"/>
          <w:color w:val="000000" w:themeColor="text1"/>
          <w:lang w:eastAsia="es-MX"/>
        </w:rPr>
        <w:t xml:space="preserve">mismas </w:t>
      </w:r>
      <w:r w:rsidR="001D0391" w:rsidRPr="008762D1">
        <w:rPr>
          <w:rFonts w:ascii="ITC Avant Garde" w:hAnsi="ITC Avant Garde" w:cs="Arial"/>
          <w:color w:val="000000" w:themeColor="text1"/>
          <w:lang w:eastAsia="es-MX"/>
        </w:rPr>
        <w:t xml:space="preserve">que </w:t>
      </w:r>
      <w:r w:rsidR="00F30BA0" w:rsidRPr="008762D1">
        <w:rPr>
          <w:rFonts w:ascii="ITC Avant Garde" w:hAnsi="ITC Avant Garde" w:cs="Arial"/>
          <w:color w:val="000000" w:themeColor="text1"/>
          <w:lang w:eastAsia="es-MX"/>
        </w:rPr>
        <w:t xml:space="preserve">ya se </w:t>
      </w:r>
      <w:r w:rsidR="0066078E" w:rsidRPr="008762D1">
        <w:rPr>
          <w:rFonts w:ascii="ITC Avant Garde" w:hAnsi="ITC Avant Garde" w:cs="Arial"/>
          <w:color w:val="000000" w:themeColor="text1"/>
          <w:lang w:eastAsia="es-MX"/>
        </w:rPr>
        <w:t>habían autorizado en el CMI 2017</w:t>
      </w:r>
      <w:r w:rsidR="00F30BA0" w:rsidRPr="008762D1">
        <w:rPr>
          <w:rFonts w:ascii="ITC Avant Garde" w:hAnsi="ITC Avant Garde" w:cs="Arial"/>
          <w:color w:val="000000" w:themeColor="text1"/>
          <w:lang w:eastAsia="es-MX"/>
        </w:rPr>
        <w:t xml:space="preserve">, </w:t>
      </w:r>
      <w:r w:rsidRPr="008762D1">
        <w:rPr>
          <w:rFonts w:ascii="ITC Avant Garde" w:hAnsi="ITC Avant Garde"/>
          <w:color w:val="000000" w:themeColor="text1"/>
        </w:rPr>
        <w:t xml:space="preserve">entre las que menciona: </w:t>
      </w:r>
    </w:p>
    <w:p w14:paraId="5279EC94" w14:textId="1222EB87" w:rsidR="00CD7227" w:rsidRPr="008762D1" w:rsidRDefault="00CD7227" w:rsidP="000F0B9F">
      <w:pPr>
        <w:pStyle w:val="Prrafodelista"/>
        <w:numPr>
          <w:ilvl w:val="0"/>
          <w:numId w:val="10"/>
        </w:numPr>
        <w:spacing w:before="240" w:after="0"/>
        <w:jc w:val="both"/>
        <w:rPr>
          <w:rFonts w:ascii="ITC Avant Garde" w:hAnsi="ITC Avant Garde"/>
          <w:color w:val="000000" w:themeColor="text1"/>
        </w:rPr>
      </w:pPr>
      <w:r w:rsidRPr="008762D1">
        <w:rPr>
          <w:rFonts w:ascii="ITC Avant Garde" w:hAnsi="ITC Avant Garde"/>
          <w:color w:val="000000" w:themeColor="text1"/>
        </w:rPr>
        <w:lastRenderedPageBreak/>
        <w:t>Cada Parte es responsable del servicio que presta a su cliente.</w:t>
      </w:r>
    </w:p>
    <w:p w14:paraId="2A75C0AF" w14:textId="77777777" w:rsidR="00CD7227" w:rsidRPr="008762D1" w:rsidRDefault="00CD7227" w:rsidP="000F0B9F">
      <w:pPr>
        <w:pStyle w:val="Prrafodelista"/>
        <w:numPr>
          <w:ilvl w:val="0"/>
          <w:numId w:val="10"/>
        </w:numPr>
        <w:spacing w:before="240" w:after="0"/>
        <w:jc w:val="both"/>
        <w:rPr>
          <w:rFonts w:ascii="ITC Avant Garde" w:hAnsi="ITC Avant Garde"/>
          <w:color w:val="000000" w:themeColor="text1"/>
        </w:rPr>
      </w:pPr>
      <w:r w:rsidRPr="008762D1">
        <w:rPr>
          <w:rFonts w:ascii="ITC Avant Garde" w:hAnsi="ITC Avant Garde"/>
          <w:color w:val="000000" w:themeColor="text1"/>
        </w:rPr>
        <w:t>Dada la dificultad en saber a quién es imputable la defectuosa calidad de un servicio, ambas Partes se comprometen a trabajar en la mejora continua de la calidad.</w:t>
      </w:r>
    </w:p>
    <w:p w14:paraId="026DC807" w14:textId="77777777" w:rsidR="00CD7227" w:rsidRPr="008762D1" w:rsidRDefault="00CD7227" w:rsidP="000F0B9F">
      <w:pPr>
        <w:pStyle w:val="Prrafodelista"/>
        <w:numPr>
          <w:ilvl w:val="0"/>
          <w:numId w:val="10"/>
        </w:numPr>
        <w:spacing w:before="240" w:after="0"/>
        <w:jc w:val="both"/>
        <w:rPr>
          <w:rFonts w:ascii="ITC Avant Garde" w:hAnsi="ITC Avant Garde"/>
          <w:color w:val="000000" w:themeColor="text1"/>
        </w:rPr>
      </w:pPr>
      <w:r w:rsidRPr="008762D1">
        <w:rPr>
          <w:rFonts w:ascii="ITC Avant Garde" w:hAnsi="ITC Avant Garde"/>
          <w:color w:val="000000" w:themeColor="text1"/>
        </w:rPr>
        <w:t>Cada Parte responde por los daños y perjuicios directos causados a la otra por sus acciones u omisiones que supongan un incumplimiento de las obligaciones.</w:t>
      </w:r>
    </w:p>
    <w:p w14:paraId="489F6ED6" w14:textId="77777777" w:rsidR="00CD7227" w:rsidRPr="008762D1" w:rsidRDefault="00CD7227" w:rsidP="000F0B9F">
      <w:pPr>
        <w:pStyle w:val="Prrafodelista"/>
        <w:numPr>
          <w:ilvl w:val="0"/>
          <w:numId w:val="10"/>
        </w:numPr>
        <w:spacing w:before="240" w:after="0"/>
        <w:jc w:val="both"/>
        <w:rPr>
          <w:rFonts w:ascii="ITC Avant Garde" w:hAnsi="ITC Avant Garde"/>
          <w:color w:val="000000" w:themeColor="text1"/>
        </w:rPr>
      </w:pPr>
      <w:r w:rsidRPr="008762D1">
        <w:rPr>
          <w:rFonts w:ascii="ITC Avant Garde" w:hAnsi="ITC Avant Garde"/>
          <w:color w:val="000000" w:themeColor="text1"/>
        </w:rPr>
        <w:t>No existirá responsabilidad de los contratantes si los daños y perjuicios estuvieran causados por Caso Fortuito o Fuerza Mayor.</w:t>
      </w:r>
    </w:p>
    <w:p w14:paraId="79C2C8B0" w14:textId="77777777" w:rsidR="000F0B9F" w:rsidRPr="008762D1" w:rsidRDefault="00CD7227" w:rsidP="000F0B9F">
      <w:pPr>
        <w:pStyle w:val="Prrafodelista"/>
        <w:numPr>
          <w:ilvl w:val="0"/>
          <w:numId w:val="10"/>
        </w:numPr>
        <w:spacing w:before="240" w:after="0"/>
        <w:jc w:val="both"/>
        <w:rPr>
          <w:rFonts w:ascii="ITC Avant Garde" w:hAnsi="ITC Avant Garde"/>
          <w:color w:val="000000" w:themeColor="text1"/>
        </w:rPr>
      </w:pPr>
      <w:r w:rsidRPr="008762D1">
        <w:rPr>
          <w:rFonts w:ascii="ITC Avant Garde" w:hAnsi="ITC Avant Garde"/>
          <w:color w:val="000000" w:themeColor="text1"/>
        </w:rPr>
        <w:t>Cada parte exonerará a la otra de toda responsabilidad judicial o extrajudicial, cuya causa sean acciones u omisiones, propias o de sus clientes, agentes, empleados o personal de empresas contratadas, en relación con el uso de la red y de las facilidades asignadas de forma distinta a la contemplada en el Acuerdo firmado.</w:t>
      </w:r>
    </w:p>
    <w:p w14:paraId="6CBC06EA" w14:textId="77777777" w:rsidR="000F0B9F" w:rsidRPr="008762D1" w:rsidRDefault="00CD7227" w:rsidP="000F0B9F">
      <w:pPr>
        <w:pStyle w:val="IFT1"/>
        <w:tabs>
          <w:tab w:val="left" w:pos="426"/>
        </w:tabs>
        <w:spacing w:before="240" w:after="0"/>
        <w:rPr>
          <w:color w:val="000000" w:themeColor="text1"/>
        </w:rPr>
      </w:pPr>
      <w:r w:rsidRPr="008762D1">
        <w:rPr>
          <w:color w:val="000000" w:themeColor="text1"/>
        </w:rPr>
        <w:t>La inclusión de una cláusula de responsabilidades en este tipo de Convenios es común; asimismo, dichas cláusulas forman parte de los Convenios de Interconexión suscritos entre otros concesionarios y que se encuentran registrados en el Registro Público de Concesiones del Instituto</w:t>
      </w:r>
      <w:r w:rsidR="006017DF" w:rsidRPr="008762D1">
        <w:rPr>
          <w:color w:val="000000" w:themeColor="text1"/>
        </w:rPr>
        <w:t xml:space="preserve"> por lo que se considera procedente su </w:t>
      </w:r>
      <w:r w:rsidR="00F46711" w:rsidRPr="008762D1">
        <w:rPr>
          <w:rFonts w:cs="Arial"/>
          <w:color w:val="000000" w:themeColor="text1"/>
          <w:lang w:eastAsia="es-MX"/>
        </w:rPr>
        <w:t>aprobación</w:t>
      </w:r>
      <w:r w:rsidRPr="008762D1">
        <w:rPr>
          <w:color w:val="000000" w:themeColor="text1"/>
        </w:rPr>
        <w:t>.</w:t>
      </w:r>
      <w:r w:rsidR="0066078E" w:rsidRPr="008762D1">
        <w:rPr>
          <w:color w:val="000000" w:themeColor="text1"/>
        </w:rPr>
        <w:t xml:space="preserve"> </w:t>
      </w:r>
    </w:p>
    <w:p w14:paraId="4514CF56" w14:textId="77777777" w:rsidR="000F0B9F" w:rsidRPr="008762D1" w:rsidRDefault="00CA0C4B" w:rsidP="000F0B9F">
      <w:pPr>
        <w:pStyle w:val="IFT1"/>
        <w:numPr>
          <w:ilvl w:val="1"/>
          <w:numId w:val="9"/>
        </w:numPr>
        <w:tabs>
          <w:tab w:val="left" w:pos="426"/>
        </w:tabs>
        <w:spacing w:before="240" w:after="0"/>
        <w:ind w:left="284" w:hanging="284"/>
        <w:rPr>
          <w:rFonts w:cs="Arial"/>
          <w:b/>
          <w:color w:val="000000" w:themeColor="text1"/>
        </w:rPr>
      </w:pPr>
      <w:r w:rsidRPr="008762D1">
        <w:rPr>
          <w:rFonts w:cs="Arial"/>
          <w:b/>
          <w:color w:val="000000" w:themeColor="text1"/>
        </w:rPr>
        <w:t>CLÁUSULA SÉPTIMA.</w:t>
      </w:r>
    </w:p>
    <w:p w14:paraId="5133C0B4" w14:textId="77777777" w:rsidR="000F0B9F" w:rsidRPr="008762D1" w:rsidRDefault="009920C5" w:rsidP="000F0B9F">
      <w:pPr>
        <w:pStyle w:val="IFT1"/>
        <w:numPr>
          <w:ilvl w:val="2"/>
          <w:numId w:val="9"/>
        </w:numPr>
        <w:tabs>
          <w:tab w:val="left" w:pos="426"/>
        </w:tabs>
        <w:spacing w:before="240" w:after="0"/>
        <w:ind w:left="567" w:hanging="567"/>
        <w:rPr>
          <w:rFonts w:cs="Arial"/>
          <w:b/>
          <w:color w:val="000000" w:themeColor="text1"/>
        </w:rPr>
      </w:pPr>
      <w:r w:rsidRPr="008762D1">
        <w:rPr>
          <w:rFonts w:cs="Arial"/>
          <w:b/>
          <w:color w:val="000000" w:themeColor="text1"/>
        </w:rPr>
        <w:t>SUSPENSIÓN TEMPORAL.</w:t>
      </w:r>
    </w:p>
    <w:p w14:paraId="3D0982F4" w14:textId="4A62F3E7" w:rsidR="00D1734D" w:rsidRPr="008762D1" w:rsidRDefault="00D1734D"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1B2F4E5B" w14:textId="77777777" w:rsidR="000F0B9F" w:rsidRPr="008762D1" w:rsidRDefault="005E41E7" w:rsidP="000F0B9F">
      <w:pPr>
        <w:pStyle w:val="IFT1"/>
        <w:tabs>
          <w:tab w:val="left" w:pos="426"/>
        </w:tabs>
        <w:spacing w:before="240" w:after="0"/>
        <w:rPr>
          <w:color w:val="000000" w:themeColor="text1"/>
        </w:rPr>
      </w:pPr>
      <w:r w:rsidRPr="008762D1">
        <w:rPr>
          <w:color w:val="000000" w:themeColor="text1"/>
        </w:rPr>
        <w:t>Del análisis de la Cláusula 7.1 de la Propuesta de CMI,</w:t>
      </w:r>
      <w:r w:rsidR="00983E9F" w:rsidRPr="008762D1">
        <w:rPr>
          <w:color w:val="000000" w:themeColor="text1"/>
        </w:rPr>
        <w:t xml:space="preserve"> se observó</w:t>
      </w:r>
      <w:r w:rsidRPr="008762D1">
        <w:rPr>
          <w:color w:val="000000" w:themeColor="text1"/>
        </w:rPr>
        <w:t xml:space="preserve"> que el contenido de la misma no se apega</w:t>
      </w:r>
      <w:r w:rsidR="00983E9F" w:rsidRPr="008762D1">
        <w:rPr>
          <w:color w:val="000000" w:themeColor="text1"/>
        </w:rPr>
        <w:t>ba</w:t>
      </w:r>
      <w:r w:rsidRPr="008762D1">
        <w:rPr>
          <w:color w:val="000000" w:themeColor="text1"/>
        </w:rPr>
        <w:t xml:space="preserve"> al marco regulatorio vigente ni a los términos y condiciones establecidos en el CMI 2017 autorizado mediante Acuerdo </w:t>
      </w:r>
      <w:r w:rsidR="00F86A43" w:rsidRPr="008762D1">
        <w:rPr>
          <w:rFonts w:cs="Arial"/>
          <w:bCs/>
          <w:color w:val="000000" w:themeColor="text1"/>
          <w:lang w:eastAsia="es-ES"/>
        </w:rPr>
        <w:t>P/IFT/EXT/241116/40</w:t>
      </w:r>
      <w:r w:rsidRPr="008762D1">
        <w:rPr>
          <w:color w:val="000000" w:themeColor="text1"/>
        </w:rPr>
        <w:t xml:space="preserve"> y, toda vez que el propósito de revisar anualmente el instrumento regulatorio es mejorar, o precisar las condiciones, así como ajustarse a la evolución tecnológica del sector, y de ninguna forma se justifica la existencia de retrocesos en la regul</w:t>
      </w:r>
      <w:r w:rsidR="00983E9F" w:rsidRPr="008762D1">
        <w:rPr>
          <w:color w:val="000000" w:themeColor="text1"/>
        </w:rPr>
        <w:t>ación; el Instituto no consideró</w:t>
      </w:r>
      <w:r w:rsidRPr="008762D1">
        <w:rPr>
          <w:color w:val="000000" w:themeColor="text1"/>
        </w:rPr>
        <w:t xml:space="preserve"> procedente que en una revisión posterior del convenio ma</w:t>
      </w:r>
      <w:r w:rsidR="00983E9F" w:rsidRPr="008762D1">
        <w:rPr>
          <w:color w:val="000000" w:themeColor="text1"/>
        </w:rPr>
        <w:t>rco de interconexión se plantearan</w:t>
      </w:r>
      <w:r w:rsidRPr="008762D1">
        <w:rPr>
          <w:color w:val="000000" w:themeColor="text1"/>
        </w:rPr>
        <w:t xml:space="preserve"> términos y condiciones menos favorables que los ya autorizados por el Instituto.</w:t>
      </w:r>
    </w:p>
    <w:p w14:paraId="52E8F8AC" w14:textId="77777777" w:rsidR="000F0B9F" w:rsidRPr="008762D1" w:rsidRDefault="005E41E7" w:rsidP="000F0B9F">
      <w:pPr>
        <w:pStyle w:val="IFT1"/>
        <w:tabs>
          <w:tab w:val="left" w:pos="426"/>
        </w:tabs>
        <w:spacing w:before="240" w:after="0"/>
        <w:rPr>
          <w:color w:val="000000" w:themeColor="text1"/>
          <w:lang w:val="es-SV"/>
        </w:rPr>
      </w:pPr>
      <w:r w:rsidRPr="008762D1">
        <w:rPr>
          <w:color w:val="000000" w:themeColor="text1"/>
        </w:rPr>
        <w:t>Lo anterior dado que en dicha Cláusula se e</w:t>
      </w:r>
      <w:r w:rsidR="00ED4F68" w:rsidRPr="008762D1">
        <w:rPr>
          <w:color w:val="000000" w:themeColor="text1"/>
        </w:rPr>
        <w:t>stablecía</w:t>
      </w:r>
      <w:r w:rsidRPr="008762D1">
        <w:rPr>
          <w:color w:val="000000" w:themeColor="text1"/>
        </w:rPr>
        <w:t xml:space="preserve"> </w:t>
      </w:r>
      <w:r w:rsidR="003E344B" w:rsidRPr="008762D1">
        <w:rPr>
          <w:rFonts w:cs="Arial"/>
          <w:color w:val="000000" w:themeColor="text1"/>
          <w:lang w:eastAsia="es-MX"/>
        </w:rPr>
        <w:t xml:space="preserve">un amplio margen de discrecionalidad sobre los plazos </w:t>
      </w:r>
      <w:r w:rsidR="003E344B" w:rsidRPr="008762D1">
        <w:rPr>
          <w:color w:val="000000" w:themeColor="text1"/>
          <w:lang w:val="es-SV"/>
        </w:rPr>
        <w:t>para restablecer la prestación del servicio en caso de presentarse un evento de Caso Fortuito o de Fuerza Mayor</w:t>
      </w:r>
      <w:r w:rsidRPr="008762D1">
        <w:rPr>
          <w:color w:val="000000" w:themeColor="text1"/>
          <w:lang w:val="es-SV"/>
        </w:rPr>
        <w:t xml:space="preserve"> al </w:t>
      </w:r>
      <w:r w:rsidR="00ED4F68" w:rsidRPr="008762D1">
        <w:rPr>
          <w:color w:val="000000" w:themeColor="text1"/>
          <w:lang w:val="es-SV"/>
        </w:rPr>
        <w:t xml:space="preserve">señalar que se realizaría </w:t>
      </w:r>
      <w:r w:rsidRPr="008762D1">
        <w:rPr>
          <w:color w:val="000000" w:themeColor="text1"/>
          <w:lang w:val="es-SV"/>
        </w:rPr>
        <w:t>en el menor tiempo posible dependiendo de la afectació</w:t>
      </w:r>
      <w:r w:rsidR="00897644" w:rsidRPr="008762D1">
        <w:rPr>
          <w:color w:val="000000" w:themeColor="text1"/>
          <w:lang w:val="es-SV"/>
        </w:rPr>
        <w:t xml:space="preserve">n, por lo que </w:t>
      </w:r>
      <w:r w:rsidR="00897644" w:rsidRPr="008762D1">
        <w:rPr>
          <w:color w:val="000000" w:themeColor="text1"/>
          <w:lang w:val="es-SV"/>
        </w:rPr>
        <w:lastRenderedPageBreak/>
        <w:t xml:space="preserve">a efecto de otorgar certeza sobre los plazos para el restablecimiento de servicios se modificó la Cláusula 7.1 </w:t>
      </w:r>
      <w:r w:rsidR="00FE3C1E" w:rsidRPr="008762D1">
        <w:rPr>
          <w:color w:val="000000" w:themeColor="text1"/>
          <w:lang w:val="es-SV"/>
        </w:rPr>
        <w:t>en el siguiente sentido:</w:t>
      </w:r>
    </w:p>
    <w:p w14:paraId="227AA702" w14:textId="00DDAAAA" w:rsidR="00393050" w:rsidRPr="008762D1" w:rsidRDefault="00FE3C1E" w:rsidP="000F0B9F">
      <w:pPr>
        <w:autoSpaceDE w:val="0"/>
        <w:autoSpaceDN w:val="0"/>
        <w:adjustRightInd w:val="0"/>
        <w:spacing w:before="240"/>
        <w:ind w:left="567" w:right="567"/>
        <w:jc w:val="both"/>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rPr>
        <w:t>“</w:t>
      </w:r>
      <w:r w:rsidRPr="008762D1">
        <w:rPr>
          <w:rFonts w:ascii="ITC Avant Garde" w:hAnsi="ITC Avant Garde" w:cs="Arial"/>
          <w:b/>
          <w:color w:val="000000" w:themeColor="text1"/>
          <w:sz w:val="18"/>
          <w:szCs w:val="18"/>
        </w:rPr>
        <w:t xml:space="preserve">7.1 </w:t>
      </w:r>
      <w:r w:rsidRPr="008762D1">
        <w:rPr>
          <w:rFonts w:ascii="ITC Avant Garde" w:hAnsi="ITC Avant Garde" w:cs="Arial"/>
          <w:b/>
          <w:color w:val="000000" w:themeColor="text1"/>
          <w:sz w:val="18"/>
          <w:szCs w:val="18"/>
          <w:u w:val="single"/>
        </w:rPr>
        <w:t>SUSPENSIÓN TEMPORAL</w:t>
      </w:r>
      <w:r w:rsidRPr="008762D1">
        <w:rPr>
          <w:rFonts w:ascii="ITC Avant Garde" w:hAnsi="ITC Avant Garde" w:cs="Arial"/>
          <w:color w:val="000000" w:themeColor="text1"/>
          <w:sz w:val="18"/>
          <w:szCs w:val="18"/>
        </w:rPr>
        <w:t xml:space="preserve">. Cuando se afecte la Interconexión e Interoperabilidad entre las redes, si sobreviniese un </w:t>
      </w:r>
      <w:r w:rsidRPr="008762D1">
        <w:rPr>
          <w:rFonts w:ascii="ITC Avant Garde" w:hAnsi="ITC Avant Garde" w:cs="Arial"/>
          <w:color w:val="000000" w:themeColor="text1"/>
          <w:sz w:val="18"/>
          <w:szCs w:val="18"/>
          <w:u w:val="single"/>
        </w:rPr>
        <w:t>evento</w:t>
      </w:r>
      <w:r w:rsidR="00393050" w:rsidRPr="008762D1">
        <w:rPr>
          <w:rFonts w:ascii="ITC Avant Garde" w:hAnsi="ITC Avant Garde" w:cs="Arial"/>
          <w:color w:val="000000" w:themeColor="text1"/>
          <w:sz w:val="18"/>
          <w:szCs w:val="18"/>
        </w:rPr>
        <w:t xml:space="preserve"> </w:t>
      </w:r>
      <w:r w:rsidRPr="008762D1">
        <w:rPr>
          <w:rFonts w:ascii="ITC Avant Garde" w:hAnsi="ITC Avant Garde" w:cs="Arial"/>
          <w:color w:val="000000" w:themeColor="text1"/>
          <w:sz w:val="18"/>
          <w:szCs w:val="18"/>
        </w:rPr>
        <w:t>de Caso Fortuito o de Fuerza Mayor, que impidieren temporalmente a cualquiera de las Partes prestar los Servicios de Interconexión en los términos del presente Convenio, las Partes deberán proveerse mutuamente soluciones que les permitan restablecer, regularizar y garantizar la continuidad y calidad del servicio en</w:t>
      </w:r>
      <w:r w:rsidR="00393050" w:rsidRPr="008762D1">
        <w:rPr>
          <w:rFonts w:ascii="ITC Avant Garde" w:hAnsi="ITC Avant Garde" w:cs="Arial"/>
          <w:strike/>
          <w:color w:val="000000" w:themeColor="text1"/>
          <w:sz w:val="18"/>
          <w:szCs w:val="18"/>
        </w:rPr>
        <w:t xml:space="preserve"> el menor tiempo posible dependiendo del grado de afectación de la red y de las condiciones de acceso al sitio afectado provocadas por el caso fortuito o de fuerza mayor</w:t>
      </w:r>
      <w:r w:rsidRPr="008762D1">
        <w:rPr>
          <w:rFonts w:ascii="ITC Avant Garde" w:hAnsi="ITC Avant Garde" w:cs="Arial"/>
          <w:color w:val="000000" w:themeColor="text1"/>
          <w:sz w:val="18"/>
          <w:szCs w:val="18"/>
        </w:rPr>
        <w:t xml:space="preserve"> </w:t>
      </w:r>
      <w:r w:rsidRPr="008762D1">
        <w:rPr>
          <w:rFonts w:ascii="ITC Avant Garde" w:hAnsi="ITC Avant Garde" w:cs="Arial"/>
          <w:color w:val="000000" w:themeColor="text1"/>
          <w:sz w:val="18"/>
          <w:szCs w:val="18"/>
          <w:u w:val="single"/>
        </w:rPr>
        <w:t>tanto sea técnicamente factible en un tiempo inferior a 1 (una) hora</w:t>
      </w:r>
      <w:r w:rsidRPr="008762D1">
        <w:rPr>
          <w:rFonts w:ascii="ITC Avant Garde" w:hAnsi="ITC Avant Garde"/>
          <w:color w:val="000000" w:themeColor="text1"/>
          <w:sz w:val="18"/>
          <w:szCs w:val="18"/>
        </w:rPr>
        <w:t xml:space="preserve">, </w:t>
      </w:r>
      <w:r w:rsidRPr="008762D1">
        <w:rPr>
          <w:rFonts w:ascii="ITC Avant Garde" w:hAnsi="ITC Avant Garde" w:cs="Arial"/>
          <w:color w:val="000000" w:themeColor="text1"/>
          <w:sz w:val="18"/>
          <w:szCs w:val="18"/>
        </w:rPr>
        <w:t xml:space="preserve">a partir de que se presente el reporte respectivo </w:t>
      </w:r>
      <w:r w:rsidRPr="008762D1">
        <w:rPr>
          <w:rFonts w:ascii="ITC Avant Garde" w:hAnsi="ITC Avant Garde" w:cs="Arial"/>
          <w:color w:val="000000" w:themeColor="text1"/>
          <w:sz w:val="18"/>
          <w:szCs w:val="18"/>
          <w:u w:val="single"/>
        </w:rPr>
        <w:t>y cuando la afectación sea parcial, el periodo máximo en que de</w:t>
      </w:r>
      <w:r w:rsidR="003E456A" w:rsidRPr="008762D1">
        <w:rPr>
          <w:rFonts w:ascii="ITC Avant Garde" w:hAnsi="ITC Avant Garde" w:cs="Arial"/>
          <w:color w:val="000000" w:themeColor="text1"/>
          <w:sz w:val="18"/>
          <w:szCs w:val="18"/>
          <w:u w:val="single"/>
        </w:rPr>
        <w:t>be</w:t>
      </w:r>
      <w:r w:rsidRPr="008762D1">
        <w:rPr>
          <w:rFonts w:ascii="ITC Avant Garde" w:hAnsi="ITC Avant Garde" w:cs="Arial"/>
          <w:color w:val="000000" w:themeColor="text1"/>
          <w:sz w:val="18"/>
          <w:szCs w:val="18"/>
          <w:u w:val="single"/>
        </w:rPr>
        <w:t xml:space="preserve"> ser reparada será de 3 (tres) horas a partir de la presentación del reporte correspondiente.</w:t>
      </w:r>
    </w:p>
    <w:p w14:paraId="5665B71D" w14:textId="77777777" w:rsidR="00FE3C1E" w:rsidRPr="008762D1" w:rsidRDefault="00393050" w:rsidP="000F0B9F">
      <w:pPr>
        <w:autoSpaceDE w:val="0"/>
        <w:autoSpaceDN w:val="0"/>
        <w:adjustRightInd w:val="0"/>
        <w:spacing w:before="24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00FE3C1E" w:rsidRPr="008762D1">
        <w:rPr>
          <w:rFonts w:ascii="ITC Avant Garde" w:hAnsi="ITC Avant Garde" w:cs="Arial"/>
          <w:color w:val="000000" w:themeColor="text1"/>
          <w:sz w:val="18"/>
          <w:szCs w:val="18"/>
        </w:rPr>
        <w:t>”</w:t>
      </w:r>
    </w:p>
    <w:p w14:paraId="57C3D8AB" w14:textId="77777777" w:rsidR="000F0B9F" w:rsidRPr="008762D1" w:rsidRDefault="00FE3C1E"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0C2C03DC" w14:textId="4E98D22D" w:rsidR="00ED4F68" w:rsidRPr="008762D1" w:rsidRDefault="00ED4F6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59800C72" w14:textId="77777777" w:rsidR="000F0B9F" w:rsidRPr="008762D1" w:rsidRDefault="00156849"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En el Escrito de Respuesta </w:t>
      </w:r>
      <w:r w:rsidR="00445172" w:rsidRPr="008762D1">
        <w:rPr>
          <w:rFonts w:ascii="ITC Avant Garde" w:hAnsi="ITC Avant Garde"/>
          <w:color w:val="000000" w:themeColor="text1"/>
        </w:rPr>
        <w:t xml:space="preserve">Telmex </w:t>
      </w:r>
      <w:r w:rsidRPr="008762D1">
        <w:rPr>
          <w:rFonts w:ascii="ITC Avant Garde" w:hAnsi="ITC Avant Garde"/>
          <w:color w:val="000000" w:themeColor="text1"/>
        </w:rPr>
        <w:t xml:space="preserve">señala que </w:t>
      </w:r>
      <w:r w:rsidR="00445172" w:rsidRPr="008762D1">
        <w:rPr>
          <w:rFonts w:ascii="ITC Avant Garde" w:hAnsi="ITC Avant Garde"/>
          <w:color w:val="000000" w:themeColor="text1"/>
        </w:rPr>
        <w:t xml:space="preserve">tomando como base la definición y alcance de caso </w:t>
      </w:r>
      <w:r w:rsidR="00B5580E" w:rsidRPr="008762D1">
        <w:rPr>
          <w:rFonts w:ascii="ITC Avant Garde" w:hAnsi="ITC Avant Garde"/>
          <w:color w:val="000000" w:themeColor="text1"/>
        </w:rPr>
        <w:t>fortuito</w:t>
      </w:r>
      <w:r w:rsidR="00445172" w:rsidRPr="008762D1">
        <w:rPr>
          <w:rFonts w:ascii="ITC Avant Garde" w:hAnsi="ITC Avant Garde"/>
          <w:color w:val="000000" w:themeColor="text1"/>
        </w:rPr>
        <w:t xml:space="preserve"> y de fuerza mayor, no se puede determinar un tiempo fijo para la atención de un acontecimiento de esa índole, razón por la que las partes deberán comprometerse para realizar el mejor esfuerzo para establecer, regularizar y garantizar la continuidad de los servicios, o de otra manera los tiempos deberán establecerse dependiendo de las limitantes derivadas del evento de caso fortuito o de fuerza mayor.</w:t>
      </w:r>
    </w:p>
    <w:p w14:paraId="2B767006" w14:textId="77777777" w:rsidR="000F0B9F" w:rsidRPr="008762D1" w:rsidRDefault="001B4B52"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Menciona Telmex que, de la definición de Caso Fortuito o Fuerza Mayor del CMI claramente se establece que se trata de cualquier circunstancia que no puede ser controlada por ninguna de las partes, no únicamente por Telmex, por lo que durante el período que dure el mismo y las secuelas posteriores, las partes se encuentran imposibilitadas para realizar las obligaciones contraídas mediante el </w:t>
      </w:r>
      <w:proofErr w:type="spellStart"/>
      <w:r w:rsidRPr="008762D1">
        <w:rPr>
          <w:rFonts w:ascii="ITC Avant Garde" w:hAnsi="ITC Avant Garde"/>
          <w:color w:val="000000" w:themeColor="text1"/>
        </w:rPr>
        <w:t>CMl</w:t>
      </w:r>
      <w:proofErr w:type="spellEnd"/>
      <w:r w:rsidRPr="008762D1">
        <w:rPr>
          <w:rFonts w:ascii="ITC Avant Garde" w:hAnsi="ITC Avant Garde"/>
          <w:color w:val="000000" w:themeColor="text1"/>
        </w:rPr>
        <w:t>. En tal virtud, s</w:t>
      </w:r>
      <w:r w:rsidR="004B0F40" w:rsidRPr="008762D1">
        <w:rPr>
          <w:rFonts w:ascii="ITC Avant Garde" w:hAnsi="ITC Avant Garde"/>
          <w:color w:val="000000" w:themeColor="text1"/>
        </w:rPr>
        <w:t xml:space="preserve">eñala Telmex que los </w:t>
      </w:r>
      <w:r w:rsidR="00B731ED" w:rsidRPr="008762D1">
        <w:rPr>
          <w:rFonts w:ascii="ITC Avant Garde" w:hAnsi="ITC Avant Garde"/>
          <w:color w:val="000000" w:themeColor="text1"/>
        </w:rPr>
        <w:t xml:space="preserve">plazos de 1 y 3 horas para restablecer, regularizar y garantizar la continuidad y calidad del servicio, </w:t>
      </w:r>
      <w:r w:rsidR="001B03A1" w:rsidRPr="008762D1">
        <w:rPr>
          <w:rFonts w:ascii="ITC Avant Garde" w:hAnsi="ITC Avant Garde"/>
          <w:color w:val="000000" w:themeColor="text1"/>
        </w:rPr>
        <w:t>son de imposible</w:t>
      </w:r>
      <w:r w:rsidR="00B731ED" w:rsidRPr="008762D1">
        <w:rPr>
          <w:rFonts w:ascii="ITC Avant Garde" w:hAnsi="ITC Avant Garde"/>
          <w:color w:val="000000" w:themeColor="text1"/>
        </w:rPr>
        <w:t xml:space="preserve"> cumplimiento para las partes, </w:t>
      </w:r>
      <w:r w:rsidR="004B0F40" w:rsidRPr="008762D1">
        <w:rPr>
          <w:rFonts w:ascii="ITC Avant Garde" w:hAnsi="ITC Avant Garde"/>
          <w:color w:val="000000" w:themeColor="text1"/>
        </w:rPr>
        <w:t>pues</w:t>
      </w:r>
      <w:r w:rsidR="00B731ED" w:rsidRPr="008762D1">
        <w:rPr>
          <w:rFonts w:ascii="ITC Avant Garde" w:hAnsi="ITC Avant Garde"/>
          <w:color w:val="000000" w:themeColor="text1"/>
        </w:rPr>
        <w:t xml:space="preserve"> no se puede prever el tipo de afectación o el tiempo que durará la misma.</w:t>
      </w:r>
    </w:p>
    <w:p w14:paraId="195FCB52" w14:textId="77777777" w:rsidR="000F0B9F" w:rsidRPr="008762D1" w:rsidRDefault="004B0F40"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Telmex indica que en dado caso</w:t>
      </w:r>
      <w:r w:rsidR="00B731ED" w:rsidRPr="008762D1">
        <w:rPr>
          <w:rFonts w:ascii="ITC Avant Garde" w:hAnsi="ITC Avant Garde"/>
          <w:color w:val="000000" w:themeColor="text1"/>
        </w:rPr>
        <w:t xml:space="preserve">, el </w:t>
      </w:r>
      <w:proofErr w:type="spellStart"/>
      <w:r w:rsidR="00B731ED" w:rsidRPr="008762D1">
        <w:rPr>
          <w:rFonts w:ascii="ITC Avant Garde" w:hAnsi="ITC Avant Garde"/>
          <w:color w:val="000000" w:themeColor="text1"/>
        </w:rPr>
        <w:t>lnstituto</w:t>
      </w:r>
      <w:proofErr w:type="spellEnd"/>
      <w:r w:rsidR="00B731ED" w:rsidRPr="008762D1">
        <w:rPr>
          <w:rFonts w:ascii="ITC Avant Garde" w:hAnsi="ITC Avant Garde"/>
          <w:color w:val="000000" w:themeColor="text1"/>
        </w:rPr>
        <w:t xml:space="preserve"> debe establecer que los plazos que comenzarán a correr a partir de que el personal designado por las partes determine el origen y el sentido de la falla o afectación, </w:t>
      </w:r>
      <w:r w:rsidRPr="008762D1">
        <w:rPr>
          <w:rFonts w:ascii="ITC Avant Garde" w:hAnsi="ITC Avant Garde"/>
          <w:color w:val="000000" w:themeColor="text1"/>
        </w:rPr>
        <w:t xml:space="preserve">para lo cual </w:t>
      </w:r>
      <w:r w:rsidR="00B731ED" w:rsidRPr="008762D1">
        <w:rPr>
          <w:rFonts w:ascii="ITC Avant Garde" w:hAnsi="ITC Avant Garde"/>
          <w:color w:val="000000" w:themeColor="text1"/>
        </w:rPr>
        <w:t>deb</w:t>
      </w:r>
      <w:r w:rsidRPr="008762D1">
        <w:rPr>
          <w:rFonts w:ascii="ITC Avant Garde" w:hAnsi="ITC Avant Garde"/>
          <w:color w:val="000000" w:themeColor="text1"/>
        </w:rPr>
        <w:t>en</w:t>
      </w:r>
      <w:r w:rsidR="00B731ED" w:rsidRPr="008762D1">
        <w:rPr>
          <w:rFonts w:ascii="ITC Avant Garde" w:hAnsi="ITC Avant Garde"/>
          <w:color w:val="000000" w:themeColor="text1"/>
        </w:rPr>
        <w:t xml:space="preserve"> estar en constante comunicación. Una vez determinado el origen </w:t>
      </w:r>
      <w:r w:rsidRPr="008762D1">
        <w:rPr>
          <w:rFonts w:ascii="ITC Avant Garde" w:hAnsi="ITC Avant Garde"/>
          <w:color w:val="000000" w:themeColor="text1"/>
        </w:rPr>
        <w:t>y</w:t>
      </w:r>
      <w:r w:rsidR="00B731ED" w:rsidRPr="008762D1">
        <w:rPr>
          <w:rFonts w:ascii="ITC Avant Garde" w:hAnsi="ITC Avant Garde"/>
          <w:color w:val="000000" w:themeColor="text1"/>
        </w:rPr>
        <w:t>/o el sentido de la falla y/o afectación, la parte afectada por el Caso Fortuito o Fuerza Mayor llevará a cabo las acciones conducentes para lograr una solución lo antes posible.</w:t>
      </w:r>
    </w:p>
    <w:p w14:paraId="43B44407" w14:textId="77777777" w:rsidR="000F0B9F" w:rsidRPr="008762D1" w:rsidRDefault="001B4B52"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lastRenderedPageBreak/>
        <w:t>Lo anterior, tal y como fue autorizado a Telcel en el Acuerdo P/IFT/EXT/241116/4</w:t>
      </w:r>
      <w:r w:rsidR="00F74B5C" w:rsidRPr="008762D1">
        <w:rPr>
          <w:rFonts w:ascii="ITC Avant Garde" w:hAnsi="ITC Avant Garde"/>
          <w:color w:val="000000" w:themeColor="text1"/>
        </w:rPr>
        <w:t>0</w:t>
      </w:r>
      <w:r w:rsidRPr="008762D1">
        <w:rPr>
          <w:rFonts w:ascii="ITC Avant Garde" w:hAnsi="ITC Avant Garde"/>
          <w:color w:val="000000" w:themeColor="text1"/>
        </w:rPr>
        <w:t xml:space="preserve">, mediante el cual aprobó los términos y condiciones del Convenio Marco de </w:t>
      </w:r>
      <w:proofErr w:type="spellStart"/>
      <w:r w:rsidRPr="008762D1">
        <w:rPr>
          <w:rFonts w:ascii="ITC Avant Garde" w:hAnsi="ITC Avant Garde"/>
          <w:color w:val="000000" w:themeColor="text1"/>
        </w:rPr>
        <w:t>lnterconexión</w:t>
      </w:r>
      <w:proofErr w:type="spellEnd"/>
      <w:r w:rsidRPr="008762D1">
        <w:rPr>
          <w:rFonts w:ascii="ITC Avant Garde" w:hAnsi="ITC Avant Garde"/>
          <w:color w:val="000000" w:themeColor="text1"/>
        </w:rPr>
        <w:t xml:space="preserve"> presentado por dicho concesionario para el año 2017.</w:t>
      </w:r>
    </w:p>
    <w:p w14:paraId="7C4E1925" w14:textId="77777777" w:rsidR="000F0B9F" w:rsidRPr="008762D1" w:rsidRDefault="00664000"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color w:val="000000" w:themeColor="text1"/>
          <w:sz w:val="18"/>
          <w:szCs w:val="18"/>
        </w:rPr>
        <w:t>7.1 SUSPENSIÓN TEMPORAL</w:t>
      </w:r>
      <w:r w:rsidRPr="008762D1">
        <w:rPr>
          <w:rFonts w:ascii="ITC Avant Garde" w:hAnsi="ITC Avant Garde"/>
          <w:color w:val="000000" w:themeColor="text1"/>
          <w:sz w:val="18"/>
          <w:szCs w:val="18"/>
        </w:rPr>
        <w:t xml:space="preserve">. Cuando se afecte la Interconexión e Interoperabilidad entre las redes, si sobreviniese un evento de Caso Fortuito o de Fuerza Mayor, que impidieren temporalmente a cualquiera de las Partes prestar los Servicios de Interconexión en los términos del presente Convenio, las Partes deberán proveerse mutuamente soluciones que les permitan restablecer, regularizar y garantizar la continuidad y calidad del servicio en tanto </w:t>
      </w:r>
      <w:r w:rsidR="005D5133" w:rsidRPr="008762D1">
        <w:rPr>
          <w:rFonts w:ascii="ITC Avant Garde" w:hAnsi="ITC Avant Garde"/>
          <w:color w:val="000000" w:themeColor="text1"/>
          <w:sz w:val="18"/>
          <w:szCs w:val="18"/>
        </w:rPr>
        <w:t>sea técnicamente factible en un</w:t>
      </w:r>
      <w:r w:rsidRPr="008762D1">
        <w:rPr>
          <w:rFonts w:ascii="ITC Avant Garde" w:hAnsi="ITC Avant Garde"/>
          <w:color w:val="000000" w:themeColor="text1"/>
          <w:sz w:val="18"/>
          <w:szCs w:val="18"/>
        </w:rPr>
        <w:t xml:space="preserve"> tiempo inferior a 1 (una)</w:t>
      </w:r>
      <w:r w:rsidR="005D5133" w:rsidRPr="008762D1">
        <w:rPr>
          <w:rFonts w:ascii="ITC Avant Garde" w:hAnsi="ITC Avant Garde"/>
          <w:color w:val="000000" w:themeColor="text1"/>
          <w:sz w:val="18"/>
          <w:szCs w:val="18"/>
        </w:rPr>
        <w:t xml:space="preserve"> </w:t>
      </w:r>
      <w:r w:rsidRPr="008762D1">
        <w:rPr>
          <w:rFonts w:ascii="ITC Avant Garde" w:hAnsi="ITC Avant Garde"/>
          <w:color w:val="000000" w:themeColor="text1"/>
          <w:sz w:val="18"/>
          <w:szCs w:val="18"/>
        </w:rPr>
        <w:t>hora, a partir de que se presente el reporte respectivo y cuando la afectación sea parcial, el periodo máximo en que de ser reparada será de 3 (tres) horas a partir de la presentación del reporte correspondiente.</w:t>
      </w:r>
    </w:p>
    <w:p w14:paraId="7708CCCB" w14:textId="75A2A984" w:rsidR="00FF24E2" w:rsidRPr="008762D1" w:rsidRDefault="00FF24E2"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w:t>
      </w:r>
      <w:proofErr w:type="gramStart"/>
      <w:r w:rsidRPr="008762D1">
        <w:rPr>
          <w:rFonts w:ascii="ITC Avant Garde" w:hAnsi="ITC Avant Garde"/>
          <w:color w:val="000000" w:themeColor="text1"/>
          <w:sz w:val="18"/>
          <w:szCs w:val="18"/>
          <w:u w:val="single"/>
        </w:rPr>
        <w:t>sea</w:t>
      </w:r>
      <w:proofErr w:type="gramEnd"/>
      <w:r w:rsidRPr="008762D1">
        <w:rPr>
          <w:rFonts w:ascii="ITC Avant Garde" w:hAnsi="ITC Avant Garde"/>
          <w:color w:val="000000" w:themeColor="text1"/>
          <w:sz w:val="18"/>
          <w:szCs w:val="18"/>
          <w:u w:val="single"/>
        </w:rPr>
        <w:t xml:space="preserve"> aclarado o determinado. Una vez determinado el origen y/o el sentido de la falla y/o afectación, la parte afectada por el Caso Fortuito o Fuerza Mayor llevará a cabo las acciones conducentes para lograr una solución lo antes posible. </w:t>
      </w:r>
    </w:p>
    <w:p w14:paraId="27A57871" w14:textId="77777777" w:rsidR="00664000" w:rsidRPr="008762D1" w:rsidRDefault="00BC5647"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664000" w:rsidRPr="008762D1">
        <w:rPr>
          <w:rFonts w:ascii="ITC Avant Garde" w:hAnsi="ITC Avant Garde"/>
          <w:color w:val="000000" w:themeColor="text1"/>
          <w:sz w:val="18"/>
          <w:szCs w:val="18"/>
        </w:rPr>
        <w:t>”</w:t>
      </w:r>
    </w:p>
    <w:p w14:paraId="1BF4188D" w14:textId="77777777" w:rsidR="000F0B9F" w:rsidRPr="008762D1" w:rsidRDefault="00AA333D"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3532E160" w14:textId="5B27ABBB" w:rsidR="00ED4F68" w:rsidRPr="008762D1" w:rsidRDefault="00ED4F6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DD80EBA" w14:textId="77777777" w:rsidR="000F0B9F" w:rsidRPr="008762D1" w:rsidRDefault="00867F19"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Al respecto se señala que la Medida Vigésima de las Medidas Fijas establece los plazos máximos para la atención a fallas del servicio de enlaces locales, entre localidades y de larga distancia internacional así como de interconexión y señala que en caso de incumplimiento de los parámetros de calidad en la reparación de fallas, el </w:t>
      </w:r>
      <w:r w:rsidR="009F2F77" w:rsidRPr="008762D1">
        <w:rPr>
          <w:rFonts w:ascii="ITC Avant Garde" w:hAnsi="ITC Avant Garde"/>
          <w:color w:val="000000" w:themeColor="text1"/>
        </w:rPr>
        <w:t>AEP</w:t>
      </w:r>
      <w:r w:rsidRPr="008762D1">
        <w:rPr>
          <w:rFonts w:ascii="ITC Avant Garde" w:hAnsi="ITC Avant Garde"/>
          <w:color w:val="000000" w:themeColor="text1"/>
        </w:rPr>
        <w:t xml:space="preserve"> será sancionado en términos de la legislación aplicable, con excepción de los casos fortuitos o causas de fuerza mayor.</w:t>
      </w:r>
    </w:p>
    <w:p w14:paraId="51ED3F27" w14:textId="77777777" w:rsidR="000F0B9F" w:rsidRPr="008762D1" w:rsidRDefault="005D5133"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Lo anterior, es</w:t>
      </w:r>
      <w:r w:rsidR="00C52E60" w:rsidRPr="008762D1">
        <w:rPr>
          <w:rFonts w:ascii="ITC Avant Garde" w:hAnsi="ITC Avant Garde"/>
          <w:color w:val="000000" w:themeColor="text1"/>
        </w:rPr>
        <w:t xml:space="preserve"> consistente con diversas referencias internacio</w:t>
      </w:r>
      <w:r w:rsidR="001D0391" w:rsidRPr="008762D1">
        <w:rPr>
          <w:rFonts w:ascii="ITC Avant Garde" w:hAnsi="ITC Avant Garde"/>
          <w:color w:val="000000" w:themeColor="text1"/>
        </w:rPr>
        <w:t>nal</w:t>
      </w:r>
      <w:r w:rsidR="00C52E60" w:rsidRPr="008762D1">
        <w:rPr>
          <w:rFonts w:ascii="ITC Avant Garde" w:hAnsi="ITC Avant Garde"/>
          <w:color w:val="000000" w:themeColor="text1"/>
        </w:rPr>
        <w:t xml:space="preserve">es en las cuales este tipo de eventos no se considera para la medición del cumplimiento de parámetros de calidad en atención a fallas, lo anterior es así </w:t>
      </w:r>
      <w:proofErr w:type="gramStart"/>
      <w:r w:rsidR="00C52E60" w:rsidRPr="008762D1">
        <w:rPr>
          <w:rFonts w:ascii="ITC Avant Garde" w:hAnsi="ITC Avant Garde"/>
          <w:color w:val="000000" w:themeColor="text1"/>
        </w:rPr>
        <w:t>dada</w:t>
      </w:r>
      <w:proofErr w:type="gramEnd"/>
      <w:r w:rsidR="00C52E60" w:rsidRPr="008762D1">
        <w:rPr>
          <w:rFonts w:ascii="ITC Avant Garde" w:hAnsi="ITC Avant Garde"/>
          <w:color w:val="000000" w:themeColor="text1"/>
        </w:rPr>
        <w:t xml:space="preserve"> la naturaleza imprevisible de los casos fortuitos o de fuerza mayor</w:t>
      </w:r>
      <w:r w:rsidRPr="008762D1">
        <w:rPr>
          <w:rFonts w:ascii="ITC Avant Garde" w:hAnsi="ITC Avant Garde"/>
          <w:color w:val="000000" w:themeColor="text1"/>
        </w:rPr>
        <w:t xml:space="preserve">. No obstante lo anterior, </w:t>
      </w:r>
      <w:r w:rsidR="00C52E60" w:rsidRPr="008762D1">
        <w:rPr>
          <w:rFonts w:ascii="ITC Avant Garde" w:hAnsi="ITC Avant Garde"/>
          <w:color w:val="000000" w:themeColor="text1"/>
        </w:rPr>
        <w:t xml:space="preserve">resulta necesario establecer plazos de referencia razonables que, de ser técnicamente factible </w:t>
      </w:r>
      <w:r w:rsidR="00FC15A5" w:rsidRPr="008762D1">
        <w:rPr>
          <w:rFonts w:ascii="ITC Avant Garde" w:hAnsi="ITC Avant Garde"/>
          <w:color w:val="000000" w:themeColor="text1"/>
        </w:rPr>
        <w:t>permitan el restablecimiento d</w:t>
      </w:r>
      <w:r w:rsidR="00C52E60" w:rsidRPr="008762D1">
        <w:rPr>
          <w:rFonts w:ascii="ITC Avant Garde" w:hAnsi="ITC Avant Garde"/>
          <w:color w:val="000000" w:themeColor="text1"/>
        </w:rPr>
        <w:t xml:space="preserve">el servicio. </w:t>
      </w:r>
    </w:p>
    <w:p w14:paraId="31B44EEB" w14:textId="77777777" w:rsidR="000F0B9F" w:rsidRPr="008762D1" w:rsidRDefault="00FC15A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Dentro de dichos plazos,</w:t>
      </w:r>
      <w:r w:rsidR="00C52E60" w:rsidRPr="008762D1">
        <w:rPr>
          <w:rFonts w:ascii="ITC Avant Garde" w:hAnsi="ITC Avant Garde"/>
          <w:color w:val="000000" w:themeColor="text1"/>
        </w:rPr>
        <w:t xml:space="preserve"> es necesario considerar el tiempo requerido para el análisis de la causa que provocó la falla,</w:t>
      </w:r>
      <w:r w:rsidRPr="008762D1">
        <w:rPr>
          <w:rFonts w:ascii="ITC Avant Garde" w:hAnsi="ITC Avant Garde"/>
          <w:color w:val="000000" w:themeColor="text1"/>
        </w:rPr>
        <w:t xml:space="preserve"> sin embargo, no es posible contar con un </w:t>
      </w:r>
      <w:r w:rsidR="002702D2" w:rsidRPr="008762D1">
        <w:rPr>
          <w:rFonts w:ascii="ITC Avant Garde" w:hAnsi="ITC Avant Garde"/>
          <w:color w:val="000000" w:themeColor="text1"/>
        </w:rPr>
        <w:t>plazo exacto</w:t>
      </w:r>
      <w:r w:rsidRPr="008762D1">
        <w:rPr>
          <w:rFonts w:ascii="ITC Avant Garde" w:hAnsi="ITC Avant Garde"/>
          <w:color w:val="000000" w:themeColor="text1"/>
        </w:rPr>
        <w:t xml:space="preserve"> para realizar este análisis ya que </w:t>
      </w:r>
      <w:r w:rsidR="002702D2" w:rsidRPr="008762D1">
        <w:rPr>
          <w:rFonts w:ascii="ITC Avant Garde" w:hAnsi="ITC Avant Garde"/>
          <w:color w:val="000000" w:themeColor="text1"/>
        </w:rPr>
        <w:t xml:space="preserve">el mismo </w:t>
      </w:r>
      <w:r w:rsidRPr="008762D1">
        <w:rPr>
          <w:rFonts w:ascii="ITC Avant Garde" w:hAnsi="ITC Avant Garde"/>
          <w:color w:val="000000" w:themeColor="text1"/>
        </w:rPr>
        <w:t>depend</w:t>
      </w:r>
      <w:r w:rsidR="002702D2" w:rsidRPr="008762D1">
        <w:rPr>
          <w:rFonts w:ascii="ITC Avant Garde" w:hAnsi="ITC Avant Garde"/>
          <w:color w:val="000000" w:themeColor="text1"/>
        </w:rPr>
        <w:t xml:space="preserve">e </w:t>
      </w:r>
      <w:r w:rsidRPr="008762D1">
        <w:rPr>
          <w:rFonts w:ascii="ITC Avant Garde" w:hAnsi="ITC Avant Garde"/>
          <w:color w:val="000000" w:themeColor="text1"/>
        </w:rPr>
        <w:t xml:space="preserve">de la afectación </w:t>
      </w:r>
      <w:r w:rsidR="002702D2" w:rsidRPr="008762D1">
        <w:rPr>
          <w:rFonts w:ascii="ITC Avant Garde" w:hAnsi="ITC Avant Garde"/>
          <w:color w:val="000000" w:themeColor="text1"/>
        </w:rPr>
        <w:t xml:space="preserve">y revisión de </w:t>
      </w:r>
      <w:r w:rsidRPr="008762D1">
        <w:rPr>
          <w:rFonts w:ascii="ITC Avant Garde" w:hAnsi="ITC Avant Garde"/>
          <w:color w:val="000000" w:themeColor="text1"/>
        </w:rPr>
        <w:t xml:space="preserve">la configuración de equipos, entre otras actividades, </w:t>
      </w:r>
      <w:r w:rsidR="00C52E60" w:rsidRPr="008762D1">
        <w:rPr>
          <w:rFonts w:ascii="ITC Avant Garde" w:hAnsi="ITC Avant Garde"/>
          <w:color w:val="000000" w:themeColor="text1"/>
        </w:rPr>
        <w:t xml:space="preserve"> es así que con </w:t>
      </w:r>
      <w:r w:rsidR="00C52E60" w:rsidRPr="008762D1">
        <w:rPr>
          <w:rFonts w:ascii="ITC Avant Garde" w:hAnsi="ITC Avant Garde"/>
          <w:color w:val="000000" w:themeColor="text1"/>
        </w:rPr>
        <w:lastRenderedPageBreak/>
        <w:t xml:space="preserve">el fin de proporcionar un plazo para el análisis </w:t>
      </w:r>
      <w:r w:rsidRPr="008762D1">
        <w:rPr>
          <w:rFonts w:ascii="ITC Avant Garde" w:hAnsi="ITC Avant Garde"/>
          <w:color w:val="000000" w:themeColor="text1"/>
        </w:rPr>
        <w:t xml:space="preserve">eficaz de la causa de la falla, </w:t>
      </w:r>
      <w:r w:rsidR="00C52E60" w:rsidRPr="008762D1">
        <w:rPr>
          <w:rFonts w:ascii="ITC Avant Garde" w:hAnsi="ITC Avant Garde"/>
          <w:color w:val="000000" w:themeColor="text1"/>
        </w:rPr>
        <w:t xml:space="preserve">se considera procedente la modificación señalada por Telmex en el sentido </w:t>
      </w:r>
      <w:r w:rsidRPr="008762D1">
        <w:rPr>
          <w:rFonts w:ascii="ITC Avant Garde" w:hAnsi="ITC Avant Garde"/>
          <w:color w:val="000000" w:themeColor="text1"/>
        </w:rPr>
        <w:t>que los plazos de reparación del servicio comenzarán a correr a partir de que ya se haya determinado la causa de la afectación.</w:t>
      </w:r>
    </w:p>
    <w:p w14:paraId="73861C4E" w14:textId="77777777" w:rsidR="000F0B9F" w:rsidRPr="008762D1" w:rsidRDefault="00ED4F68"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En </w:t>
      </w:r>
      <w:r w:rsidR="004B28C0" w:rsidRPr="008762D1">
        <w:rPr>
          <w:rFonts w:ascii="ITC Avant Garde" w:hAnsi="ITC Avant Garde"/>
          <w:color w:val="000000" w:themeColor="text1"/>
        </w:rPr>
        <w:t>la</w:t>
      </w:r>
      <w:r w:rsidR="00D95F48" w:rsidRPr="008762D1">
        <w:rPr>
          <w:rFonts w:ascii="ITC Avant Garde" w:hAnsi="ITC Avant Garde"/>
          <w:color w:val="000000" w:themeColor="text1"/>
        </w:rPr>
        <w:t xml:space="preserve"> Cláusula 7.2 C</w:t>
      </w:r>
      <w:r w:rsidR="004B28C0" w:rsidRPr="008762D1">
        <w:rPr>
          <w:rFonts w:ascii="ITC Avant Garde" w:hAnsi="ITC Avant Garde"/>
          <w:color w:val="000000" w:themeColor="text1"/>
        </w:rPr>
        <w:t>ontinuidad de los servicios de interconexión en ventanas de mantenimiento</w:t>
      </w:r>
      <w:r w:rsidR="00D95F48" w:rsidRPr="008762D1">
        <w:rPr>
          <w:rFonts w:ascii="ITC Avant Garde" w:hAnsi="ITC Avant Garde"/>
          <w:color w:val="000000" w:themeColor="text1"/>
        </w:rPr>
        <w:t xml:space="preserve"> </w:t>
      </w:r>
      <w:r w:rsidR="004B28C0" w:rsidRPr="008762D1">
        <w:rPr>
          <w:rFonts w:ascii="ITC Avant Garde" w:hAnsi="ITC Avant Garde"/>
          <w:color w:val="000000" w:themeColor="text1"/>
        </w:rPr>
        <w:t>se señala que la Partes deberán informarse al menos con 2 (dos) días hábiles de anticipación sobre cualquier actividad previsible que pudiera afectar la prestación de los servicios, así como la información sobre la actividad que deberán proporcionarse</w:t>
      </w:r>
      <w:r w:rsidR="00F30BA0" w:rsidRPr="008762D1">
        <w:rPr>
          <w:rFonts w:ascii="ITC Avant Garde" w:hAnsi="ITC Avant Garde"/>
          <w:color w:val="000000" w:themeColor="text1"/>
        </w:rPr>
        <w:t>,</w:t>
      </w:r>
      <w:r w:rsidR="00F31255" w:rsidRPr="008762D1">
        <w:rPr>
          <w:rFonts w:ascii="ITC Avant Garde" w:hAnsi="ITC Avant Garde"/>
          <w:color w:val="000000" w:themeColor="text1"/>
        </w:rPr>
        <w:t xml:space="preserve"> cabe mencionar que</w:t>
      </w:r>
      <w:r w:rsidR="00F30BA0" w:rsidRPr="008762D1">
        <w:rPr>
          <w:rFonts w:ascii="ITC Avant Garde" w:hAnsi="ITC Avant Garde" w:cs="Arial"/>
          <w:color w:val="000000" w:themeColor="text1"/>
          <w:lang w:eastAsia="es-MX"/>
        </w:rPr>
        <w:t xml:space="preserve"> lo anterior ya se</w:t>
      </w:r>
      <w:r w:rsidR="00494C00" w:rsidRPr="008762D1">
        <w:rPr>
          <w:rFonts w:ascii="ITC Avant Garde" w:hAnsi="ITC Avant Garde" w:cs="Arial"/>
          <w:color w:val="000000" w:themeColor="text1"/>
          <w:lang w:eastAsia="es-MX"/>
        </w:rPr>
        <w:t xml:space="preserve"> había autorizado en el CMI 2017</w:t>
      </w:r>
      <w:r w:rsidR="004B28C0" w:rsidRPr="008762D1">
        <w:rPr>
          <w:rFonts w:ascii="ITC Avant Garde" w:hAnsi="ITC Avant Garde"/>
          <w:color w:val="000000" w:themeColor="text1"/>
        </w:rPr>
        <w:t>.</w:t>
      </w:r>
    </w:p>
    <w:p w14:paraId="362C0329" w14:textId="77777777" w:rsidR="000F0B9F" w:rsidRPr="008762D1" w:rsidRDefault="004B28C0"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De la misma forma, </w:t>
      </w:r>
      <w:r w:rsidR="00D95F48" w:rsidRPr="008762D1">
        <w:rPr>
          <w:rFonts w:ascii="ITC Avant Garde" w:hAnsi="ITC Avant Garde"/>
          <w:color w:val="000000" w:themeColor="text1"/>
        </w:rPr>
        <w:t xml:space="preserve">en dicha Cláusula </w:t>
      </w:r>
      <w:r w:rsidRPr="008762D1">
        <w:rPr>
          <w:rFonts w:ascii="ITC Avant Garde" w:hAnsi="ITC Avant Garde"/>
          <w:color w:val="000000" w:themeColor="text1"/>
        </w:rPr>
        <w:t xml:space="preserve">se señala el procedimiento para la notificación de </w:t>
      </w:r>
      <w:r w:rsidR="00333160" w:rsidRPr="008762D1">
        <w:rPr>
          <w:rFonts w:ascii="ITC Avant Garde" w:hAnsi="ITC Avant Garde"/>
          <w:color w:val="000000" w:themeColor="text1"/>
        </w:rPr>
        <w:t xml:space="preserve">mantenimiento preventivo, es así que se considera que lo establecido en la Cláusula Séptima proporciona certeza a los CS sobre el procedimiento a seguir para garantizar la continuidad en la prestación del servicio en el caso de ventanas de mantenimiento así como en Caso Fortuito o de Fuerza Mayor es así que se considera procedente su </w:t>
      </w:r>
      <w:r w:rsidR="00F46711" w:rsidRPr="008762D1">
        <w:rPr>
          <w:rFonts w:ascii="ITC Avant Garde" w:hAnsi="ITC Avant Garde" w:cs="Arial"/>
          <w:color w:val="000000" w:themeColor="text1"/>
          <w:lang w:eastAsia="es-MX"/>
        </w:rPr>
        <w:t>aprobación</w:t>
      </w:r>
      <w:r w:rsidR="00333160" w:rsidRPr="008762D1">
        <w:rPr>
          <w:rFonts w:ascii="ITC Avant Garde" w:hAnsi="ITC Avant Garde"/>
          <w:color w:val="000000" w:themeColor="text1"/>
        </w:rPr>
        <w:t>.</w:t>
      </w:r>
    </w:p>
    <w:p w14:paraId="03B43F90" w14:textId="77777777" w:rsidR="000F0B9F" w:rsidRPr="008762D1" w:rsidRDefault="00FB1824" w:rsidP="000F0B9F">
      <w:pPr>
        <w:pStyle w:val="IFT1"/>
        <w:numPr>
          <w:ilvl w:val="1"/>
          <w:numId w:val="9"/>
        </w:numPr>
        <w:tabs>
          <w:tab w:val="left" w:pos="426"/>
        </w:tabs>
        <w:spacing w:before="240" w:after="0"/>
        <w:ind w:left="284" w:hanging="284"/>
        <w:rPr>
          <w:rFonts w:cs="Arial"/>
          <w:color w:val="000000" w:themeColor="text1"/>
        </w:rPr>
      </w:pPr>
      <w:r w:rsidRPr="008762D1">
        <w:rPr>
          <w:rFonts w:cs="Arial"/>
          <w:b/>
          <w:color w:val="000000" w:themeColor="text1"/>
        </w:rPr>
        <w:t>CLÁUSULA OCTAVA.</w:t>
      </w:r>
      <w:r w:rsidR="00F25FA0" w:rsidRPr="008762D1">
        <w:rPr>
          <w:rFonts w:cs="Arial"/>
          <w:b/>
          <w:color w:val="000000" w:themeColor="text1"/>
        </w:rPr>
        <w:t xml:space="preserve"> CESIÓN Y ADHESIÓN.</w:t>
      </w:r>
    </w:p>
    <w:p w14:paraId="0987952E" w14:textId="77777777" w:rsidR="000F0B9F" w:rsidRPr="008762D1" w:rsidRDefault="000D54A1"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Del análisis de la Cláusula Octava se observa que la misma establece que los derechos y obligaciones del Convenio no podrán cederse, gravarse o transmitirse sin la autorización previa y por escrito de la otra parte, misma que no será negada siempre y cuando quien recibe la cesión tenga la capacidad jurídica para cumplir con las obligaciones adquiridas. De igual forma, señala que las Partes podrán ceder libremente a sus filiales o subsidiarias aquella parte de la explotación de los Servicios de Telecomunicaciones que le fueron concedidos únicamente con la autorización del Instituto, siempre que continúe obligada la parte cedente conforme el Convenio. </w:t>
      </w:r>
      <w:r w:rsidR="009F6ED6" w:rsidRPr="008762D1">
        <w:rPr>
          <w:rFonts w:ascii="ITC Avant Garde" w:hAnsi="ITC Avant Garde"/>
          <w:color w:val="000000" w:themeColor="text1"/>
        </w:rPr>
        <w:t>De lo cual se observa que</w:t>
      </w:r>
      <w:r w:rsidRPr="008762D1">
        <w:rPr>
          <w:rFonts w:ascii="ITC Avant Garde" w:hAnsi="ITC Avant Garde"/>
          <w:color w:val="000000" w:themeColor="text1"/>
        </w:rPr>
        <w:t xml:space="preserve"> dicha Cláusula otorga claridad en el escenario de que alguna de las partes requiera ceder los derechos de su operación.</w:t>
      </w:r>
    </w:p>
    <w:p w14:paraId="17DE47A2" w14:textId="77777777" w:rsidR="000F0B9F" w:rsidRPr="008762D1" w:rsidRDefault="009F6ED6"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 xml:space="preserve">Asimismo, es conveniente señalar que </w:t>
      </w:r>
      <w:r w:rsidRPr="008762D1">
        <w:rPr>
          <w:rFonts w:ascii="ITC Avant Garde" w:hAnsi="ITC Avant Garde"/>
          <w:color w:val="000000" w:themeColor="text1"/>
        </w:rPr>
        <w:t>es una cláusula común en los convenios de interconexión entre los distintos concesionarios de la industria y registrados ante el Instituto</w:t>
      </w:r>
      <w:r w:rsidR="00486794" w:rsidRPr="008762D1">
        <w:rPr>
          <w:rFonts w:ascii="ITC Avant Garde" w:hAnsi="ITC Avant Garde"/>
          <w:color w:val="000000" w:themeColor="text1"/>
        </w:rPr>
        <w:t>, y que</w:t>
      </w:r>
      <w:r w:rsidRPr="008762D1">
        <w:rPr>
          <w:rFonts w:ascii="ITC Avant Garde" w:hAnsi="ITC Avant Garde" w:cs="Arial"/>
          <w:color w:val="000000" w:themeColor="text1"/>
          <w:lang w:eastAsia="es-MX"/>
        </w:rPr>
        <w:t xml:space="preserve"> los términos de la Cláusula Octava de la Propuesta del CMI son los mismos tér</w:t>
      </w:r>
      <w:r w:rsidR="00486794" w:rsidRPr="008762D1">
        <w:rPr>
          <w:rFonts w:ascii="ITC Avant Garde" w:hAnsi="ITC Avant Garde" w:cs="Arial"/>
          <w:color w:val="000000" w:themeColor="text1"/>
          <w:lang w:eastAsia="es-MX"/>
        </w:rPr>
        <w:t xml:space="preserve">minos aprobados en el CMI 2017, </w:t>
      </w:r>
      <w:r w:rsidR="000D54A1" w:rsidRPr="008762D1">
        <w:rPr>
          <w:rFonts w:ascii="ITC Avant Garde" w:hAnsi="ITC Avant Garde"/>
          <w:color w:val="000000" w:themeColor="text1"/>
        </w:rPr>
        <w:t xml:space="preserve"> por lo que se considera procedente su </w:t>
      </w:r>
      <w:r w:rsidR="00F46711" w:rsidRPr="008762D1">
        <w:rPr>
          <w:rFonts w:ascii="ITC Avant Garde" w:hAnsi="ITC Avant Garde" w:cs="Arial"/>
          <w:color w:val="000000" w:themeColor="text1"/>
          <w:lang w:eastAsia="es-MX"/>
        </w:rPr>
        <w:t>aprobación</w:t>
      </w:r>
      <w:r w:rsidR="000D54A1" w:rsidRPr="008762D1">
        <w:rPr>
          <w:rFonts w:ascii="ITC Avant Garde" w:hAnsi="ITC Avant Garde"/>
          <w:color w:val="000000" w:themeColor="text1"/>
        </w:rPr>
        <w:t>.</w:t>
      </w:r>
    </w:p>
    <w:p w14:paraId="44E2C135" w14:textId="77777777" w:rsidR="000F0B9F" w:rsidRPr="008762D1" w:rsidRDefault="00D65E98" w:rsidP="000F0B9F">
      <w:pPr>
        <w:pStyle w:val="IFT1"/>
        <w:numPr>
          <w:ilvl w:val="1"/>
          <w:numId w:val="9"/>
        </w:numPr>
        <w:tabs>
          <w:tab w:val="left" w:pos="284"/>
          <w:tab w:val="left" w:pos="567"/>
        </w:tabs>
        <w:spacing w:before="240" w:after="0"/>
        <w:ind w:left="284" w:hanging="284"/>
        <w:rPr>
          <w:rFonts w:cs="Arial"/>
          <w:b/>
          <w:color w:val="000000" w:themeColor="text1"/>
          <w:lang w:eastAsia="es-MX"/>
        </w:rPr>
      </w:pPr>
      <w:r w:rsidRPr="008762D1">
        <w:rPr>
          <w:rFonts w:cs="Arial"/>
          <w:b/>
          <w:color w:val="000000" w:themeColor="text1"/>
          <w:lang w:eastAsia="es-MX"/>
        </w:rPr>
        <w:t xml:space="preserve">CLÁUSULA </w:t>
      </w:r>
      <w:r w:rsidR="00D55065" w:rsidRPr="008762D1">
        <w:rPr>
          <w:rFonts w:cs="Arial"/>
          <w:b/>
          <w:color w:val="000000" w:themeColor="text1"/>
          <w:lang w:eastAsia="es-MX"/>
        </w:rPr>
        <w:t>NOVENA</w:t>
      </w:r>
      <w:r w:rsidRPr="008762D1">
        <w:rPr>
          <w:rFonts w:cs="Arial"/>
          <w:b/>
          <w:color w:val="000000" w:themeColor="text1"/>
          <w:lang w:eastAsia="es-MX"/>
        </w:rPr>
        <w:t>. PROPIEDAD Y POSESIÓN DE BIENES.</w:t>
      </w:r>
    </w:p>
    <w:p w14:paraId="034149AC" w14:textId="77777777" w:rsidR="000F0B9F" w:rsidRPr="008762D1" w:rsidRDefault="00D55065"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lastRenderedPageBreak/>
        <w:t>La C</w:t>
      </w:r>
      <w:r w:rsidR="00132EBB" w:rsidRPr="008762D1">
        <w:rPr>
          <w:rFonts w:cs="Arial"/>
          <w:color w:val="000000" w:themeColor="text1"/>
          <w:lang w:eastAsia="es-MX"/>
        </w:rPr>
        <w:t xml:space="preserve">láusula </w:t>
      </w:r>
      <w:r w:rsidRPr="008762D1">
        <w:rPr>
          <w:rFonts w:cs="Arial"/>
          <w:color w:val="000000" w:themeColor="text1"/>
          <w:lang w:eastAsia="es-MX"/>
        </w:rPr>
        <w:t>Novena</w:t>
      </w:r>
      <w:r w:rsidR="001307A7" w:rsidRPr="008762D1">
        <w:rPr>
          <w:rFonts w:cs="Arial"/>
          <w:color w:val="000000" w:themeColor="text1"/>
          <w:lang w:eastAsia="es-MX"/>
        </w:rPr>
        <w:t xml:space="preserve"> versa sobre </w:t>
      </w:r>
      <w:r w:rsidR="00C932CC" w:rsidRPr="008762D1">
        <w:rPr>
          <w:rFonts w:cs="Arial"/>
          <w:color w:val="000000" w:themeColor="text1"/>
          <w:lang w:eastAsia="es-MX"/>
        </w:rPr>
        <w:t xml:space="preserve">que la instalación de equipos en los sitios de </w:t>
      </w:r>
      <w:proofErr w:type="spellStart"/>
      <w:r w:rsidR="00C932CC" w:rsidRPr="008762D1">
        <w:rPr>
          <w:rFonts w:cs="Arial"/>
          <w:color w:val="000000" w:themeColor="text1"/>
          <w:lang w:eastAsia="es-MX"/>
        </w:rPr>
        <w:t>coubicación</w:t>
      </w:r>
      <w:proofErr w:type="spellEnd"/>
      <w:r w:rsidR="00C932CC" w:rsidRPr="008762D1">
        <w:rPr>
          <w:rFonts w:cs="Arial"/>
          <w:color w:val="000000" w:themeColor="text1"/>
          <w:lang w:eastAsia="es-MX"/>
        </w:rPr>
        <w:t xml:space="preserve"> o inmuebles, no se entenderá o presumirá como que se ha concedido la propiedad de los sitios de </w:t>
      </w:r>
      <w:proofErr w:type="spellStart"/>
      <w:r w:rsidR="00C932CC" w:rsidRPr="008762D1">
        <w:rPr>
          <w:rFonts w:cs="Arial"/>
          <w:color w:val="000000" w:themeColor="text1"/>
          <w:lang w:eastAsia="es-MX"/>
        </w:rPr>
        <w:t>coubicación</w:t>
      </w:r>
      <w:proofErr w:type="spellEnd"/>
      <w:r w:rsidR="00C932CC" w:rsidRPr="008762D1">
        <w:rPr>
          <w:rFonts w:cs="Arial"/>
          <w:color w:val="000000" w:themeColor="text1"/>
          <w:lang w:eastAsia="es-MX"/>
        </w:rPr>
        <w:t xml:space="preserve"> o de los equipos. De lo cual se señala que los términos establecidos en dicha Cláusula son los mismos aprobados en el CMI 2017.</w:t>
      </w:r>
    </w:p>
    <w:p w14:paraId="68261F92" w14:textId="77777777" w:rsidR="000F0B9F" w:rsidRPr="008762D1" w:rsidRDefault="00C932CC"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Asimismo</w:t>
      </w:r>
      <w:r w:rsidR="005D4D5B" w:rsidRPr="008762D1">
        <w:rPr>
          <w:rFonts w:cs="Arial"/>
          <w:color w:val="000000" w:themeColor="text1"/>
          <w:lang w:eastAsia="es-MX"/>
        </w:rPr>
        <w:t>, e</w:t>
      </w:r>
      <w:r w:rsidRPr="008762D1">
        <w:rPr>
          <w:rFonts w:cs="Arial"/>
          <w:color w:val="000000" w:themeColor="text1"/>
          <w:lang w:eastAsia="es-MX"/>
        </w:rPr>
        <w:t>l</w:t>
      </w:r>
      <w:r w:rsidR="001307A7" w:rsidRPr="008762D1">
        <w:rPr>
          <w:rFonts w:cs="Arial"/>
          <w:color w:val="000000" w:themeColor="text1"/>
          <w:lang w:eastAsia="es-MX"/>
        </w:rPr>
        <w:t xml:space="preserve"> Instituto considera que la cláusula permite delimitar claramente los derechos de propiedad de cada una de las partes otorgando con ello certeza jurídica, asimismo </w:t>
      </w:r>
      <w:r w:rsidR="001307A7" w:rsidRPr="008762D1">
        <w:rPr>
          <w:color w:val="000000" w:themeColor="text1"/>
        </w:rPr>
        <w:t xml:space="preserve">es una cláusula común en los convenios de interconexión entre los distintos concesionarios de la industria y registrados ante el Instituto, por lo que se considera procedente su </w:t>
      </w:r>
      <w:r w:rsidR="00AA63EA" w:rsidRPr="008762D1">
        <w:rPr>
          <w:rFonts w:cs="Arial"/>
          <w:color w:val="000000" w:themeColor="text1"/>
          <w:lang w:eastAsia="es-MX"/>
        </w:rPr>
        <w:t>aprobación</w:t>
      </w:r>
      <w:r w:rsidR="001307A7" w:rsidRPr="008762D1">
        <w:rPr>
          <w:rFonts w:cs="Arial"/>
          <w:color w:val="000000" w:themeColor="text1"/>
          <w:lang w:eastAsia="es-MX"/>
        </w:rPr>
        <w:t>.</w:t>
      </w:r>
    </w:p>
    <w:p w14:paraId="2E94C03C" w14:textId="77777777" w:rsidR="000F0B9F" w:rsidRPr="008762D1" w:rsidRDefault="00D65E98" w:rsidP="000F0B9F">
      <w:pPr>
        <w:pStyle w:val="IFT1"/>
        <w:numPr>
          <w:ilvl w:val="1"/>
          <w:numId w:val="9"/>
        </w:numPr>
        <w:tabs>
          <w:tab w:val="left" w:pos="284"/>
          <w:tab w:val="left" w:pos="567"/>
        </w:tabs>
        <w:spacing w:before="240" w:after="0"/>
        <w:ind w:left="284" w:hanging="284"/>
        <w:rPr>
          <w:rFonts w:cs="Arial"/>
          <w:b/>
          <w:color w:val="000000" w:themeColor="text1"/>
          <w:lang w:eastAsia="es-MX"/>
        </w:rPr>
      </w:pPr>
      <w:r w:rsidRPr="008762D1">
        <w:rPr>
          <w:rFonts w:cs="Arial"/>
          <w:b/>
          <w:color w:val="000000" w:themeColor="text1"/>
          <w:lang w:eastAsia="es-MX"/>
        </w:rPr>
        <w:t xml:space="preserve">CLÁUSULA </w:t>
      </w:r>
      <w:r w:rsidR="004F24BA" w:rsidRPr="008762D1">
        <w:rPr>
          <w:rFonts w:cs="Arial"/>
          <w:b/>
          <w:color w:val="000000" w:themeColor="text1"/>
          <w:lang w:eastAsia="es-MX"/>
        </w:rPr>
        <w:t>DÉCIMA</w:t>
      </w:r>
      <w:r w:rsidRPr="008762D1">
        <w:rPr>
          <w:rFonts w:cs="Arial"/>
          <w:b/>
          <w:color w:val="000000" w:themeColor="text1"/>
          <w:lang w:eastAsia="es-MX"/>
        </w:rPr>
        <w:t>. SEGUROS Y RELACIONES LABORALES.</w:t>
      </w:r>
    </w:p>
    <w:p w14:paraId="7B8983F7" w14:textId="19961AF4" w:rsidR="00D27628" w:rsidRPr="008762D1" w:rsidRDefault="00C875C6"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 xml:space="preserve">La </w:t>
      </w:r>
      <w:r w:rsidR="004F24BA" w:rsidRPr="008762D1">
        <w:rPr>
          <w:rFonts w:cs="Arial"/>
          <w:color w:val="000000" w:themeColor="text1"/>
          <w:lang w:eastAsia="es-MX"/>
        </w:rPr>
        <w:t>Cláusula D</w:t>
      </w:r>
      <w:r w:rsidR="00AE2324" w:rsidRPr="008762D1">
        <w:rPr>
          <w:rFonts w:cs="Arial"/>
          <w:color w:val="000000" w:themeColor="text1"/>
          <w:lang w:eastAsia="es-MX"/>
        </w:rPr>
        <w:t xml:space="preserve">écima, </w:t>
      </w:r>
      <w:r w:rsidR="005D4D5B" w:rsidRPr="008762D1">
        <w:rPr>
          <w:rFonts w:cs="Arial"/>
          <w:color w:val="000000" w:themeColor="text1"/>
          <w:lang w:eastAsia="es-MX"/>
        </w:rPr>
        <w:t xml:space="preserve">versa sobre la obligación de las partes a contratar y mantener una póliza de seguro para cubrir los riesgos por la instalación y operación de equipos y dispositivos </w:t>
      </w:r>
      <w:r w:rsidR="002C2B81" w:rsidRPr="008762D1">
        <w:rPr>
          <w:rFonts w:cs="Arial"/>
          <w:color w:val="000000" w:themeColor="text1"/>
          <w:lang w:eastAsia="es-MX"/>
        </w:rPr>
        <w:t xml:space="preserve">en los sitios de </w:t>
      </w:r>
      <w:proofErr w:type="spellStart"/>
      <w:r w:rsidR="002C2B81" w:rsidRPr="008762D1">
        <w:rPr>
          <w:rFonts w:cs="Arial"/>
          <w:color w:val="000000" w:themeColor="text1"/>
          <w:lang w:eastAsia="es-MX"/>
        </w:rPr>
        <w:t>coubicación</w:t>
      </w:r>
      <w:proofErr w:type="spellEnd"/>
      <w:r w:rsidR="00D27628" w:rsidRPr="008762D1">
        <w:rPr>
          <w:rFonts w:cs="Arial"/>
          <w:color w:val="000000" w:themeColor="text1"/>
          <w:lang w:eastAsia="es-MX"/>
        </w:rPr>
        <w:t xml:space="preserve"> de la otra parte, así como</w:t>
      </w:r>
      <w:r w:rsidR="00E576C5" w:rsidRPr="008762D1">
        <w:rPr>
          <w:rFonts w:cs="Arial"/>
          <w:color w:val="000000" w:themeColor="text1"/>
          <w:lang w:eastAsia="es-MX"/>
        </w:rPr>
        <w:t xml:space="preserve"> que</w:t>
      </w:r>
      <w:r w:rsidR="00F05434" w:rsidRPr="008762D1">
        <w:rPr>
          <w:rFonts w:cs="Arial"/>
          <w:color w:val="000000" w:themeColor="text1"/>
          <w:lang w:eastAsia="es-MX"/>
        </w:rPr>
        <w:t xml:space="preserve"> el único responsable de las obligaciones derivadas de las disposiciones legales y ordenamientos en materia de trabajo y seguridad social será el patrón de las personas físicas que realicen los servicios de interconexión</w:t>
      </w:r>
      <w:r w:rsidR="005114A8" w:rsidRPr="008762D1">
        <w:rPr>
          <w:rFonts w:cs="Arial"/>
          <w:color w:val="000000" w:themeColor="text1"/>
          <w:lang w:eastAsia="es-MX"/>
        </w:rPr>
        <w:t>, por lo que las partes convienen en responder de todas las re</w:t>
      </w:r>
      <w:r w:rsidR="00E576C5" w:rsidRPr="008762D1">
        <w:rPr>
          <w:rFonts w:cs="Arial"/>
          <w:color w:val="000000" w:themeColor="text1"/>
          <w:lang w:eastAsia="es-MX"/>
        </w:rPr>
        <w:t>clamaciones que sus empleados</w:t>
      </w:r>
      <w:r w:rsidR="005114A8" w:rsidRPr="008762D1">
        <w:rPr>
          <w:rFonts w:cs="Arial"/>
          <w:color w:val="000000" w:themeColor="text1"/>
          <w:lang w:eastAsia="es-MX"/>
        </w:rPr>
        <w:t xml:space="preserve"> presentasen en contra de la otra parte</w:t>
      </w:r>
      <w:r w:rsidR="00A96A16" w:rsidRPr="008762D1">
        <w:rPr>
          <w:rFonts w:cs="Arial"/>
          <w:color w:val="000000" w:themeColor="text1"/>
          <w:lang w:eastAsia="es-MX"/>
        </w:rPr>
        <w:t>, asimismo dicha cláusula ya se había autor</w:t>
      </w:r>
      <w:r w:rsidR="00DC6663" w:rsidRPr="008762D1">
        <w:rPr>
          <w:rFonts w:cs="Arial"/>
          <w:color w:val="000000" w:themeColor="text1"/>
          <w:lang w:eastAsia="es-MX"/>
        </w:rPr>
        <w:t>izado en el CMI 2017</w:t>
      </w:r>
      <w:r w:rsidR="00A96A16" w:rsidRPr="008762D1">
        <w:rPr>
          <w:rFonts w:cs="Arial"/>
          <w:color w:val="000000" w:themeColor="text1"/>
          <w:lang w:eastAsia="es-MX"/>
        </w:rPr>
        <w:t>.</w:t>
      </w:r>
    </w:p>
    <w:p w14:paraId="508F87AB" w14:textId="77777777" w:rsidR="000F0B9F" w:rsidRPr="008762D1" w:rsidRDefault="001E2326"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 xml:space="preserve">Al respecto, este Instituto considera que la cláusula permite establecer claramente los términos que deberán cumplir con respecto a la contratación de seguros ante </w:t>
      </w:r>
      <w:r w:rsidR="00E576C5" w:rsidRPr="008762D1">
        <w:rPr>
          <w:rFonts w:cs="Arial"/>
          <w:color w:val="000000" w:themeColor="text1"/>
          <w:lang w:eastAsia="es-MX"/>
        </w:rPr>
        <w:t xml:space="preserve">posibles riesgos derivado </w:t>
      </w:r>
      <w:r w:rsidRPr="008762D1">
        <w:rPr>
          <w:rFonts w:cs="Arial"/>
          <w:color w:val="000000" w:themeColor="text1"/>
          <w:lang w:eastAsia="es-MX"/>
        </w:rPr>
        <w:t>de la</w:t>
      </w:r>
      <w:r w:rsidR="00E576C5" w:rsidRPr="008762D1">
        <w:rPr>
          <w:rFonts w:cs="Arial"/>
          <w:color w:val="000000" w:themeColor="text1"/>
          <w:lang w:eastAsia="es-MX"/>
        </w:rPr>
        <w:t>s actividades que personal de una de las partes deba realizar en las instalaciones de la otra parte y que puedan ocasionarle un daño a sus instalaciones, cabe mencionar que se considera una buena práctica que las partes se protejan de dichas eventualidades a efecto de no correr el riesgo de que una de ellas no pueda reparar el daño con los</w:t>
      </w:r>
      <w:r w:rsidR="00745F92" w:rsidRPr="008762D1">
        <w:rPr>
          <w:rFonts w:cs="Arial"/>
          <w:color w:val="000000" w:themeColor="text1"/>
          <w:lang w:eastAsia="es-MX"/>
        </w:rPr>
        <w:t xml:space="preserve"> recursos que tenga disponibles.</w:t>
      </w:r>
    </w:p>
    <w:p w14:paraId="1E94A202" w14:textId="77777777" w:rsidR="000F0B9F" w:rsidRPr="008762D1" w:rsidRDefault="00745F92" w:rsidP="000F0B9F">
      <w:pPr>
        <w:pStyle w:val="IFT1"/>
        <w:tabs>
          <w:tab w:val="left" w:pos="284"/>
          <w:tab w:val="left" w:pos="567"/>
        </w:tabs>
        <w:spacing w:before="240" w:after="0"/>
        <w:rPr>
          <w:rFonts w:cs="Arial"/>
          <w:color w:val="000000" w:themeColor="text1"/>
          <w:lang w:eastAsia="es-MX"/>
        </w:rPr>
      </w:pPr>
      <w:r w:rsidRPr="008762D1">
        <w:rPr>
          <w:color w:val="000000" w:themeColor="text1"/>
        </w:rPr>
        <w:t>Asimismo se considera adecuado que se establezca con claridad que el patrón de cada empleado será el responsable ante éstos</w:t>
      </w:r>
      <w:r w:rsidR="001E2326" w:rsidRPr="008762D1">
        <w:rPr>
          <w:color w:val="000000" w:themeColor="text1"/>
        </w:rPr>
        <w:t>,</w:t>
      </w:r>
      <w:r w:rsidRPr="008762D1">
        <w:rPr>
          <w:color w:val="000000" w:themeColor="text1"/>
        </w:rPr>
        <w:t xml:space="preserve"> aún y cuando estén laborando en las instalaciones de la otra parte</w:t>
      </w:r>
      <w:r w:rsidR="00374456" w:rsidRPr="008762D1">
        <w:rPr>
          <w:color w:val="000000" w:themeColor="text1"/>
          <w:lang w:val="es-ES"/>
        </w:rPr>
        <w:t>.</w:t>
      </w:r>
    </w:p>
    <w:p w14:paraId="79D88606" w14:textId="77777777" w:rsidR="000F0B9F" w:rsidRPr="008762D1" w:rsidRDefault="00C875C6" w:rsidP="000F0B9F">
      <w:pPr>
        <w:spacing w:before="240" w:after="0" w:line="276" w:lineRule="auto"/>
        <w:jc w:val="both"/>
        <w:rPr>
          <w:rFonts w:ascii="ITC Avant Garde" w:hAnsi="ITC Avant Garde"/>
          <w:color w:val="000000" w:themeColor="text1"/>
          <w:lang w:val="es-SV"/>
        </w:rPr>
      </w:pPr>
      <w:r w:rsidRPr="008762D1">
        <w:rPr>
          <w:rFonts w:ascii="ITC Avant Garde" w:hAnsi="ITC Avant Garde"/>
          <w:color w:val="000000" w:themeColor="text1"/>
          <w:lang w:val="es-SV"/>
        </w:rPr>
        <w:t xml:space="preserve">Finalmente se señala que es común que en este tipo de convenios, se requiera un seguro de responsabilidad civil e incluso es idóneo para anticipar cualquier responsabilidad que se pudiera ocasionar con la ejecución del contrato, por lo que se considera procedente su </w:t>
      </w:r>
      <w:r w:rsidR="00C057E2" w:rsidRPr="008762D1">
        <w:rPr>
          <w:rFonts w:ascii="ITC Avant Garde" w:hAnsi="ITC Avant Garde" w:cs="Arial"/>
          <w:color w:val="000000" w:themeColor="text1"/>
          <w:lang w:eastAsia="es-MX"/>
        </w:rPr>
        <w:t>aprobación</w:t>
      </w:r>
      <w:r w:rsidRPr="008762D1">
        <w:rPr>
          <w:rFonts w:ascii="ITC Avant Garde" w:hAnsi="ITC Avant Garde"/>
          <w:color w:val="000000" w:themeColor="text1"/>
          <w:lang w:val="es-SV"/>
        </w:rPr>
        <w:t xml:space="preserve">. </w:t>
      </w:r>
    </w:p>
    <w:p w14:paraId="7EA5CC12" w14:textId="77777777" w:rsidR="000F0B9F" w:rsidRPr="008762D1" w:rsidRDefault="004F24BA" w:rsidP="000F0B9F">
      <w:pPr>
        <w:pStyle w:val="IFT1"/>
        <w:numPr>
          <w:ilvl w:val="1"/>
          <w:numId w:val="9"/>
        </w:numPr>
        <w:tabs>
          <w:tab w:val="left" w:pos="284"/>
          <w:tab w:val="left" w:pos="567"/>
        </w:tabs>
        <w:spacing w:before="240" w:after="0"/>
        <w:ind w:left="284" w:hanging="284"/>
        <w:rPr>
          <w:rFonts w:cs="Arial"/>
          <w:b/>
          <w:color w:val="000000" w:themeColor="text1"/>
          <w:lang w:eastAsia="es-MX"/>
        </w:rPr>
      </w:pPr>
      <w:r w:rsidRPr="008762D1">
        <w:rPr>
          <w:rFonts w:cs="Arial"/>
          <w:b/>
          <w:color w:val="000000" w:themeColor="text1"/>
          <w:lang w:eastAsia="es-MX"/>
        </w:rPr>
        <w:lastRenderedPageBreak/>
        <w:t>CLÁUSULA DÉ</w:t>
      </w:r>
      <w:r w:rsidR="00D65E98" w:rsidRPr="008762D1">
        <w:rPr>
          <w:rFonts w:cs="Arial"/>
          <w:b/>
          <w:color w:val="000000" w:themeColor="text1"/>
          <w:lang w:eastAsia="es-MX"/>
        </w:rPr>
        <w:t>CIMO</w:t>
      </w:r>
      <w:r w:rsidRPr="008762D1">
        <w:rPr>
          <w:rFonts w:cs="Arial"/>
          <w:b/>
          <w:color w:val="000000" w:themeColor="text1"/>
          <w:lang w:eastAsia="es-MX"/>
        </w:rPr>
        <w:t>PRIMERA</w:t>
      </w:r>
      <w:r w:rsidR="00D65E98" w:rsidRPr="008762D1">
        <w:rPr>
          <w:rFonts w:cs="Arial"/>
          <w:b/>
          <w:color w:val="000000" w:themeColor="text1"/>
          <w:lang w:eastAsia="es-MX"/>
        </w:rPr>
        <w:t>. CONDUCTAS FRAUDULENTAS.</w:t>
      </w:r>
    </w:p>
    <w:p w14:paraId="4EAAE7F0" w14:textId="77777777" w:rsidR="000F0B9F" w:rsidRPr="008762D1" w:rsidRDefault="00681E5D"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L</w:t>
      </w:r>
      <w:r w:rsidR="001061A2" w:rsidRPr="008762D1">
        <w:rPr>
          <w:rFonts w:ascii="ITC Avant Garde" w:hAnsi="ITC Avant Garde"/>
          <w:color w:val="000000" w:themeColor="text1"/>
        </w:rPr>
        <w:t xml:space="preserve">a Cláusula </w:t>
      </w:r>
      <w:r w:rsidR="00517AC4" w:rsidRPr="008762D1">
        <w:rPr>
          <w:rFonts w:ascii="ITC Avant Garde" w:hAnsi="ITC Avant Garde"/>
          <w:color w:val="000000" w:themeColor="text1"/>
        </w:rPr>
        <w:t>Decimoprimera</w:t>
      </w:r>
      <w:r w:rsidR="001061A2" w:rsidRPr="008762D1">
        <w:rPr>
          <w:rFonts w:ascii="ITC Avant Garde" w:hAnsi="ITC Avant Garde"/>
          <w:color w:val="000000" w:themeColor="text1"/>
        </w:rPr>
        <w:t xml:space="preserve"> de la Propuesta de CMI </w:t>
      </w:r>
      <w:r w:rsidRPr="008762D1">
        <w:rPr>
          <w:rFonts w:ascii="ITC Avant Garde" w:hAnsi="ITC Avant Garde"/>
          <w:color w:val="000000" w:themeColor="text1"/>
        </w:rPr>
        <w:t>versa sobre la obligación de las partes de realizar actividades para la detección y prevención del uso fraudulento de sus redes que convengan de tiempo en tiempo, así como el procedimiento que deberá seguirse a efecto de resolver y notificar a la otra parte del uso fraudulento de sus redes públicas de telecomunicaciones, misma que además ya se</w:t>
      </w:r>
      <w:r w:rsidR="00DC6663" w:rsidRPr="008762D1">
        <w:rPr>
          <w:rFonts w:ascii="ITC Avant Garde" w:hAnsi="ITC Avant Garde"/>
          <w:color w:val="000000" w:themeColor="text1"/>
        </w:rPr>
        <w:t xml:space="preserve"> había autorizado en el CMI 2017</w:t>
      </w:r>
      <w:r w:rsidRPr="008762D1">
        <w:rPr>
          <w:rFonts w:ascii="ITC Avant Garde" w:hAnsi="ITC Avant Garde"/>
          <w:color w:val="000000" w:themeColor="text1"/>
        </w:rPr>
        <w:t>. Asimismo, señala que las partes se obligan a no llevar a cabo, ningún acto u omisión con el objeto de evadir las obligaciones de pago, acuerdos técnicos u otras obligaciones establecidas bajo protesta en el convenio, lo cual es acorde con la regulación vigente en materia de manejo de tráfico público conmutado.</w:t>
      </w:r>
    </w:p>
    <w:p w14:paraId="069DF24B" w14:textId="77777777" w:rsidR="000F0B9F" w:rsidRPr="008762D1" w:rsidRDefault="00681E5D"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Es así que, el Instituto considera que la cláusula establece el procedimiento para resolver casos de uso indebido de las redes públicas de telecomunicaciones de las partes como lo son la prevención de tráfico irregular, fraude o morosidad, con lo cual se otorga certeza sobre la detección y notificación de dichas conductas entre las partes, adicionalmente se señala que la</w:t>
      </w:r>
      <w:r w:rsidRPr="008762D1">
        <w:rPr>
          <w:color w:val="000000" w:themeColor="text1"/>
        </w:rPr>
        <w:t xml:space="preserve"> cláusula es común en los convenios de interconexión entre los distintos concesionarios de la industria y registrados ante el Instituto, que permite que los servicios de telecomunicaciones se</w:t>
      </w:r>
      <w:r w:rsidR="004877A2" w:rsidRPr="008762D1">
        <w:rPr>
          <w:color w:val="000000" w:themeColor="text1"/>
        </w:rPr>
        <w:t xml:space="preserve"> presten dentro del marco legal, asimismo dicha Cláusula ya ha sido autorizada en el CMI 2017.</w:t>
      </w:r>
    </w:p>
    <w:p w14:paraId="5CD1553F" w14:textId="77777777" w:rsidR="000F0B9F" w:rsidRPr="008762D1" w:rsidRDefault="0062674C" w:rsidP="000F0B9F">
      <w:pPr>
        <w:pStyle w:val="IFT1"/>
        <w:numPr>
          <w:ilvl w:val="1"/>
          <w:numId w:val="9"/>
        </w:numPr>
        <w:tabs>
          <w:tab w:val="left" w:pos="284"/>
          <w:tab w:val="left" w:pos="567"/>
        </w:tabs>
        <w:spacing w:before="240" w:after="0"/>
        <w:ind w:left="284" w:hanging="284"/>
        <w:rPr>
          <w:rFonts w:cs="Arial"/>
          <w:b/>
          <w:color w:val="000000" w:themeColor="text1"/>
          <w:lang w:eastAsia="es-MX"/>
        </w:rPr>
      </w:pPr>
      <w:r w:rsidRPr="008762D1">
        <w:rPr>
          <w:rFonts w:cs="Arial"/>
          <w:b/>
          <w:color w:val="000000" w:themeColor="text1"/>
          <w:lang w:eastAsia="es-MX"/>
        </w:rPr>
        <w:t xml:space="preserve">CLÁUSULA </w:t>
      </w:r>
      <w:r w:rsidR="002029E4" w:rsidRPr="008762D1">
        <w:rPr>
          <w:rFonts w:cs="Arial"/>
          <w:b/>
          <w:color w:val="000000" w:themeColor="text1"/>
          <w:lang w:eastAsia="es-MX"/>
        </w:rPr>
        <w:t>DECIMO</w:t>
      </w:r>
      <w:r w:rsidR="001061A2" w:rsidRPr="008762D1">
        <w:rPr>
          <w:rFonts w:cs="Arial"/>
          <w:b/>
          <w:color w:val="000000" w:themeColor="text1"/>
          <w:lang w:eastAsia="es-MX"/>
        </w:rPr>
        <w:t>SEGUNDA</w:t>
      </w:r>
      <w:r w:rsidRPr="008762D1">
        <w:rPr>
          <w:rFonts w:cs="Arial"/>
          <w:b/>
          <w:color w:val="000000" w:themeColor="text1"/>
          <w:lang w:eastAsia="es-MX"/>
        </w:rPr>
        <w:t xml:space="preserve">. </w:t>
      </w:r>
    </w:p>
    <w:p w14:paraId="1C1A650D" w14:textId="77777777" w:rsidR="000F0B9F" w:rsidRPr="008762D1" w:rsidRDefault="00174B1A" w:rsidP="000F0B9F">
      <w:pPr>
        <w:pStyle w:val="IFT1"/>
        <w:numPr>
          <w:ilvl w:val="2"/>
          <w:numId w:val="9"/>
        </w:numPr>
        <w:tabs>
          <w:tab w:val="left" w:pos="284"/>
          <w:tab w:val="left" w:pos="567"/>
        </w:tabs>
        <w:spacing w:before="240" w:after="0"/>
        <w:ind w:left="709" w:hanging="709"/>
        <w:rPr>
          <w:rFonts w:cs="Arial"/>
          <w:b/>
          <w:color w:val="000000" w:themeColor="text1"/>
          <w:lang w:eastAsia="es-MX"/>
        </w:rPr>
      </w:pPr>
      <w:r w:rsidRPr="008762D1">
        <w:rPr>
          <w:rFonts w:cs="Arial"/>
          <w:b/>
          <w:color w:val="000000" w:themeColor="text1"/>
          <w:lang w:eastAsia="es-MX"/>
        </w:rPr>
        <w:t>TRATO NO DISCRIMINATORIO.</w:t>
      </w:r>
    </w:p>
    <w:p w14:paraId="1A1F6DC1" w14:textId="65C044C0" w:rsidR="00897644" w:rsidRPr="008762D1" w:rsidRDefault="0089764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Modificación del Instituto</w:t>
      </w:r>
    </w:p>
    <w:p w14:paraId="04F609F6" w14:textId="77777777" w:rsidR="000F0B9F" w:rsidRPr="008762D1" w:rsidRDefault="00174D9E"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En el numeral 1</w:t>
      </w:r>
      <w:r w:rsidR="00A0092B" w:rsidRPr="008762D1">
        <w:rPr>
          <w:rFonts w:cs="Arial"/>
          <w:color w:val="000000" w:themeColor="text1"/>
          <w:lang w:eastAsia="es-MX"/>
        </w:rPr>
        <w:t>2</w:t>
      </w:r>
      <w:r w:rsidR="00897644" w:rsidRPr="008762D1">
        <w:rPr>
          <w:rFonts w:cs="Arial"/>
          <w:color w:val="000000" w:themeColor="text1"/>
          <w:lang w:eastAsia="es-MX"/>
        </w:rPr>
        <w:t>.1 Trato no Discriminato</w:t>
      </w:r>
      <w:r w:rsidRPr="008762D1">
        <w:rPr>
          <w:rFonts w:cs="Arial"/>
          <w:color w:val="000000" w:themeColor="text1"/>
          <w:lang w:eastAsia="es-MX"/>
        </w:rPr>
        <w:t>rio de la Cláusula Decimosegunda</w:t>
      </w:r>
      <w:r w:rsidR="00897644" w:rsidRPr="008762D1">
        <w:rPr>
          <w:rFonts w:cs="Arial"/>
          <w:color w:val="000000" w:themeColor="text1"/>
          <w:lang w:eastAsia="es-MX"/>
        </w:rPr>
        <w:t xml:space="preserve"> de la Propuesta de CMI se estableció que en caso de que Telmex otorgara términos o condiciones distintas a otros concesionarios debía hacer extensivos dichos términos o condiciones al CS a partir de la fecha que éste lo solicitara. </w:t>
      </w:r>
    </w:p>
    <w:p w14:paraId="183852F4" w14:textId="77777777" w:rsidR="000F0B9F" w:rsidRPr="008762D1" w:rsidRDefault="00897644" w:rsidP="000F0B9F">
      <w:pPr>
        <w:pStyle w:val="IFT1"/>
        <w:tabs>
          <w:tab w:val="left" w:pos="426"/>
        </w:tabs>
        <w:autoSpaceDE w:val="0"/>
        <w:autoSpaceDN w:val="0"/>
        <w:adjustRightInd w:val="0"/>
        <w:spacing w:before="240" w:after="0"/>
        <w:ind w:right="49"/>
        <w:rPr>
          <w:color w:val="000000" w:themeColor="text1"/>
        </w:rPr>
      </w:pPr>
      <w:r w:rsidRPr="008762D1">
        <w:rPr>
          <w:rFonts w:cs="Arial"/>
          <w:color w:val="000000" w:themeColor="text1"/>
          <w:lang w:eastAsia="es-MX"/>
        </w:rPr>
        <w:t xml:space="preserve">De lo cual, </w:t>
      </w:r>
      <w:r w:rsidRPr="008762D1">
        <w:rPr>
          <w:color w:val="000000" w:themeColor="text1"/>
        </w:rPr>
        <w:t xml:space="preserve">a efecto de que en términos del artículo 125 de la LFTR se otorguen de manera no discriminatoria servicios que el AEP ya proporciona a algún otro concesionario </w:t>
      </w:r>
      <w:r w:rsidR="009301DD" w:rsidRPr="008762D1">
        <w:rPr>
          <w:color w:val="000000" w:themeColor="text1"/>
        </w:rPr>
        <w:t>se</w:t>
      </w:r>
      <w:r w:rsidRPr="008762D1">
        <w:rPr>
          <w:color w:val="000000" w:themeColor="text1"/>
        </w:rPr>
        <w:t xml:space="preserve"> modificó el numeral 1</w:t>
      </w:r>
      <w:r w:rsidR="00A0092B" w:rsidRPr="008762D1">
        <w:rPr>
          <w:color w:val="000000" w:themeColor="text1"/>
        </w:rPr>
        <w:t>2</w:t>
      </w:r>
      <w:r w:rsidRPr="008762D1">
        <w:rPr>
          <w:color w:val="000000" w:themeColor="text1"/>
        </w:rPr>
        <w:t>.1 precisando que se deberán hacer extensivos los términos, condiciones y tarifas</w:t>
      </w:r>
      <w:r w:rsidR="002D60C1" w:rsidRPr="008762D1">
        <w:rPr>
          <w:color w:val="000000" w:themeColor="text1"/>
        </w:rPr>
        <w:t xml:space="preserve"> de los mismos</w:t>
      </w:r>
      <w:r w:rsidRPr="008762D1">
        <w:rPr>
          <w:color w:val="000000" w:themeColor="text1"/>
        </w:rPr>
        <w:t>.</w:t>
      </w:r>
    </w:p>
    <w:p w14:paraId="15A5C5FC" w14:textId="4758411C" w:rsidR="000F0B9F" w:rsidRPr="008762D1" w:rsidRDefault="00BA0E8D" w:rsidP="000F0B9F">
      <w:pPr>
        <w:tabs>
          <w:tab w:val="left" w:pos="7938"/>
        </w:tabs>
        <w:spacing w:before="240" w:after="0" w:line="276" w:lineRule="auto"/>
        <w:ind w:left="567" w:right="567"/>
        <w:jc w:val="both"/>
        <w:rPr>
          <w:rFonts w:ascii="ITC Avant Garde" w:hAnsi="ITC Avant Garde"/>
          <w:color w:val="000000" w:themeColor="text1"/>
          <w:sz w:val="18"/>
          <w:szCs w:val="18"/>
          <w:lang w:val="es-ES_tradnl"/>
        </w:rPr>
      </w:pPr>
      <w:r w:rsidRPr="008762D1">
        <w:rPr>
          <w:rFonts w:ascii="ITC Avant Garde" w:hAnsi="ITC Avant Garde"/>
          <w:color w:val="000000" w:themeColor="text1"/>
          <w:sz w:val="18"/>
          <w:szCs w:val="18"/>
          <w:lang w:val="es-ES_tradnl"/>
        </w:rPr>
        <w:t>“</w:t>
      </w:r>
      <w:r w:rsidR="009301DD" w:rsidRPr="008762D1">
        <w:rPr>
          <w:rFonts w:ascii="ITC Avant Garde" w:hAnsi="ITC Avant Garde"/>
          <w:b/>
          <w:color w:val="000000" w:themeColor="text1"/>
          <w:sz w:val="18"/>
          <w:szCs w:val="18"/>
          <w:lang w:val="es-ES_tradnl"/>
        </w:rPr>
        <w:t>12.1. TRATO NO DISCRIMINATORIO</w:t>
      </w:r>
      <w:r w:rsidR="009301DD" w:rsidRPr="008762D1">
        <w:rPr>
          <w:rFonts w:ascii="ITC Avant Garde" w:hAnsi="ITC Avant Garde"/>
          <w:color w:val="000000" w:themeColor="text1"/>
          <w:sz w:val="18"/>
          <w:szCs w:val="18"/>
          <w:lang w:val="es-ES_tradnl"/>
        </w:rPr>
        <w:t xml:space="preserve">. </w:t>
      </w:r>
      <w:r w:rsidR="009301DD" w:rsidRPr="008762D1">
        <w:rPr>
          <w:rFonts w:ascii="ITC Avant Garde" w:hAnsi="ITC Avant Garde"/>
          <w:strike/>
          <w:color w:val="000000" w:themeColor="text1"/>
          <w:sz w:val="18"/>
          <w:szCs w:val="18"/>
          <w:lang w:val="es-ES_tradnl"/>
        </w:rPr>
        <w:t>Las Partes</w:t>
      </w:r>
      <w:r w:rsidR="009301DD" w:rsidRPr="008762D1">
        <w:rPr>
          <w:rFonts w:ascii="ITC Avant Garde" w:hAnsi="ITC Avant Garde"/>
          <w:color w:val="000000" w:themeColor="text1"/>
          <w:sz w:val="18"/>
          <w:szCs w:val="18"/>
          <w:lang w:val="es-ES_tradnl"/>
        </w:rPr>
        <w:t xml:space="preserve"> </w:t>
      </w:r>
      <w:r w:rsidR="009301DD" w:rsidRPr="008762D1">
        <w:rPr>
          <w:rFonts w:ascii="ITC Avant Garde" w:hAnsi="ITC Avant Garde"/>
          <w:color w:val="000000" w:themeColor="text1"/>
          <w:sz w:val="18"/>
          <w:szCs w:val="18"/>
          <w:u w:val="single"/>
          <w:lang w:val="es-ES_tradnl"/>
        </w:rPr>
        <w:t>Telmex y</w:t>
      </w:r>
      <w:r w:rsidR="009301DD" w:rsidRPr="00A04FEF">
        <w:rPr>
          <w:rFonts w:ascii="ITC Avant Garde" w:hAnsi="ITC Avant Garde"/>
          <w:color w:val="000000" w:themeColor="text1"/>
          <w:sz w:val="18"/>
          <w:szCs w:val="18"/>
          <w:u w:val="single"/>
          <w:lang w:val="es-ES_tradnl"/>
        </w:rPr>
        <w:t xml:space="preserve"> </w:t>
      </w:r>
      <w:r w:rsidR="00A04FEF" w:rsidRPr="00A04FEF">
        <w:rPr>
          <w:rFonts w:cs="Arial"/>
          <w:b/>
          <w:color w:val="0000FF"/>
          <w:u w:val="single"/>
        </w:rPr>
        <w:t>(…)</w:t>
      </w:r>
      <w:r w:rsidR="009301DD" w:rsidRPr="008762D1">
        <w:rPr>
          <w:rFonts w:ascii="ITC Avant Garde" w:hAnsi="ITC Avant Garde"/>
          <w:color w:val="000000" w:themeColor="text1"/>
          <w:sz w:val="18"/>
          <w:szCs w:val="18"/>
          <w:u w:val="single"/>
          <w:lang w:val="es-ES_tradnl"/>
        </w:rPr>
        <w:t xml:space="preserve"> </w:t>
      </w:r>
      <w:r w:rsidR="009301DD" w:rsidRPr="008762D1">
        <w:rPr>
          <w:rFonts w:ascii="ITC Avant Garde" w:hAnsi="ITC Avant Garde"/>
          <w:color w:val="000000" w:themeColor="text1"/>
          <w:sz w:val="18"/>
          <w:szCs w:val="18"/>
          <w:lang w:val="es-ES_tradnl"/>
        </w:rPr>
        <w:t>convienen en que de</w:t>
      </w:r>
      <w:r w:rsidR="009301DD" w:rsidRPr="008762D1">
        <w:rPr>
          <w:rFonts w:ascii="ITC Avant Garde" w:hAnsi="ITC Avant Garde"/>
          <w:color w:val="000000" w:themeColor="text1"/>
          <w:sz w:val="18"/>
          <w:szCs w:val="18"/>
          <w:u w:val="single"/>
          <w:lang w:val="es-ES_tradnl"/>
        </w:rPr>
        <w:t>berán</w:t>
      </w:r>
      <w:r w:rsidR="009301DD" w:rsidRPr="008762D1">
        <w:rPr>
          <w:rFonts w:ascii="ITC Avant Garde" w:hAnsi="ITC Avant Garde"/>
          <w:color w:val="000000" w:themeColor="text1"/>
          <w:sz w:val="18"/>
          <w:szCs w:val="18"/>
          <w:lang w:val="es-ES_tradnl"/>
        </w:rPr>
        <w:t xml:space="preserve"> </w:t>
      </w:r>
      <w:r w:rsidR="009301DD" w:rsidRPr="008762D1">
        <w:rPr>
          <w:rFonts w:ascii="ITC Avant Garde" w:hAnsi="ITC Avant Garde"/>
          <w:strike/>
          <w:color w:val="000000" w:themeColor="text1"/>
          <w:sz w:val="18"/>
          <w:szCs w:val="18"/>
          <w:lang w:val="es-ES_tradnl"/>
        </w:rPr>
        <w:t>conformidad con lo dispuesto por la Ley y sujeto a lo establecido en sus respectivos títulos de concesión, las mismas deberán</w:t>
      </w:r>
      <w:r w:rsidR="009301DD" w:rsidRPr="008762D1">
        <w:rPr>
          <w:rFonts w:ascii="ITC Avant Garde" w:hAnsi="ITC Avant Garde"/>
          <w:color w:val="000000" w:themeColor="text1"/>
          <w:sz w:val="18"/>
          <w:szCs w:val="18"/>
          <w:lang w:val="es-ES_tradnl"/>
        </w:rPr>
        <w:t xml:space="preserve"> actuar sobre bases de Trato No Discriminatorio </w:t>
      </w:r>
      <w:r w:rsidR="009301DD" w:rsidRPr="008762D1">
        <w:rPr>
          <w:rFonts w:ascii="ITC Avant Garde" w:hAnsi="ITC Avant Garde"/>
          <w:color w:val="000000" w:themeColor="text1"/>
          <w:sz w:val="18"/>
          <w:szCs w:val="18"/>
          <w:lang w:val="es-ES_tradnl"/>
        </w:rPr>
        <w:lastRenderedPageBreak/>
        <w:t xml:space="preserve">respecto de los Servicios de Interconexión que provean a otros concesionarios </w:t>
      </w:r>
      <w:r w:rsidR="009301DD" w:rsidRPr="008762D1">
        <w:rPr>
          <w:rFonts w:ascii="ITC Avant Garde" w:hAnsi="ITC Avant Garde"/>
          <w:strike/>
          <w:color w:val="000000" w:themeColor="text1"/>
          <w:sz w:val="18"/>
          <w:szCs w:val="18"/>
          <w:lang w:val="es-ES_tradnl"/>
        </w:rPr>
        <w:t>con capacidades y funciones similares</w:t>
      </w:r>
      <w:r w:rsidR="009301DD" w:rsidRPr="008762D1">
        <w:rPr>
          <w:rFonts w:ascii="ITC Avant Garde" w:hAnsi="ITC Avant Garde"/>
          <w:color w:val="000000" w:themeColor="text1"/>
          <w:sz w:val="18"/>
          <w:szCs w:val="18"/>
          <w:lang w:val="es-ES_tradnl"/>
        </w:rPr>
        <w:t>.</w:t>
      </w:r>
    </w:p>
    <w:p w14:paraId="562CE548" w14:textId="77777777" w:rsidR="000F0B9F" w:rsidRPr="008762D1" w:rsidRDefault="009301DD" w:rsidP="000F0B9F">
      <w:pPr>
        <w:tabs>
          <w:tab w:val="left" w:pos="7938"/>
        </w:tabs>
        <w:spacing w:before="240" w:after="0" w:line="276" w:lineRule="auto"/>
        <w:ind w:left="567" w:right="567"/>
        <w:jc w:val="both"/>
        <w:rPr>
          <w:rFonts w:ascii="ITC Avant Garde" w:hAnsi="ITC Avant Garde"/>
          <w:strike/>
          <w:color w:val="000000" w:themeColor="text1"/>
          <w:sz w:val="18"/>
          <w:szCs w:val="18"/>
          <w:lang w:val="es-ES_tradnl"/>
        </w:rPr>
      </w:pPr>
      <w:r w:rsidRPr="008762D1">
        <w:rPr>
          <w:rFonts w:ascii="ITC Avant Garde" w:hAnsi="ITC Avant Garde"/>
          <w:color w:val="000000" w:themeColor="text1"/>
          <w:sz w:val="18"/>
          <w:szCs w:val="18"/>
          <w:u w:val="single"/>
          <w:lang w:val="es-ES_tradnl"/>
        </w:rPr>
        <w:t>En</w:t>
      </w:r>
      <w:r w:rsidRPr="008762D1">
        <w:rPr>
          <w:rFonts w:ascii="ITC Avant Garde" w:hAnsi="ITC Avant Garde"/>
          <w:color w:val="000000" w:themeColor="text1"/>
          <w:sz w:val="18"/>
          <w:szCs w:val="18"/>
          <w:lang w:val="es-ES_tradnl"/>
        </w:rPr>
        <w:t xml:space="preserve"> caso de </w:t>
      </w:r>
      <w:r w:rsidRPr="008762D1">
        <w:rPr>
          <w:rFonts w:ascii="ITC Avant Garde" w:hAnsi="ITC Avant Garde"/>
          <w:color w:val="000000" w:themeColor="text1"/>
          <w:sz w:val="18"/>
          <w:szCs w:val="18"/>
          <w:u w:val="single"/>
          <w:lang w:val="es-ES_tradnl"/>
        </w:rPr>
        <w:t>Telmex haya otorgado u otorgue, ya sea por acuerdo o por resolución del Instituto</w:t>
      </w:r>
      <w:r w:rsidRPr="008762D1">
        <w:rPr>
          <w:rFonts w:ascii="ITC Avant Garde" w:hAnsi="ITC Avant Garde"/>
          <w:color w:val="000000" w:themeColor="text1"/>
          <w:sz w:val="18"/>
          <w:szCs w:val="18"/>
          <w:lang w:val="es-ES_tradnl"/>
        </w:rPr>
        <w:t xml:space="preserve"> </w:t>
      </w:r>
      <w:r w:rsidRPr="008762D1">
        <w:rPr>
          <w:rFonts w:ascii="ITC Avant Garde" w:hAnsi="ITC Avant Garde"/>
          <w:strike/>
          <w:color w:val="000000" w:themeColor="text1"/>
          <w:sz w:val="18"/>
          <w:szCs w:val="18"/>
          <w:lang w:val="es-ES_tradnl"/>
        </w:rPr>
        <w:t>que alguna de las partes solicite la aplicación de</w:t>
      </w:r>
      <w:r w:rsidRPr="008762D1">
        <w:rPr>
          <w:rFonts w:ascii="ITC Avant Garde" w:hAnsi="ITC Avant Garde"/>
          <w:color w:val="000000" w:themeColor="text1"/>
          <w:sz w:val="18"/>
          <w:szCs w:val="18"/>
          <w:lang w:val="es-ES_tradnl"/>
        </w:rPr>
        <w:t xml:space="preserve"> términos,</w:t>
      </w:r>
      <w:r w:rsidRPr="008762D1">
        <w:rPr>
          <w:rFonts w:ascii="ITC Avant Garde" w:hAnsi="ITC Avant Garde"/>
          <w:strike/>
          <w:color w:val="000000" w:themeColor="text1"/>
          <w:sz w:val="18"/>
          <w:szCs w:val="18"/>
          <w:lang w:val="es-ES_tradnl"/>
        </w:rPr>
        <w:t xml:space="preserve"> y</w:t>
      </w:r>
      <w:r w:rsidRPr="008762D1">
        <w:rPr>
          <w:rFonts w:ascii="ITC Avant Garde" w:hAnsi="ITC Avant Garde"/>
          <w:color w:val="000000" w:themeColor="text1"/>
          <w:sz w:val="18"/>
          <w:szCs w:val="18"/>
          <w:lang w:val="es-ES_tradnl"/>
        </w:rPr>
        <w:t xml:space="preserve"> condiciones </w:t>
      </w:r>
      <w:r w:rsidRPr="008762D1">
        <w:rPr>
          <w:rFonts w:ascii="ITC Avant Garde" w:hAnsi="ITC Avant Garde"/>
          <w:color w:val="000000" w:themeColor="text1"/>
          <w:sz w:val="18"/>
          <w:szCs w:val="18"/>
          <w:u w:val="single"/>
          <w:lang w:val="es-ES_tradnl"/>
        </w:rPr>
        <w:t xml:space="preserve">o tarifas distintas </w:t>
      </w:r>
      <w:r w:rsidRPr="008762D1">
        <w:rPr>
          <w:rFonts w:ascii="ITC Avant Garde" w:hAnsi="ITC Avant Garde"/>
          <w:strike/>
          <w:color w:val="000000" w:themeColor="text1"/>
          <w:sz w:val="18"/>
          <w:szCs w:val="18"/>
          <w:lang w:val="es-ES_tradnl"/>
        </w:rPr>
        <w:t>que la otra haya otorgado</w:t>
      </w:r>
      <w:r w:rsidRPr="008762D1">
        <w:rPr>
          <w:rFonts w:ascii="ITC Avant Garde" w:hAnsi="ITC Avant Garde"/>
          <w:color w:val="000000" w:themeColor="text1"/>
          <w:sz w:val="18"/>
          <w:szCs w:val="18"/>
          <w:lang w:val="es-ES_tradnl"/>
        </w:rPr>
        <w:t xml:space="preserve"> a otro</w:t>
      </w:r>
      <w:r w:rsidRPr="008762D1">
        <w:rPr>
          <w:rFonts w:ascii="ITC Avant Garde" w:hAnsi="ITC Avant Garde"/>
          <w:color w:val="000000" w:themeColor="text1"/>
          <w:sz w:val="18"/>
          <w:szCs w:val="18"/>
          <w:u w:val="single"/>
          <w:lang w:val="es-ES_tradnl"/>
        </w:rPr>
        <w:t>s</w:t>
      </w:r>
      <w:r w:rsidRPr="008762D1">
        <w:rPr>
          <w:rFonts w:ascii="ITC Avant Garde" w:hAnsi="ITC Avant Garde"/>
          <w:color w:val="000000" w:themeColor="text1"/>
          <w:sz w:val="18"/>
          <w:szCs w:val="18"/>
          <w:lang w:val="es-ES_tradnl"/>
        </w:rPr>
        <w:t xml:space="preserve"> Concesionario</w:t>
      </w:r>
      <w:r w:rsidRPr="008762D1">
        <w:rPr>
          <w:rFonts w:ascii="ITC Avant Garde" w:hAnsi="ITC Avant Garde"/>
          <w:color w:val="000000" w:themeColor="text1"/>
          <w:sz w:val="18"/>
          <w:szCs w:val="18"/>
          <w:u w:val="single"/>
          <w:lang w:val="es-ES_tradnl"/>
        </w:rPr>
        <w:t>s</w:t>
      </w:r>
      <w:r w:rsidR="001663D5" w:rsidRPr="008762D1">
        <w:rPr>
          <w:rFonts w:ascii="ITC Avant Garde" w:hAnsi="ITC Avant Garde"/>
          <w:color w:val="000000" w:themeColor="text1"/>
          <w:sz w:val="18"/>
          <w:szCs w:val="18"/>
          <w:u w:val="single"/>
          <w:lang w:val="es-ES_tradnl"/>
        </w:rPr>
        <w:t>,</w:t>
      </w:r>
      <w:r w:rsidRPr="008762D1">
        <w:rPr>
          <w:rFonts w:ascii="ITC Avant Garde" w:hAnsi="ITC Avant Garde"/>
          <w:color w:val="000000" w:themeColor="text1"/>
          <w:sz w:val="18"/>
          <w:szCs w:val="18"/>
          <w:lang w:val="es-ES_tradnl"/>
        </w:rPr>
        <w:t xml:space="preserve"> </w:t>
      </w:r>
      <w:r w:rsidRPr="008762D1">
        <w:rPr>
          <w:rFonts w:ascii="ITC Avant Garde" w:hAnsi="ITC Avant Garde"/>
          <w:color w:val="000000" w:themeColor="text1"/>
          <w:sz w:val="18"/>
          <w:szCs w:val="18"/>
          <w:u w:val="single"/>
          <w:lang w:val="es-ES_tradnl"/>
        </w:rPr>
        <w:t xml:space="preserve">a sus propias operaciones, subsidiarias, filiales o empresas </w:t>
      </w:r>
      <w:r w:rsidRPr="008762D1">
        <w:rPr>
          <w:rFonts w:ascii="ITC Avant Garde" w:hAnsi="ITC Avant Garde"/>
          <w:strike/>
          <w:color w:val="000000" w:themeColor="text1"/>
          <w:sz w:val="18"/>
          <w:szCs w:val="18"/>
          <w:lang w:val="es-ES_tradnl"/>
        </w:rPr>
        <w:t>en un Convenio de Interconexión vigente, o bien hayan sido determinados por el Instituto en términos de la Ley, deberá formalizar el convenio modificatorio</w:t>
      </w:r>
      <w:r w:rsidRPr="008762D1">
        <w:rPr>
          <w:rFonts w:ascii="ITC Avant Garde" w:hAnsi="ITC Avant Garde"/>
          <w:color w:val="000000" w:themeColor="text1"/>
          <w:sz w:val="18"/>
          <w:szCs w:val="18"/>
          <w:lang w:val="es-ES_tradnl"/>
        </w:rPr>
        <w:t xml:space="preserve"> que </w:t>
      </w:r>
      <w:r w:rsidRPr="008762D1">
        <w:rPr>
          <w:rFonts w:ascii="ITC Avant Garde" w:hAnsi="ITC Avant Garde"/>
          <w:color w:val="000000" w:themeColor="text1"/>
          <w:sz w:val="18"/>
          <w:szCs w:val="18"/>
          <w:u w:val="single"/>
          <w:lang w:val="es-ES_tradnl"/>
        </w:rPr>
        <w:t xml:space="preserve">pertenezcan al mismo grupo de interés económico </w:t>
      </w:r>
      <w:r w:rsidRPr="008762D1">
        <w:rPr>
          <w:rFonts w:ascii="ITC Avant Garde" w:hAnsi="ITC Avant Garde"/>
          <w:color w:val="000000" w:themeColor="text1"/>
          <w:sz w:val="18"/>
          <w:szCs w:val="18"/>
          <w:lang w:val="es-ES_tradnl"/>
        </w:rPr>
        <w:t xml:space="preserve">respecto de servicios de interconexión deberá </w:t>
      </w:r>
      <w:r w:rsidRPr="008762D1">
        <w:rPr>
          <w:rFonts w:ascii="ITC Avant Garde" w:hAnsi="ITC Avant Garde"/>
          <w:color w:val="000000" w:themeColor="text1"/>
          <w:sz w:val="18"/>
          <w:szCs w:val="18"/>
          <w:u w:val="single"/>
          <w:lang w:val="es-ES_tradnl"/>
        </w:rPr>
        <w:t xml:space="preserve">hacer extensivos los mismos términos y condiciones al concesionario, en términos del artículo 125 de la Ley a partir de la fecha en que se lo soliciten. A petición </w:t>
      </w:r>
      <w:r w:rsidRPr="008762D1">
        <w:rPr>
          <w:rFonts w:ascii="ITC Avant Garde" w:hAnsi="ITC Avant Garde"/>
          <w:color w:val="000000" w:themeColor="text1"/>
          <w:sz w:val="18"/>
          <w:szCs w:val="18"/>
          <w:lang w:val="es-ES_tradnl"/>
        </w:rPr>
        <w:t xml:space="preserve">del concesionario, </w:t>
      </w:r>
      <w:r w:rsidRPr="008762D1">
        <w:rPr>
          <w:rFonts w:ascii="ITC Avant Garde" w:hAnsi="ITC Avant Garde"/>
          <w:color w:val="000000" w:themeColor="text1"/>
          <w:sz w:val="18"/>
          <w:szCs w:val="18"/>
          <w:u w:val="single"/>
          <w:lang w:val="es-ES_tradnl"/>
        </w:rPr>
        <w:t>podrán celebrar el convenio o la modificación correspondiente</w:t>
      </w:r>
      <w:r w:rsidRPr="008762D1">
        <w:rPr>
          <w:rFonts w:ascii="ITC Avant Garde" w:hAnsi="ITC Avant Garde"/>
          <w:color w:val="000000" w:themeColor="text1"/>
          <w:sz w:val="18"/>
          <w:szCs w:val="18"/>
          <w:lang w:val="es-ES_tradnl"/>
        </w:rPr>
        <w:t xml:space="preserve">, en un plazo no mayor a 20 (veinte) días hábiles contados a partir de la fecha </w:t>
      </w:r>
      <w:r w:rsidRPr="008762D1">
        <w:rPr>
          <w:rFonts w:ascii="ITC Avant Garde" w:hAnsi="ITC Avant Garde"/>
          <w:color w:val="000000" w:themeColor="text1"/>
          <w:sz w:val="18"/>
          <w:szCs w:val="18"/>
          <w:u w:val="single"/>
          <w:lang w:val="es-ES_tradnl"/>
        </w:rPr>
        <w:t xml:space="preserve">de solicitud. </w:t>
      </w:r>
      <w:r w:rsidRPr="008762D1">
        <w:rPr>
          <w:rFonts w:ascii="ITC Avant Garde" w:hAnsi="ITC Avant Garde"/>
          <w:strike/>
          <w:color w:val="000000" w:themeColor="text1"/>
          <w:sz w:val="18"/>
          <w:szCs w:val="18"/>
          <w:lang w:val="es-ES_tradnl"/>
        </w:rPr>
        <w:t>fleje los nuevos términos y condiciones en un plazo no mayor a 20 (veinte) días hábiles contados a partir de la fecha en que se haya solicitado, con independencia de la posibilidad que tienen los concesionarios de solicitar la intervención del Instituto en caso de existir términos y condiciones no convenidas entre las partes.</w:t>
      </w:r>
    </w:p>
    <w:p w14:paraId="212BEB34" w14:textId="77777777" w:rsidR="000F0B9F" w:rsidRPr="008762D1" w:rsidRDefault="009301DD" w:rsidP="000F0B9F">
      <w:pPr>
        <w:tabs>
          <w:tab w:val="left" w:pos="7938"/>
        </w:tabs>
        <w:spacing w:before="240" w:after="0" w:line="276" w:lineRule="auto"/>
        <w:ind w:left="567" w:right="567"/>
        <w:jc w:val="both"/>
        <w:rPr>
          <w:rFonts w:ascii="ITC Avant Garde" w:hAnsi="ITC Avant Garde"/>
          <w:strike/>
          <w:color w:val="000000" w:themeColor="text1"/>
          <w:sz w:val="18"/>
          <w:szCs w:val="18"/>
          <w:lang w:val="es-ES_tradnl"/>
        </w:rPr>
      </w:pPr>
      <w:r w:rsidRPr="008762D1">
        <w:rPr>
          <w:rFonts w:ascii="ITC Avant Garde" w:hAnsi="ITC Avant Garde"/>
          <w:strike/>
          <w:color w:val="000000" w:themeColor="text1"/>
          <w:sz w:val="18"/>
          <w:szCs w:val="18"/>
          <w:lang w:val="es-ES_tradnl"/>
        </w:rPr>
        <w:t>Ninguna de las Partes estará obligada a otorgar términos y condiciones otorgados a otro Concesionario en caso de que la otra Parte se niegue a suscribir el convenio modificatorio correspondiente en idénticos términos con el concesionario al que se le hayan otorgado los nuevos términos y condiciones. Telmex no podrá otorgar descuentos por volumen en ningún Servicio de Interconexión.</w:t>
      </w:r>
    </w:p>
    <w:p w14:paraId="4C09D07D" w14:textId="77777777" w:rsidR="000F0B9F" w:rsidRPr="008762D1" w:rsidRDefault="0047675E"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53B36786" w14:textId="2CEAF01A" w:rsidR="00897644" w:rsidRPr="008762D1" w:rsidRDefault="0089764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48B55121" w14:textId="77777777" w:rsidR="000F0B9F" w:rsidRPr="008762D1" w:rsidRDefault="00BA0E8D"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 presentó el numeral 12.1 Trato no Discriminatorio de la Cláusula Decimosegunda en los términos señalados en el Acuerdo.</w:t>
      </w:r>
    </w:p>
    <w:p w14:paraId="172A6C83" w14:textId="2F902A58" w:rsidR="00897644" w:rsidRPr="008762D1" w:rsidRDefault="0089764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751D43A3" w14:textId="77777777" w:rsidR="000F0B9F" w:rsidRPr="008762D1" w:rsidRDefault="009B1FDB"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Al respecto se señala que el numeral 12.1 Trato no Discriminatorio cumple con lo establecido en el artículo 125 de la LFTR</w:t>
      </w:r>
      <w:r w:rsidR="00476223" w:rsidRPr="008762D1">
        <w:rPr>
          <w:rFonts w:ascii="ITC Avant Garde" w:hAnsi="ITC Avant Garde" w:cs="Arial"/>
          <w:color w:val="000000" w:themeColor="text1"/>
          <w:lang w:eastAsia="es-MX"/>
        </w:rPr>
        <w:t>, y toda vez que Telmex no realizó manifestaciones sobre la modificación realizada por el Instituto,</w:t>
      </w:r>
      <w:r w:rsidRPr="008762D1">
        <w:rPr>
          <w:rFonts w:ascii="ITC Avant Garde" w:hAnsi="ITC Avant Garde" w:cs="Arial"/>
          <w:color w:val="000000" w:themeColor="text1"/>
          <w:lang w:eastAsia="es-MX"/>
        </w:rPr>
        <w:t xml:space="preserve"> se considera procedente su </w:t>
      </w:r>
      <w:r w:rsidR="00B22C11" w:rsidRPr="008762D1">
        <w:rPr>
          <w:rFonts w:ascii="ITC Avant Garde" w:hAnsi="ITC Avant Garde" w:cs="Arial"/>
          <w:color w:val="000000" w:themeColor="text1"/>
          <w:lang w:eastAsia="es-MX"/>
        </w:rPr>
        <w:t>aprobación</w:t>
      </w:r>
      <w:r w:rsidRPr="008762D1">
        <w:rPr>
          <w:rFonts w:ascii="ITC Avant Garde" w:hAnsi="ITC Avant Garde" w:cs="Arial"/>
          <w:color w:val="000000" w:themeColor="text1"/>
          <w:lang w:eastAsia="es-MX"/>
        </w:rPr>
        <w:t>.</w:t>
      </w:r>
    </w:p>
    <w:p w14:paraId="0DD336F9" w14:textId="77777777" w:rsidR="000F0B9F" w:rsidRPr="008762D1" w:rsidRDefault="004C7C65" w:rsidP="000F0B9F">
      <w:pPr>
        <w:pStyle w:val="IFT1"/>
        <w:numPr>
          <w:ilvl w:val="1"/>
          <w:numId w:val="9"/>
        </w:numPr>
        <w:tabs>
          <w:tab w:val="left" w:pos="284"/>
          <w:tab w:val="left" w:pos="567"/>
        </w:tabs>
        <w:spacing w:before="240" w:after="0"/>
        <w:ind w:left="284" w:hanging="284"/>
        <w:rPr>
          <w:rFonts w:cs="Arial"/>
          <w:b/>
          <w:color w:val="000000" w:themeColor="text1"/>
          <w:lang w:eastAsia="es-MX"/>
        </w:rPr>
      </w:pPr>
      <w:r w:rsidRPr="008762D1">
        <w:rPr>
          <w:rFonts w:cs="Arial"/>
          <w:b/>
          <w:color w:val="000000" w:themeColor="text1"/>
          <w:lang w:eastAsia="es-MX"/>
        </w:rPr>
        <w:t xml:space="preserve">CLÁUSULA </w:t>
      </w:r>
      <w:r w:rsidR="00DA150D" w:rsidRPr="008762D1">
        <w:rPr>
          <w:rFonts w:cs="Arial"/>
          <w:b/>
          <w:color w:val="000000" w:themeColor="text1"/>
          <w:lang w:eastAsia="es-MX"/>
        </w:rPr>
        <w:t>DECIMOTERCERA</w:t>
      </w:r>
      <w:r w:rsidRPr="008762D1">
        <w:rPr>
          <w:rFonts w:cs="Arial"/>
          <w:b/>
          <w:color w:val="000000" w:themeColor="text1"/>
          <w:lang w:eastAsia="es-MX"/>
        </w:rPr>
        <w:t>.</w:t>
      </w:r>
    </w:p>
    <w:p w14:paraId="7AB5342F" w14:textId="77777777" w:rsidR="000F0B9F" w:rsidRPr="008762D1" w:rsidRDefault="00E36DFB" w:rsidP="000F0B9F">
      <w:pPr>
        <w:pStyle w:val="IFT1"/>
        <w:numPr>
          <w:ilvl w:val="2"/>
          <w:numId w:val="9"/>
        </w:numPr>
        <w:tabs>
          <w:tab w:val="left" w:pos="284"/>
          <w:tab w:val="left" w:pos="567"/>
        </w:tabs>
        <w:spacing w:before="240" w:after="0"/>
        <w:ind w:left="709" w:hanging="709"/>
        <w:rPr>
          <w:rFonts w:cs="Arial"/>
          <w:b/>
          <w:color w:val="000000" w:themeColor="text1"/>
          <w:lang w:eastAsia="es-MX"/>
        </w:rPr>
      </w:pPr>
      <w:r w:rsidRPr="008762D1">
        <w:rPr>
          <w:rFonts w:cs="Arial"/>
          <w:b/>
          <w:color w:val="000000" w:themeColor="text1"/>
          <w:lang w:eastAsia="es-MX"/>
        </w:rPr>
        <w:t>ACCESO IRRESTRICTO.</w:t>
      </w:r>
    </w:p>
    <w:p w14:paraId="661A562F" w14:textId="7AF095F1" w:rsidR="00FB29DF" w:rsidRPr="008762D1" w:rsidRDefault="00FB29DF"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Modificación del Instituto</w:t>
      </w:r>
    </w:p>
    <w:p w14:paraId="57B3BCA4" w14:textId="77777777" w:rsidR="000F0B9F" w:rsidRPr="008762D1" w:rsidRDefault="002543C9"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Del análisis de la C</w:t>
      </w:r>
      <w:r w:rsidR="00174D9E" w:rsidRPr="008762D1">
        <w:rPr>
          <w:rFonts w:ascii="ITC Avant Garde" w:eastAsia="Times New Roman" w:hAnsi="ITC Avant Garde" w:cs="Arial"/>
          <w:iCs/>
          <w:color w:val="000000" w:themeColor="text1"/>
        </w:rPr>
        <w:t>láusula Decimotercera se observó</w:t>
      </w:r>
      <w:r w:rsidRPr="008762D1">
        <w:rPr>
          <w:rFonts w:ascii="ITC Avant Garde" w:eastAsia="Times New Roman" w:hAnsi="ITC Avant Garde" w:cs="Arial"/>
          <w:iCs/>
          <w:color w:val="000000" w:themeColor="text1"/>
        </w:rPr>
        <w:t xml:space="preserve"> que los términos establecidos no</w:t>
      </w:r>
      <w:r w:rsidR="00174D9E" w:rsidRPr="008762D1">
        <w:rPr>
          <w:rFonts w:ascii="ITC Avant Garde" w:eastAsia="Times New Roman" w:hAnsi="ITC Avant Garde" w:cs="Arial"/>
          <w:iCs/>
          <w:color w:val="000000" w:themeColor="text1"/>
        </w:rPr>
        <w:t xml:space="preserve"> se apegaban</w:t>
      </w:r>
      <w:r w:rsidRPr="008762D1">
        <w:rPr>
          <w:rFonts w:ascii="ITC Avant Garde" w:eastAsia="Times New Roman" w:hAnsi="ITC Avant Garde" w:cs="Arial"/>
          <w:iCs/>
          <w:color w:val="000000" w:themeColor="text1"/>
        </w:rPr>
        <w:t xml:space="preserve">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lastRenderedPageBreak/>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174D9E"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w:t>
      </w:r>
      <w:r w:rsidR="00174D9E"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59749C88" w14:textId="77777777" w:rsidR="000F0B9F" w:rsidRPr="008762D1" w:rsidRDefault="00174D9E"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De lo anterior, de acuerdo al marco regulatorio vigente</w:t>
      </w:r>
      <w:r w:rsidR="00883F86" w:rsidRPr="008762D1">
        <w:rPr>
          <w:rFonts w:ascii="ITC Avant Garde" w:hAnsi="ITC Avant Garde"/>
          <w:color w:val="000000" w:themeColor="text1"/>
        </w:rPr>
        <w:t xml:space="preserve"> se modif</w:t>
      </w:r>
      <w:r w:rsidRPr="008762D1">
        <w:rPr>
          <w:rFonts w:ascii="ITC Avant Garde" w:hAnsi="ITC Avant Garde"/>
          <w:color w:val="000000" w:themeColor="text1"/>
        </w:rPr>
        <w:t>icó</w:t>
      </w:r>
      <w:r w:rsidR="00883F86" w:rsidRPr="008762D1">
        <w:rPr>
          <w:rFonts w:ascii="ITC Avant Garde" w:hAnsi="ITC Avant Garde"/>
          <w:color w:val="000000" w:themeColor="text1"/>
        </w:rPr>
        <w:t xml:space="preserve"> </w:t>
      </w:r>
      <w:r w:rsidR="00FB29DF" w:rsidRPr="008762D1">
        <w:rPr>
          <w:rFonts w:ascii="ITC Avant Garde" w:hAnsi="ITC Avant Garde"/>
          <w:color w:val="000000" w:themeColor="text1"/>
        </w:rPr>
        <w:t>el numeral 13.1 del CMI a fin de precisar que el acceso irrestricto se realizará de conformidad con las disposiciones legales y regulatorias vigentes,</w:t>
      </w:r>
      <w:r w:rsidR="00B4667E" w:rsidRPr="008762D1">
        <w:rPr>
          <w:rFonts w:ascii="ITC Avant Garde" w:hAnsi="ITC Avant Garde"/>
          <w:color w:val="000000" w:themeColor="text1"/>
        </w:rPr>
        <w:t xml:space="preserve"> en el siguiente sentido:</w:t>
      </w:r>
      <w:r w:rsidR="00FB29DF" w:rsidRPr="008762D1">
        <w:rPr>
          <w:rFonts w:ascii="ITC Avant Garde" w:hAnsi="ITC Avant Garde"/>
          <w:color w:val="000000" w:themeColor="text1"/>
        </w:rPr>
        <w:t xml:space="preserve"> </w:t>
      </w:r>
    </w:p>
    <w:p w14:paraId="1DC78080" w14:textId="77777777" w:rsidR="000F0B9F" w:rsidRPr="008762D1" w:rsidRDefault="00414F96" w:rsidP="000F0B9F">
      <w:pPr>
        <w:tabs>
          <w:tab w:val="left" w:pos="7938"/>
        </w:tabs>
        <w:spacing w:before="240" w:after="0" w:line="276" w:lineRule="auto"/>
        <w:ind w:left="567" w:right="567"/>
        <w:jc w:val="both"/>
        <w:rPr>
          <w:rFonts w:ascii="ITC Avant Garde" w:hAnsi="ITC Avant Garde"/>
          <w:color w:val="000000" w:themeColor="text1"/>
          <w:sz w:val="18"/>
          <w:szCs w:val="18"/>
          <w:lang w:val="es-ES_tradnl"/>
        </w:rPr>
      </w:pPr>
      <w:r w:rsidRPr="008762D1">
        <w:rPr>
          <w:rFonts w:ascii="ITC Avant Garde" w:hAnsi="ITC Avant Garde"/>
          <w:color w:val="000000" w:themeColor="text1"/>
          <w:sz w:val="18"/>
          <w:szCs w:val="18"/>
          <w:lang w:val="es-ES_tradnl"/>
        </w:rPr>
        <w:t>“</w:t>
      </w:r>
      <w:r w:rsidRPr="008762D1">
        <w:rPr>
          <w:rFonts w:ascii="ITC Avant Garde" w:hAnsi="ITC Avant Garde"/>
          <w:b/>
          <w:color w:val="000000" w:themeColor="text1"/>
          <w:sz w:val="18"/>
          <w:szCs w:val="18"/>
          <w:lang w:val="es-ES_tradnl"/>
        </w:rPr>
        <w:t>13.1 ACCESO IRRESTRICTO.</w:t>
      </w:r>
      <w:r w:rsidRPr="008762D1">
        <w:rPr>
          <w:rFonts w:ascii="ITC Avant Garde" w:hAnsi="ITC Avant Garde"/>
          <w:color w:val="000000" w:themeColor="text1"/>
          <w:sz w:val="18"/>
          <w:szCs w:val="18"/>
          <w:lang w:val="es-ES_tradnl"/>
        </w:rPr>
        <w:t xml:space="preserve"> Telmex acuerda permitir a sus Usuarios, el acceso a cualquier contenido</w:t>
      </w:r>
      <w:r w:rsidR="00B4667E" w:rsidRPr="008762D1">
        <w:rPr>
          <w:rFonts w:ascii="ITC Avant Garde" w:hAnsi="ITC Avant Garde"/>
          <w:strike/>
          <w:color w:val="000000" w:themeColor="text1"/>
          <w:sz w:val="18"/>
          <w:szCs w:val="18"/>
          <w:lang w:val="es-ES_tradnl"/>
        </w:rPr>
        <w:t xml:space="preserve"> de servicios de voz provistos a través de la red pública de tráfico conmutado</w:t>
      </w:r>
      <w:r w:rsidRPr="008762D1">
        <w:rPr>
          <w:rFonts w:ascii="ITC Avant Garde" w:hAnsi="ITC Avant Garde"/>
          <w:color w:val="000000" w:themeColor="text1"/>
          <w:sz w:val="18"/>
          <w:szCs w:val="18"/>
          <w:lang w:val="es-ES_tradnl"/>
        </w:rPr>
        <w:t xml:space="preserve">, servicio o aplicación que se ofrezca por </w:t>
      </w:r>
      <w:r w:rsidRPr="008762D1">
        <w:rPr>
          <w:rFonts w:ascii="ITC Avant Garde" w:hAnsi="ITC Avant Garde"/>
          <w:color w:val="000000" w:themeColor="text1"/>
          <w:sz w:val="18"/>
          <w:szCs w:val="18"/>
          <w:u w:val="single"/>
          <w:lang w:val="es-ES_tradnl"/>
        </w:rPr>
        <w:t xml:space="preserve">cualquier </w:t>
      </w:r>
      <w:r w:rsidR="00B4667E" w:rsidRPr="008762D1">
        <w:rPr>
          <w:rFonts w:ascii="ITC Avant Garde" w:hAnsi="ITC Avant Garde"/>
          <w:strike/>
          <w:color w:val="000000" w:themeColor="text1"/>
          <w:sz w:val="18"/>
          <w:szCs w:val="18"/>
          <w:u w:val="single"/>
          <w:lang w:val="es-ES_tradnl"/>
        </w:rPr>
        <w:t xml:space="preserve">concesionario de redes públicas de </w:t>
      </w:r>
      <w:proofErr w:type="spellStart"/>
      <w:r w:rsidR="00B4667E" w:rsidRPr="008762D1">
        <w:rPr>
          <w:rFonts w:ascii="ITC Avant Garde" w:hAnsi="ITC Avant Garde"/>
          <w:strike/>
          <w:color w:val="000000" w:themeColor="text1"/>
          <w:sz w:val="18"/>
          <w:szCs w:val="18"/>
          <w:u w:val="single"/>
          <w:lang w:val="es-ES_tradnl"/>
        </w:rPr>
        <w:t>telecomunicaciones</w:t>
      </w:r>
      <w:proofErr w:type="gramStart"/>
      <w:r w:rsidR="00B4667E" w:rsidRPr="008762D1">
        <w:rPr>
          <w:rFonts w:ascii="ITC Avant Garde" w:hAnsi="ITC Avant Garde"/>
          <w:strike/>
          <w:color w:val="000000" w:themeColor="text1"/>
          <w:sz w:val="18"/>
          <w:szCs w:val="18"/>
          <w:u w:val="single"/>
          <w:lang w:val="es-ES_tradnl"/>
        </w:rPr>
        <w:t>,</w:t>
      </w:r>
      <w:r w:rsidRPr="008762D1">
        <w:rPr>
          <w:rFonts w:ascii="ITC Avant Garde" w:hAnsi="ITC Avant Garde"/>
          <w:color w:val="000000" w:themeColor="text1"/>
          <w:sz w:val="18"/>
          <w:szCs w:val="18"/>
          <w:u w:val="single"/>
          <w:lang w:val="es-ES_tradnl"/>
        </w:rPr>
        <w:t>prestador</w:t>
      </w:r>
      <w:proofErr w:type="spellEnd"/>
      <w:proofErr w:type="gramEnd"/>
      <w:r w:rsidRPr="008762D1">
        <w:rPr>
          <w:rFonts w:ascii="ITC Avant Garde" w:hAnsi="ITC Avant Garde"/>
          <w:color w:val="000000" w:themeColor="text1"/>
          <w:sz w:val="18"/>
          <w:szCs w:val="18"/>
          <w:u w:val="single"/>
          <w:lang w:val="es-ES_tradnl"/>
        </w:rPr>
        <w:t xml:space="preserve"> de servicios legalmente autorizado</w:t>
      </w:r>
      <w:r w:rsidRPr="008762D1">
        <w:rPr>
          <w:rFonts w:ascii="ITC Avant Garde" w:hAnsi="ITC Avant Garde"/>
          <w:color w:val="000000" w:themeColor="text1"/>
          <w:sz w:val="18"/>
          <w:szCs w:val="18"/>
          <w:lang w:val="es-ES_tradnl"/>
        </w:rPr>
        <w:t>, sin cargo adicional alguno por el uso bajo la capacidad contratada, así como para conectar cualquier dispositivo que se tenga debidamente homologado.</w:t>
      </w:r>
    </w:p>
    <w:p w14:paraId="04E85AEA" w14:textId="69A5EED0" w:rsidR="00414F96" w:rsidRPr="008762D1" w:rsidRDefault="00414F96" w:rsidP="000F0B9F">
      <w:pPr>
        <w:tabs>
          <w:tab w:val="left" w:pos="7938"/>
        </w:tabs>
        <w:spacing w:before="240" w:after="0" w:line="276" w:lineRule="auto"/>
        <w:ind w:left="567" w:right="567"/>
        <w:jc w:val="both"/>
        <w:rPr>
          <w:rFonts w:ascii="ITC Avant Garde" w:hAnsi="ITC Avant Garde"/>
          <w:color w:val="000000" w:themeColor="text1"/>
          <w:sz w:val="18"/>
          <w:szCs w:val="18"/>
          <w:lang w:val="es-ES_tradnl"/>
        </w:rPr>
      </w:pPr>
      <w:r w:rsidRPr="008762D1">
        <w:rPr>
          <w:rFonts w:ascii="ITC Avant Garde" w:hAnsi="ITC Avant Garde"/>
          <w:color w:val="000000" w:themeColor="text1"/>
          <w:sz w:val="18"/>
          <w:szCs w:val="18"/>
          <w:lang w:val="es-ES_tradnl"/>
        </w:rPr>
        <w:t>En ningún caso Telmex podrá obligar al pago de elementos o funcionalidades de la Red que no se requieran para la Interconexión o para la prestación de los Servicios de Interconexión.”</w:t>
      </w:r>
    </w:p>
    <w:p w14:paraId="5D1C9C4F" w14:textId="77777777" w:rsidR="000F0B9F" w:rsidRPr="008762D1" w:rsidRDefault="00414F96"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677486AA" w14:textId="0999674D" w:rsidR="00174D9E" w:rsidRPr="008762D1" w:rsidRDefault="00174D9E"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3DEFB3E1" w14:textId="77777777" w:rsidR="000F0B9F" w:rsidRPr="008762D1" w:rsidRDefault="00414F96"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 presentó el numeral 13.1 Acceso Irrestricto de la Cláusula Decimotercera en los términos señalados en el Acuerdo.</w:t>
      </w:r>
    </w:p>
    <w:p w14:paraId="563E363A" w14:textId="2DA56A67" w:rsidR="00174D9E" w:rsidRPr="008762D1" w:rsidRDefault="00174D9E"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A97CFD0" w14:textId="77777777" w:rsidR="000F0B9F" w:rsidRPr="008762D1" w:rsidRDefault="00EF6408" w:rsidP="000F0B9F">
      <w:pPr>
        <w:autoSpaceDE w:val="0"/>
        <w:autoSpaceDN w:val="0"/>
        <w:adjustRightInd w:val="0"/>
        <w:spacing w:before="240" w:after="0" w:line="276" w:lineRule="auto"/>
        <w:jc w:val="both"/>
        <w:rPr>
          <w:rFonts w:ascii="ITC Avant Garde" w:hAnsi="ITC Avant Garde" w:cs="Arial"/>
          <w:color w:val="000000" w:themeColor="text1"/>
          <w:lang w:eastAsia="es-MX"/>
        </w:rPr>
      </w:pPr>
      <w:r w:rsidRPr="008762D1">
        <w:rPr>
          <w:rFonts w:ascii="ITC Avant Garde" w:hAnsi="ITC Avant Garde"/>
          <w:color w:val="000000" w:themeColor="text1"/>
        </w:rPr>
        <w:t>El numeral 13.1 Acceso Irrestricto de la Cláusula Decimotercera es acorde</w:t>
      </w:r>
      <w:r w:rsidR="00B4667E" w:rsidRPr="008762D1">
        <w:rPr>
          <w:rFonts w:ascii="ITC Avant Garde" w:hAnsi="ITC Avant Garde"/>
          <w:color w:val="000000" w:themeColor="text1"/>
        </w:rPr>
        <w:t xml:space="preserve"> al marco regulatorio vigente </w:t>
      </w:r>
      <w:r w:rsidRPr="008762D1">
        <w:rPr>
          <w:rFonts w:ascii="ITC Avant Garde" w:hAnsi="ITC Avant Garde"/>
          <w:color w:val="000000" w:themeColor="text1"/>
        </w:rPr>
        <w:t xml:space="preserve">al señalar que </w:t>
      </w:r>
      <w:r w:rsidR="00B4667E" w:rsidRPr="008762D1">
        <w:rPr>
          <w:rFonts w:ascii="ITC Avant Garde" w:hAnsi="ITC Avant Garde"/>
          <w:color w:val="000000" w:themeColor="text1"/>
        </w:rPr>
        <w:t>el acceso irrestricto se realizará de conformidad con las disposiciones legales y regulatorias vigentes, lo cual asegura que los usuarios podrán hacer uso de los servicios, contenidos o aplicaciones que proporcione cualquier concesionario sin restringir a sus usuarios a la utilización de los servicios propor</w:t>
      </w:r>
      <w:r w:rsidR="00DB2F42" w:rsidRPr="008762D1">
        <w:rPr>
          <w:rFonts w:ascii="ITC Avant Garde" w:hAnsi="ITC Avant Garde"/>
          <w:color w:val="000000" w:themeColor="text1"/>
        </w:rPr>
        <w:t>cionados únicamente por Telmex,</w:t>
      </w:r>
      <w:r w:rsidR="00B75E4D" w:rsidRPr="008762D1">
        <w:rPr>
          <w:rFonts w:ascii="ITC Avant Garde" w:hAnsi="ITC Avant Garde" w:cs="Arial"/>
          <w:color w:val="000000" w:themeColor="text1"/>
          <w:lang w:eastAsia="es-MX"/>
        </w:rPr>
        <w:t xml:space="preserve"> por lo cual y toda vez que Telmex no realizó manifestaciones sobre la modificación realizada por el Instituto, se considera procedente su aprobación.</w:t>
      </w:r>
    </w:p>
    <w:p w14:paraId="511A5274" w14:textId="77777777" w:rsidR="000F0B9F" w:rsidRPr="008762D1" w:rsidRDefault="00620B95" w:rsidP="000F0B9F">
      <w:pPr>
        <w:pStyle w:val="IFT1"/>
        <w:numPr>
          <w:ilvl w:val="2"/>
          <w:numId w:val="9"/>
        </w:numPr>
        <w:tabs>
          <w:tab w:val="left" w:pos="284"/>
          <w:tab w:val="left" w:pos="567"/>
        </w:tabs>
        <w:spacing w:before="240" w:after="0"/>
        <w:ind w:left="709" w:hanging="709"/>
        <w:rPr>
          <w:rFonts w:cs="Arial"/>
          <w:b/>
          <w:color w:val="000000" w:themeColor="text1"/>
        </w:rPr>
      </w:pPr>
      <w:r w:rsidRPr="008762D1">
        <w:rPr>
          <w:rFonts w:cs="Arial"/>
          <w:b/>
          <w:color w:val="000000" w:themeColor="text1"/>
        </w:rPr>
        <w:t>COMPARTICIÓN DE INFRAESTRUCTURA.</w:t>
      </w:r>
    </w:p>
    <w:p w14:paraId="4341398C" w14:textId="7D0C049F" w:rsidR="00620B95" w:rsidRPr="008762D1" w:rsidRDefault="00620B9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Modificación del Instituto</w:t>
      </w:r>
    </w:p>
    <w:p w14:paraId="3D66315F" w14:textId="77777777" w:rsidR="000F0B9F" w:rsidRPr="008762D1" w:rsidRDefault="00174D9E"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lastRenderedPageBreak/>
        <w:t xml:space="preserve">Del análisis de la Cláusula Decimotercera se observó que los términos establecidos no se apegaban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Pr="008762D1">
        <w:rPr>
          <w:rFonts w:ascii="ITC Avant Garde" w:hAnsi="ITC Avant Garde" w:cs="Arial"/>
          <w:bCs/>
          <w:color w:val="000000" w:themeColor="text1"/>
          <w:lang w:eastAsia="es-ES"/>
        </w:rPr>
        <w:t xml:space="preserve">P/IFT/EXT/241116/40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regulación; el Instituto no consideró procedente que en una revisión posterior del convenio marco de interconexión se plantearan términos y condiciones menos favorables que los ya autorizados por el Instituto.</w:t>
      </w:r>
    </w:p>
    <w:p w14:paraId="2F6547F4" w14:textId="77777777" w:rsidR="000F0B9F" w:rsidRPr="008762D1" w:rsidRDefault="00174D9E" w:rsidP="000F0B9F">
      <w:pPr>
        <w:pStyle w:val="IFT1"/>
        <w:tabs>
          <w:tab w:val="left" w:pos="284"/>
          <w:tab w:val="left" w:pos="567"/>
        </w:tabs>
        <w:spacing w:before="240" w:after="0"/>
        <w:rPr>
          <w:rFonts w:cs="Arial"/>
          <w:color w:val="000000" w:themeColor="text1"/>
        </w:rPr>
      </w:pPr>
      <w:r w:rsidRPr="008762D1">
        <w:rPr>
          <w:rFonts w:cs="Arial"/>
          <w:color w:val="000000" w:themeColor="text1"/>
          <w:lang w:eastAsia="es-MX"/>
        </w:rPr>
        <w:t>Es así que, r</w:t>
      </w:r>
      <w:r w:rsidR="00620B95" w:rsidRPr="008762D1">
        <w:rPr>
          <w:rFonts w:cs="Arial"/>
          <w:color w:val="000000" w:themeColor="text1"/>
          <w:lang w:eastAsia="es-MX"/>
        </w:rPr>
        <w:t xml:space="preserve">especto al uso compartido de infraestructura </w:t>
      </w:r>
      <w:r w:rsidRPr="008762D1">
        <w:rPr>
          <w:rFonts w:cs="Arial"/>
          <w:color w:val="000000" w:themeColor="text1"/>
        </w:rPr>
        <w:t>el Instituto consideró</w:t>
      </w:r>
      <w:r w:rsidR="00620B95" w:rsidRPr="008762D1">
        <w:rPr>
          <w:rFonts w:cs="Arial"/>
          <w:color w:val="000000" w:themeColor="text1"/>
        </w:rPr>
        <w:t xml:space="preserve"> que además de la </w:t>
      </w:r>
      <w:proofErr w:type="spellStart"/>
      <w:r w:rsidR="00620B95" w:rsidRPr="008762D1">
        <w:rPr>
          <w:rFonts w:cs="Arial"/>
          <w:color w:val="000000" w:themeColor="text1"/>
        </w:rPr>
        <w:t>coubicación</w:t>
      </w:r>
      <w:proofErr w:type="spellEnd"/>
      <w:r w:rsidR="00620B95" w:rsidRPr="008762D1">
        <w:rPr>
          <w:rFonts w:cs="Arial"/>
          <w:color w:val="000000" w:themeColor="text1"/>
        </w:rPr>
        <w:t xml:space="preserve">, pueden existir otros servicios que pueden ser compartidos entre dos o más concesionarios, por lo que a efecto </w:t>
      </w:r>
      <w:r w:rsidRPr="008762D1">
        <w:rPr>
          <w:rFonts w:cs="Arial"/>
          <w:color w:val="000000" w:themeColor="text1"/>
        </w:rPr>
        <w:t xml:space="preserve">de ser más inclusivo </w:t>
      </w:r>
      <w:r w:rsidR="00FE2842" w:rsidRPr="008762D1">
        <w:rPr>
          <w:rFonts w:cs="Arial"/>
          <w:color w:val="000000" w:themeColor="text1"/>
        </w:rPr>
        <w:t xml:space="preserve">el Instituto </w:t>
      </w:r>
      <w:r w:rsidRPr="008762D1">
        <w:rPr>
          <w:rFonts w:cs="Arial"/>
          <w:color w:val="000000" w:themeColor="text1"/>
        </w:rPr>
        <w:t>modificó</w:t>
      </w:r>
      <w:r w:rsidR="00D50F18" w:rsidRPr="008762D1">
        <w:rPr>
          <w:rFonts w:cs="Arial"/>
          <w:color w:val="000000" w:themeColor="text1"/>
        </w:rPr>
        <w:t xml:space="preserve"> el numeral 13.2, en el siguiente sentido:</w:t>
      </w:r>
    </w:p>
    <w:p w14:paraId="4787B84D" w14:textId="77777777" w:rsidR="000F0B9F" w:rsidRPr="008762D1" w:rsidRDefault="00BA0E8D" w:rsidP="000F0B9F">
      <w:pPr>
        <w:tabs>
          <w:tab w:val="left" w:pos="7938"/>
        </w:tabs>
        <w:spacing w:before="240" w:after="0" w:line="276" w:lineRule="auto"/>
        <w:ind w:left="567" w:right="567"/>
        <w:jc w:val="both"/>
        <w:rPr>
          <w:rFonts w:ascii="ITC Avant Garde" w:hAnsi="ITC Avant Garde"/>
          <w:color w:val="000000" w:themeColor="text1"/>
          <w:sz w:val="18"/>
          <w:szCs w:val="18"/>
          <w:lang w:val="es-ES_tradnl"/>
        </w:rPr>
      </w:pPr>
      <w:r w:rsidRPr="008762D1">
        <w:rPr>
          <w:rFonts w:ascii="ITC Avant Garde" w:hAnsi="ITC Avant Garde"/>
          <w:color w:val="000000" w:themeColor="text1"/>
          <w:sz w:val="18"/>
          <w:szCs w:val="18"/>
          <w:lang w:val="es-ES_tradnl"/>
        </w:rPr>
        <w:t>“</w:t>
      </w:r>
      <w:r w:rsidRPr="008762D1">
        <w:rPr>
          <w:rFonts w:ascii="ITC Avant Garde" w:hAnsi="ITC Avant Garde"/>
          <w:b/>
          <w:color w:val="000000" w:themeColor="text1"/>
          <w:sz w:val="18"/>
          <w:szCs w:val="18"/>
          <w:lang w:val="es-ES_tradnl"/>
        </w:rPr>
        <w:t xml:space="preserve">13.2 USO COMPARTIDO DE INFRAESTRUCTURA. </w:t>
      </w:r>
      <w:r w:rsidRPr="008762D1">
        <w:rPr>
          <w:rFonts w:ascii="ITC Avant Garde" w:hAnsi="ITC Avant Garde"/>
          <w:color w:val="000000" w:themeColor="text1"/>
          <w:sz w:val="18"/>
          <w:szCs w:val="18"/>
          <w:lang w:val="es-ES_tradnl"/>
        </w:rPr>
        <w:t>Las partes acuerdan que Telmex se encuentra obligado a permitir el Uso Compartido de Infraestructura</w:t>
      </w:r>
      <w:r w:rsidR="001663D5" w:rsidRPr="008762D1">
        <w:rPr>
          <w:rFonts w:ascii="ITC Avant Garde" w:hAnsi="ITC Avant Garde"/>
          <w:color w:val="000000" w:themeColor="text1"/>
          <w:sz w:val="18"/>
          <w:szCs w:val="18"/>
          <w:lang w:val="es-ES_tradnl"/>
        </w:rPr>
        <w:t>, para fines de interconexión</w:t>
      </w:r>
      <w:r w:rsidR="00753EE3" w:rsidRPr="008762D1">
        <w:rPr>
          <w:rFonts w:ascii="ITC Avant Garde" w:hAnsi="ITC Avant Garde"/>
          <w:color w:val="000000" w:themeColor="text1"/>
          <w:sz w:val="18"/>
          <w:szCs w:val="18"/>
          <w:lang w:val="es-ES_tradnl"/>
        </w:rPr>
        <w:t xml:space="preserve"> </w:t>
      </w:r>
      <w:r w:rsidR="00753EE3" w:rsidRPr="008762D1">
        <w:rPr>
          <w:rFonts w:ascii="ITC Avant Garde" w:hAnsi="ITC Avant Garde"/>
          <w:strike/>
          <w:color w:val="000000" w:themeColor="text1"/>
          <w:sz w:val="18"/>
          <w:szCs w:val="18"/>
          <w:lang w:val="es-ES_tradnl"/>
        </w:rPr>
        <w:t>bajo los términos establecidos en el presente Convenio</w:t>
      </w:r>
      <w:r w:rsidRPr="008762D1">
        <w:rPr>
          <w:rFonts w:ascii="ITC Avant Garde" w:hAnsi="ITC Avant Garde"/>
          <w:color w:val="000000" w:themeColor="text1"/>
          <w:sz w:val="18"/>
          <w:szCs w:val="18"/>
          <w:lang w:val="es-ES_tradnl"/>
        </w:rPr>
        <w:t>.”</w:t>
      </w:r>
    </w:p>
    <w:p w14:paraId="560A1950" w14:textId="5B863AB9" w:rsidR="00620B95" w:rsidRPr="008762D1" w:rsidRDefault="00620B9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38D34D32" w14:textId="77777777" w:rsidR="000F0B9F" w:rsidRPr="008762D1" w:rsidRDefault="00BA0E8D"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el numeral 13.2 </w:t>
      </w:r>
      <w:r w:rsidR="00DB2F42" w:rsidRPr="008762D1">
        <w:rPr>
          <w:rFonts w:cs="Arial"/>
          <w:color w:val="000000" w:themeColor="text1"/>
          <w:lang w:eastAsia="es-MX"/>
        </w:rPr>
        <w:t>Uso Compartido de Infraestructura de la Cláusula Decimotercera</w:t>
      </w:r>
      <w:r w:rsidRPr="008762D1">
        <w:rPr>
          <w:rFonts w:cs="Arial"/>
          <w:color w:val="000000" w:themeColor="text1"/>
          <w:lang w:eastAsia="es-MX"/>
        </w:rPr>
        <w:t xml:space="preserve"> en los términos señalados en el Acuerdo.</w:t>
      </w:r>
    </w:p>
    <w:p w14:paraId="6D4AA08A" w14:textId="3CB64DCC" w:rsidR="00620B95" w:rsidRPr="008762D1" w:rsidRDefault="00620B9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8721755" w14:textId="77777777" w:rsidR="000F0B9F" w:rsidRPr="008762D1" w:rsidRDefault="0001386C" w:rsidP="000F0B9F">
      <w:pPr>
        <w:pStyle w:val="IFT1"/>
        <w:tabs>
          <w:tab w:val="left" w:pos="284"/>
          <w:tab w:val="left" w:pos="567"/>
        </w:tabs>
        <w:spacing w:before="240" w:after="0"/>
        <w:rPr>
          <w:rFonts w:cs="Arial"/>
          <w:color w:val="000000" w:themeColor="text1"/>
        </w:rPr>
      </w:pPr>
      <w:r w:rsidRPr="008762D1">
        <w:rPr>
          <w:rFonts w:cs="Arial"/>
          <w:iCs w:val="0"/>
          <w:color w:val="000000" w:themeColor="text1"/>
        </w:rPr>
        <w:t>El numeral 13.2 Uso Compartido de Infraestructura de la Cláusula Decimotercera considera la utilizaci</w:t>
      </w:r>
      <w:r w:rsidR="0090033D" w:rsidRPr="008762D1">
        <w:rPr>
          <w:rFonts w:cs="Arial"/>
          <w:iCs w:val="0"/>
          <w:color w:val="000000" w:themeColor="text1"/>
        </w:rPr>
        <w:t>ón de la infraestructura de Telmex para fines de interconexión sin estar limitada a los términos del CMI</w:t>
      </w:r>
      <w:r w:rsidR="00373631" w:rsidRPr="008762D1">
        <w:rPr>
          <w:rFonts w:cs="Arial"/>
          <w:iCs w:val="0"/>
          <w:color w:val="000000" w:themeColor="text1"/>
        </w:rPr>
        <w:t xml:space="preserve">. </w:t>
      </w:r>
      <w:r w:rsidR="0090033D" w:rsidRPr="008762D1">
        <w:rPr>
          <w:rFonts w:cs="Arial"/>
          <w:color w:val="000000" w:themeColor="text1"/>
        </w:rPr>
        <w:t xml:space="preserve">Lo cual se considera procedente ya que </w:t>
      </w:r>
      <w:r w:rsidR="00EF6408" w:rsidRPr="008762D1">
        <w:rPr>
          <w:rFonts w:cs="Arial"/>
          <w:color w:val="000000" w:themeColor="text1"/>
        </w:rPr>
        <w:t>además de</w:t>
      </w:r>
      <w:r w:rsidR="0090033D" w:rsidRPr="008762D1">
        <w:rPr>
          <w:rFonts w:cs="Arial"/>
          <w:color w:val="000000" w:themeColor="text1"/>
        </w:rPr>
        <w:t xml:space="preserve">l servicio de </w:t>
      </w:r>
      <w:proofErr w:type="spellStart"/>
      <w:r w:rsidR="00EF6408" w:rsidRPr="008762D1">
        <w:rPr>
          <w:rFonts w:cs="Arial"/>
          <w:color w:val="000000" w:themeColor="text1"/>
        </w:rPr>
        <w:t>coubicación</w:t>
      </w:r>
      <w:proofErr w:type="spellEnd"/>
      <w:r w:rsidR="00EF6408" w:rsidRPr="008762D1">
        <w:rPr>
          <w:rFonts w:cs="Arial"/>
          <w:color w:val="000000" w:themeColor="text1"/>
        </w:rPr>
        <w:t xml:space="preserve">, pueden existir otros servicios que pueden ser compartidos entre dos o más concesionarios como por ejemplo la escalerilla en el caso del servicio de Enlace de Transmisión entre </w:t>
      </w:r>
      <w:proofErr w:type="spellStart"/>
      <w:r w:rsidR="00EF6408" w:rsidRPr="008762D1">
        <w:rPr>
          <w:rFonts w:cs="Arial"/>
          <w:color w:val="000000" w:themeColor="text1"/>
        </w:rPr>
        <w:t>Coubicaciones</w:t>
      </w:r>
      <w:proofErr w:type="spellEnd"/>
      <w:r w:rsidR="0090033D" w:rsidRPr="008762D1">
        <w:rPr>
          <w:rFonts w:cs="Arial"/>
          <w:color w:val="000000" w:themeColor="text1"/>
        </w:rPr>
        <w:t xml:space="preserve">, </w:t>
      </w:r>
      <w:r w:rsidR="00373631" w:rsidRPr="008762D1">
        <w:rPr>
          <w:rFonts w:cs="Arial"/>
          <w:color w:val="000000" w:themeColor="text1"/>
        </w:rPr>
        <w:t xml:space="preserve">por lo cual </w:t>
      </w:r>
      <w:r w:rsidR="00373631" w:rsidRPr="008762D1">
        <w:rPr>
          <w:rFonts w:cs="Arial"/>
          <w:iCs w:val="0"/>
          <w:color w:val="000000" w:themeColor="text1"/>
        </w:rPr>
        <w:t xml:space="preserve">y toda vez que Telmex no realizó manifestaciones sobre la modificación realizada por el Instituto, se considera procedente su </w:t>
      </w:r>
      <w:r w:rsidR="00B22C11" w:rsidRPr="008762D1">
        <w:rPr>
          <w:rFonts w:cs="Arial"/>
          <w:iCs w:val="0"/>
          <w:color w:val="000000" w:themeColor="text1"/>
        </w:rPr>
        <w:t>aprobación</w:t>
      </w:r>
      <w:r w:rsidR="00373631" w:rsidRPr="008762D1">
        <w:rPr>
          <w:rFonts w:cs="Arial"/>
          <w:iCs w:val="0"/>
          <w:color w:val="000000" w:themeColor="text1"/>
        </w:rPr>
        <w:t>.</w:t>
      </w:r>
    </w:p>
    <w:p w14:paraId="3D3CCE1D" w14:textId="77777777" w:rsidR="000F0B9F" w:rsidRPr="008762D1" w:rsidRDefault="00645D16" w:rsidP="000F0B9F">
      <w:pPr>
        <w:pStyle w:val="IFT1"/>
        <w:numPr>
          <w:ilvl w:val="1"/>
          <w:numId w:val="9"/>
        </w:numPr>
        <w:tabs>
          <w:tab w:val="left" w:pos="284"/>
          <w:tab w:val="left" w:pos="567"/>
        </w:tabs>
        <w:spacing w:before="240" w:after="0"/>
        <w:ind w:left="284" w:hanging="284"/>
        <w:rPr>
          <w:rFonts w:cs="Arial"/>
          <w:b/>
          <w:color w:val="000000" w:themeColor="text1"/>
          <w:lang w:eastAsia="es-MX"/>
        </w:rPr>
      </w:pPr>
      <w:r w:rsidRPr="008762D1">
        <w:rPr>
          <w:rFonts w:cs="Arial"/>
          <w:b/>
          <w:color w:val="000000" w:themeColor="text1"/>
          <w:lang w:eastAsia="es-MX"/>
        </w:rPr>
        <w:t>CLÁUSULA DECIMOCUARTA. CAUSALES DE RESCISIÓN.</w:t>
      </w:r>
    </w:p>
    <w:p w14:paraId="280A6304" w14:textId="77777777" w:rsidR="000F0B9F" w:rsidRPr="008762D1" w:rsidRDefault="005422DE" w:rsidP="000F0B9F">
      <w:pPr>
        <w:pStyle w:val="IFT1"/>
        <w:numPr>
          <w:ilvl w:val="2"/>
          <w:numId w:val="9"/>
        </w:numPr>
        <w:tabs>
          <w:tab w:val="left" w:pos="284"/>
          <w:tab w:val="left" w:pos="567"/>
        </w:tabs>
        <w:spacing w:before="240" w:after="0"/>
        <w:ind w:left="142" w:hanging="142"/>
        <w:rPr>
          <w:rFonts w:cs="Arial"/>
          <w:b/>
          <w:color w:val="000000" w:themeColor="text1"/>
          <w:lang w:eastAsia="es-MX"/>
        </w:rPr>
      </w:pPr>
      <w:r w:rsidRPr="008762D1">
        <w:rPr>
          <w:rFonts w:cs="Arial"/>
          <w:b/>
          <w:color w:val="000000" w:themeColor="text1"/>
          <w:lang w:eastAsia="es-MX"/>
        </w:rPr>
        <w:t xml:space="preserve">RESCISIÓN </w:t>
      </w:r>
      <w:r w:rsidR="00ED0968" w:rsidRPr="008762D1">
        <w:rPr>
          <w:rFonts w:cs="Arial"/>
          <w:b/>
          <w:color w:val="000000" w:themeColor="text1"/>
          <w:lang w:eastAsia="es-MX"/>
        </w:rPr>
        <w:t>POR CONDUCTAS FRAUDULENTAS</w:t>
      </w:r>
    </w:p>
    <w:p w14:paraId="629CBB56" w14:textId="77777777" w:rsidR="000F0B9F" w:rsidRPr="008762D1" w:rsidRDefault="00B54A09" w:rsidP="000F0B9F">
      <w:pPr>
        <w:pStyle w:val="IFT1"/>
        <w:tabs>
          <w:tab w:val="left" w:pos="284"/>
          <w:tab w:val="left" w:pos="567"/>
        </w:tabs>
        <w:spacing w:before="240" w:after="0"/>
        <w:rPr>
          <w:color w:val="000000" w:themeColor="text1"/>
          <w:lang w:eastAsia="es-MX"/>
        </w:rPr>
      </w:pPr>
      <w:r w:rsidRPr="008762D1">
        <w:rPr>
          <w:color w:val="000000" w:themeColor="text1"/>
          <w:lang w:eastAsia="es-MX"/>
        </w:rPr>
        <w:t xml:space="preserve">En la Cláusula Decimocuarta de la Propuesta de CMI se señalan las causales de rescisión, </w:t>
      </w:r>
      <w:r w:rsidR="00CB45A0" w:rsidRPr="008762D1">
        <w:rPr>
          <w:color w:val="000000" w:themeColor="text1"/>
          <w:lang w:eastAsia="es-MX"/>
        </w:rPr>
        <w:t>dentro de las cuales se mencionan: la revocación de la concesión de algunas de las partes, rescisión por incumplimiento a obligaciones de pago, conductas fraudulentas o liquidación, insolvencia o quiebra.</w:t>
      </w:r>
    </w:p>
    <w:p w14:paraId="6EDD248E" w14:textId="77777777" w:rsidR="000F0B9F" w:rsidRPr="008762D1" w:rsidRDefault="00CB45A0"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lastRenderedPageBreak/>
        <w:t>Al respecto</w:t>
      </w:r>
      <w:r w:rsidR="00003789" w:rsidRPr="008762D1">
        <w:rPr>
          <w:rFonts w:cs="Arial"/>
          <w:color w:val="000000" w:themeColor="text1"/>
          <w:lang w:eastAsia="es-MX"/>
        </w:rPr>
        <w:t>, se considera procedente incl</w:t>
      </w:r>
      <w:r w:rsidR="00F06D6C" w:rsidRPr="008762D1">
        <w:rPr>
          <w:rFonts w:cs="Arial"/>
          <w:color w:val="000000" w:themeColor="text1"/>
          <w:lang w:eastAsia="es-MX"/>
        </w:rPr>
        <w:t xml:space="preserve">uir una cláusula que contenga las causales de rescisión </w:t>
      </w:r>
      <w:r w:rsidR="00003789" w:rsidRPr="008762D1">
        <w:rPr>
          <w:rFonts w:cs="Arial"/>
          <w:color w:val="000000" w:themeColor="text1"/>
          <w:lang w:eastAsia="es-MX"/>
        </w:rPr>
        <w:t xml:space="preserve">ya que en un contrato es necesario establecer con claridad las causas de rescisión del mismo, asimismo el establecimiento de dichas cláusulas es una práctica común en la industria de las telecomunicaciones en México como se puede observar en los convenios registrados ante el Instituto, ahora bien cabe mencionar que en el caso de la revocación de la concesión de alguna de las partes ésta estaría impedida para prestar servicios de telecomunicaciones por lo que es una causa de rescisión válida. </w:t>
      </w:r>
    </w:p>
    <w:p w14:paraId="36E2B734" w14:textId="77777777" w:rsidR="000F0B9F" w:rsidRPr="008762D1" w:rsidRDefault="00003789"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En el mismo sentido, si bien los servicios de telecomunicaciones son de interés público para la prestación de los mismos es necesario que se cubran las contraprestaciones aplicables a efecto de que la contraparte pueda recuperar los costos de provisión y pueda asegurar la continuidad en la prestación del servicio, por lo que el incumplimiento en las obligaciones de pago es una causa de rescisión válida, también se observa que se otorga un periodo suficientemente amplio a efecto de que las partes cumplan con sus obligaciones de pago.</w:t>
      </w:r>
    </w:p>
    <w:p w14:paraId="005FE5AD" w14:textId="77777777" w:rsidR="000F0B9F" w:rsidRPr="008762D1" w:rsidRDefault="00003789"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Asimismo se observa que dicha cláusula es consistente con el artículo 1</w:t>
      </w:r>
      <w:r w:rsidR="007D3293" w:rsidRPr="008762D1">
        <w:rPr>
          <w:rFonts w:cs="Arial"/>
          <w:color w:val="000000" w:themeColor="text1"/>
          <w:lang w:eastAsia="es-MX"/>
        </w:rPr>
        <w:t>1</w:t>
      </w:r>
      <w:r w:rsidRPr="008762D1">
        <w:rPr>
          <w:rFonts w:cs="Arial"/>
          <w:color w:val="000000" w:themeColor="text1"/>
          <w:lang w:eastAsia="es-MX"/>
        </w:rPr>
        <w:t xml:space="preserve">8 fracción </w:t>
      </w:r>
      <w:r w:rsidRPr="008762D1">
        <w:rPr>
          <w:rFonts w:cs="Arial"/>
          <w:color w:val="000000" w:themeColor="text1"/>
          <w:lang w:val="es-ES" w:eastAsia="es-MX"/>
        </w:rPr>
        <w:t>II</w:t>
      </w:r>
      <w:r w:rsidRPr="008762D1">
        <w:rPr>
          <w:rFonts w:cs="Arial"/>
          <w:color w:val="000000" w:themeColor="text1"/>
          <w:lang w:eastAsia="es-MX"/>
        </w:rPr>
        <w:t xml:space="preserve"> de la </w:t>
      </w:r>
      <w:r w:rsidR="00B220B1" w:rsidRPr="008762D1">
        <w:rPr>
          <w:rFonts w:cs="Arial"/>
          <w:color w:val="000000" w:themeColor="text1"/>
          <w:lang w:eastAsia="es-MX"/>
        </w:rPr>
        <w:t>LFTR</w:t>
      </w:r>
      <w:r w:rsidRPr="008762D1">
        <w:rPr>
          <w:rFonts w:cs="Arial"/>
          <w:color w:val="000000" w:themeColor="text1"/>
          <w:lang w:eastAsia="es-MX"/>
        </w:rPr>
        <w:t xml:space="preserve">, que establece que los concesionarios deberán abstenerse de interrumpir el tráfico entre concesionarios que tengan redes públicas de telecomunicaciones interconectados sin la previa autorización del Instituto, por lo que se considera procedente su </w:t>
      </w:r>
      <w:r w:rsidR="00C057E2" w:rsidRPr="008762D1">
        <w:rPr>
          <w:rFonts w:cs="Arial"/>
          <w:color w:val="000000" w:themeColor="text1"/>
          <w:lang w:eastAsia="es-MX"/>
        </w:rPr>
        <w:t>aprobación</w:t>
      </w:r>
      <w:r w:rsidR="002A571A" w:rsidRPr="008762D1">
        <w:rPr>
          <w:rFonts w:cs="Arial"/>
          <w:color w:val="000000" w:themeColor="text1"/>
          <w:lang w:eastAsia="es-MX"/>
        </w:rPr>
        <w:t>, cabe mencionar que dicha cláusula ya habí</w:t>
      </w:r>
      <w:r w:rsidR="002D24FB" w:rsidRPr="008762D1">
        <w:rPr>
          <w:rFonts w:cs="Arial"/>
          <w:color w:val="000000" w:themeColor="text1"/>
          <w:lang w:eastAsia="es-MX"/>
        </w:rPr>
        <w:t>a sido autorizada en el CMI 2017</w:t>
      </w:r>
      <w:r w:rsidRPr="008762D1">
        <w:rPr>
          <w:rFonts w:cs="Arial"/>
          <w:color w:val="000000" w:themeColor="text1"/>
          <w:lang w:eastAsia="es-MX"/>
        </w:rPr>
        <w:t>.</w:t>
      </w:r>
    </w:p>
    <w:p w14:paraId="24DB9EBC" w14:textId="77777777" w:rsidR="000F0B9F" w:rsidRPr="008762D1" w:rsidRDefault="00351032" w:rsidP="000F0B9F">
      <w:pPr>
        <w:pStyle w:val="IFT1"/>
        <w:numPr>
          <w:ilvl w:val="1"/>
          <w:numId w:val="9"/>
        </w:numPr>
        <w:tabs>
          <w:tab w:val="left" w:pos="284"/>
          <w:tab w:val="left" w:pos="567"/>
        </w:tabs>
        <w:spacing w:before="240" w:after="0"/>
        <w:ind w:left="284" w:hanging="284"/>
        <w:rPr>
          <w:rFonts w:cs="Arial"/>
          <w:color w:val="000000" w:themeColor="text1"/>
          <w:lang w:eastAsia="es-MX"/>
        </w:rPr>
      </w:pPr>
      <w:r w:rsidRPr="008762D1">
        <w:rPr>
          <w:rFonts w:cs="Arial"/>
          <w:b/>
          <w:color w:val="000000" w:themeColor="text1"/>
          <w:lang w:eastAsia="es-MX"/>
        </w:rPr>
        <w:t>CLÁUSULA</w:t>
      </w:r>
      <w:r w:rsidR="0056541F" w:rsidRPr="008762D1">
        <w:rPr>
          <w:rFonts w:cs="Arial"/>
          <w:b/>
          <w:color w:val="000000" w:themeColor="text1"/>
          <w:lang w:eastAsia="es-MX"/>
        </w:rPr>
        <w:t xml:space="preserve"> DE</w:t>
      </w:r>
      <w:r w:rsidR="00DA2040" w:rsidRPr="008762D1">
        <w:rPr>
          <w:rFonts w:cs="Arial"/>
          <w:b/>
          <w:color w:val="000000" w:themeColor="text1"/>
          <w:lang w:eastAsia="es-MX"/>
        </w:rPr>
        <w:t>CIMOQUIN</w:t>
      </w:r>
      <w:r w:rsidRPr="008762D1">
        <w:rPr>
          <w:rFonts w:cs="Arial"/>
          <w:b/>
          <w:color w:val="000000" w:themeColor="text1"/>
          <w:lang w:eastAsia="es-MX"/>
        </w:rPr>
        <w:t>TA. VIGENCIA.</w:t>
      </w:r>
    </w:p>
    <w:p w14:paraId="03856853" w14:textId="77777777" w:rsidR="000F0B9F" w:rsidRPr="008762D1" w:rsidRDefault="00DA2040" w:rsidP="000F0B9F">
      <w:pPr>
        <w:pStyle w:val="IFT1"/>
        <w:tabs>
          <w:tab w:val="left" w:pos="284"/>
          <w:tab w:val="left" w:pos="567"/>
        </w:tabs>
        <w:spacing w:before="240" w:after="0"/>
        <w:rPr>
          <w:color w:val="000000" w:themeColor="text1"/>
        </w:rPr>
      </w:pPr>
      <w:r w:rsidRPr="008762D1">
        <w:rPr>
          <w:color w:val="000000" w:themeColor="text1"/>
        </w:rPr>
        <w:t>En la C</w:t>
      </w:r>
      <w:r w:rsidR="000B1B3A" w:rsidRPr="008762D1">
        <w:rPr>
          <w:color w:val="000000" w:themeColor="text1"/>
        </w:rPr>
        <w:t xml:space="preserve">láusula </w:t>
      </w:r>
      <w:r w:rsidRPr="008762D1">
        <w:rPr>
          <w:color w:val="000000" w:themeColor="text1"/>
        </w:rPr>
        <w:t>D</w:t>
      </w:r>
      <w:r w:rsidR="00AE2324" w:rsidRPr="008762D1">
        <w:rPr>
          <w:color w:val="000000" w:themeColor="text1"/>
        </w:rPr>
        <w:t xml:space="preserve">ecimoquinta, </w:t>
      </w:r>
      <w:r w:rsidR="000B1B3A" w:rsidRPr="008762D1">
        <w:rPr>
          <w:color w:val="000000" w:themeColor="text1"/>
        </w:rPr>
        <w:t xml:space="preserve">se señala la vigencia del convenio, así como la aplicación </w:t>
      </w:r>
      <w:proofErr w:type="gramStart"/>
      <w:r w:rsidR="000B1B3A" w:rsidRPr="008762D1">
        <w:rPr>
          <w:color w:val="000000" w:themeColor="text1"/>
        </w:rPr>
        <w:t>continua</w:t>
      </w:r>
      <w:proofErr w:type="gramEnd"/>
      <w:r w:rsidR="000B1B3A" w:rsidRPr="008762D1">
        <w:rPr>
          <w:color w:val="000000" w:themeColor="text1"/>
        </w:rPr>
        <w:t xml:space="preserve"> del mismo hasta que las partes celebren un nuevo convenio o exista una resolución emitida por la autoridad competente. Asimismo, </w:t>
      </w:r>
      <w:r w:rsidR="00DD1E03" w:rsidRPr="008762D1">
        <w:rPr>
          <w:color w:val="000000" w:themeColor="text1"/>
        </w:rPr>
        <w:t xml:space="preserve">señala la obligación del AEP de presentar para aprobación del Instituto las modificaciones que </w:t>
      </w:r>
      <w:r w:rsidR="00B20548" w:rsidRPr="008762D1">
        <w:rPr>
          <w:color w:val="000000" w:themeColor="text1"/>
        </w:rPr>
        <w:t>realice</w:t>
      </w:r>
      <w:r w:rsidR="00DD1E03" w:rsidRPr="008762D1">
        <w:rPr>
          <w:color w:val="000000" w:themeColor="text1"/>
        </w:rPr>
        <w:t xml:space="preserve"> al Convenio</w:t>
      </w:r>
      <w:r w:rsidR="00B20548" w:rsidRPr="008762D1">
        <w:rPr>
          <w:color w:val="000000" w:themeColor="text1"/>
        </w:rPr>
        <w:t xml:space="preserve"> que pretende aplicar para el siguiente año, las cuales deberán reflejar los cambios normativos y las resoluciones judiciales y administrativas fi</w:t>
      </w:r>
      <w:r w:rsidR="002A4046" w:rsidRPr="008762D1">
        <w:rPr>
          <w:color w:val="000000" w:themeColor="text1"/>
        </w:rPr>
        <w:t>rmes o que hayan causado estado que en su caso</w:t>
      </w:r>
      <w:r w:rsidR="00B20548" w:rsidRPr="008762D1">
        <w:rPr>
          <w:color w:val="000000" w:themeColor="text1"/>
        </w:rPr>
        <w:t>, se hubieren emitido durante el año de vigencia del Convenio y que modifiquen las condiciones de interconexión en él establecidas</w:t>
      </w:r>
      <w:r w:rsidR="00DD1E03" w:rsidRPr="008762D1">
        <w:rPr>
          <w:color w:val="000000" w:themeColor="text1"/>
        </w:rPr>
        <w:t>.</w:t>
      </w:r>
    </w:p>
    <w:p w14:paraId="0919047D" w14:textId="77777777" w:rsidR="000F0B9F" w:rsidRPr="008762D1" w:rsidRDefault="0073522F"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Al respecto se señala que esta cláusula permite otorgar certeza en relación al plazo durante el cual estará vigente el convenio el cual puede ser prorrogado si las partes no celebran uno nuevo con lo cual se asegura la continuidad en la prestación de los servicios de interconexión.</w:t>
      </w:r>
      <w:r w:rsidR="00B1700A" w:rsidRPr="008762D1">
        <w:rPr>
          <w:rFonts w:cs="Arial"/>
          <w:color w:val="000000" w:themeColor="text1"/>
          <w:lang w:eastAsia="es-MX"/>
        </w:rPr>
        <w:t xml:space="preserve"> La vigencia establecida en la misma cumple con lo señalado en la Medida Duodécima de las Medidas Fijas.</w:t>
      </w:r>
    </w:p>
    <w:p w14:paraId="7E0C5508" w14:textId="22B6509E" w:rsidR="00351032" w:rsidRPr="00A04FEF" w:rsidRDefault="0073522F"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lastRenderedPageBreak/>
        <w:t>Esta cl</w:t>
      </w:r>
      <w:r w:rsidR="00B1700A" w:rsidRPr="008762D1">
        <w:rPr>
          <w:rFonts w:cs="Arial"/>
          <w:color w:val="000000" w:themeColor="text1"/>
          <w:lang w:eastAsia="es-MX"/>
        </w:rPr>
        <w:t>áusula</w:t>
      </w:r>
      <w:r w:rsidRPr="008762D1">
        <w:rPr>
          <w:rFonts w:cs="Arial"/>
          <w:color w:val="000000" w:themeColor="text1"/>
          <w:lang w:eastAsia="es-MX"/>
        </w:rPr>
        <w:t xml:space="preserve"> </w:t>
      </w:r>
      <w:r w:rsidR="00B1700A" w:rsidRPr="008762D1">
        <w:rPr>
          <w:rFonts w:cs="Arial"/>
          <w:color w:val="000000" w:themeColor="text1"/>
          <w:lang w:eastAsia="es-MX"/>
        </w:rPr>
        <w:t xml:space="preserve">es común </w:t>
      </w:r>
      <w:r w:rsidR="00B1700A" w:rsidRPr="008762D1">
        <w:rPr>
          <w:color w:val="000000" w:themeColor="text1"/>
        </w:rPr>
        <w:t>en los convenios de interconexión entre los distintos concesionarios de la industria y registrados ante el Instituto,</w:t>
      </w:r>
      <w:r w:rsidR="002A571A" w:rsidRPr="008762D1">
        <w:rPr>
          <w:color w:val="000000" w:themeColor="text1"/>
        </w:rPr>
        <w:t xml:space="preserve"> </w:t>
      </w:r>
      <w:r w:rsidR="00B1700A" w:rsidRPr="008762D1">
        <w:rPr>
          <w:color w:val="000000" w:themeColor="text1"/>
        </w:rPr>
        <w:t xml:space="preserve"> por lo que se considera procedente su </w:t>
      </w:r>
      <w:r w:rsidR="00DD7A61" w:rsidRPr="008762D1">
        <w:rPr>
          <w:color w:val="000000" w:themeColor="text1"/>
        </w:rPr>
        <w:t>aprobación</w:t>
      </w:r>
      <w:r w:rsidR="00FF7E48" w:rsidRPr="008762D1">
        <w:rPr>
          <w:rFonts w:cs="Arial"/>
          <w:color w:val="000000" w:themeColor="text1"/>
          <w:lang w:eastAsia="es-MX"/>
        </w:rPr>
        <w:t>,</w:t>
      </w:r>
      <w:r w:rsidR="002A571A" w:rsidRPr="008762D1">
        <w:rPr>
          <w:rFonts w:cs="Arial"/>
          <w:color w:val="000000" w:themeColor="text1"/>
          <w:lang w:eastAsia="es-MX"/>
        </w:rPr>
        <w:t xml:space="preserve"> cabe mencionar que dicha cláusula ya había sido </w:t>
      </w:r>
      <w:r w:rsidR="0089025F" w:rsidRPr="008762D1">
        <w:rPr>
          <w:rFonts w:cs="Arial"/>
          <w:color w:val="000000" w:themeColor="text1"/>
          <w:lang w:eastAsia="es-MX"/>
        </w:rPr>
        <w:t xml:space="preserve">aprobada </w:t>
      </w:r>
      <w:r w:rsidR="002A571A" w:rsidRPr="008762D1">
        <w:rPr>
          <w:rFonts w:cs="Arial"/>
          <w:color w:val="000000" w:themeColor="text1"/>
          <w:lang w:eastAsia="es-MX"/>
        </w:rPr>
        <w:t>en el CMI</w:t>
      </w:r>
      <w:r w:rsidR="00A400A9" w:rsidRPr="008762D1">
        <w:rPr>
          <w:rFonts w:cs="Arial"/>
          <w:color w:val="000000" w:themeColor="text1"/>
          <w:lang w:eastAsia="es-MX"/>
        </w:rPr>
        <w:t xml:space="preserve"> 2017</w:t>
      </w:r>
      <w:r w:rsidR="002A571A" w:rsidRPr="008762D1">
        <w:rPr>
          <w:rFonts w:cs="Arial"/>
          <w:color w:val="000000" w:themeColor="text1"/>
          <w:lang w:eastAsia="es-MX"/>
        </w:rPr>
        <w:t>.</w:t>
      </w:r>
    </w:p>
    <w:p w14:paraId="3B2C519E" w14:textId="77777777" w:rsidR="000F0B9F" w:rsidRPr="008762D1" w:rsidRDefault="00351032" w:rsidP="000F0B9F">
      <w:pPr>
        <w:pStyle w:val="IFT1"/>
        <w:numPr>
          <w:ilvl w:val="1"/>
          <w:numId w:val="9"/>
        </w:numPr>
        <w:tabs>
          <w:tab w:val="left" w:pos="284"/>
          <w:tab w:val="left" w:pos="567"/>
        </w:tabs>
        <w:spacing w:before="240" w:after="0"/>
        <w:ind w:left="284" w:hanging="284"/>
        <w:rPr>
          <w:rFonts w:cs="Arial"/>
          <w:color w:val="000000" w:themeColor="text1"/>
          <w:lang w:eastAsia="es-MX"/>
        </w:rPr>
      </w:pPr>
      <w:r w:rsidRPr="008762D1">
        <w:rPr>
          <w:rFonts w:cs="Arial"/>
          <w:b/>
          <w:color w:val="000000" w:themeColor="text1"/>
          <w:lang w:eastAsia="es-MX"/>
        </w:rPr>
        <w:t xml:space="preserve">CLÁUSULA </w:t>
      </w:r>
      <w:r w:rsidR="00411189" w:rsidRPr="008762D1">
        <w:rPr>
          <w:rFonts w:cs="Arial"/>
          <w:b/>
          <w:color w:val="000000" w:themeColor="text1"/>
          <w:lang w:eastAsia="es-MX"/>
        </w:rPr>
        <w:t>DECIMOS</w:t>
      </w:r>
      <w:r w:rsidR="00EA7CE8" w:rsidRPr="008762D1">
        <w:rPr>
          <w:rFonts w:cs="Arial"/>
          <w:b/>
          <w:color w:val="000000" w:themeColor="text1"/>
          <w:lang w:eastAsia="es-MX"/>
        </w:rPr>
        <w:t>EXTA</w:t>
      </w:r>
      <w:r w:rsidRPr="008762D1">
        <w:rPr>
          <w:rFonts w:cs="Arial"/>
          <w:b/>
          <w:color w:val="000000" w:themeColor="text1"/>
          <w:lang w:eastAsia="es-MX"/>
        </w:rPr>
        <w:t>. AVISOS Y NOTIFICACIONES.</w:t>
      </w:r>
    </w:p>
    <w:p w14:paraId="7DE6F1E2" w14:textId="77777777" w:rsidR="000F0B9F" w:rsidRPr="008762D1" w:rsidRDefault="00EA7CE8"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La C</w:t>
      </w:r>
      <w:r w:rsidR="00AB555E" w:rsidRPr="008762D1">
        <w:rPr>
          <w:rFonts w:cs="Arial"/>
          <w:color w:val="000000" w:themeColor="text1"/>
          <w:lang w:eastAsia="es-MX"/>
        </w:rPr>
        <w:t xml:space="preserve">láusula </w:t>
      </w:r>
      <w:r w:rsidRPr="008762D1">
        <w:rPr>
          <w:rFonts w:cs="Arial"/>
          <w:color w:val="000000" w:themeColor="text1"/>
          <w:lang w:eastAsia="es-MX"/>
        </w:rPr>
        <w:t>D</w:t>
      </w:r>
      <w:r w:rsidR="00AE2324" w:rsidRPr="008762D1">
        <w:rPr>
          <w:rFonts w:cs="Arial"/>
          <w:color w:val="000000" w:themeColor="text1"/>
          <w:lang w:eastAsia="es-MX"/>
        </w:rPr>
        <w:t xml:space="preserve">ecimosexta </w:t>
      </w:r>
      <w:r w:rsidR="00AB555E" w:rsidRPr="008762D1">
        <w:rPr>
          <w:rFonts w:cs="Arial"/>
          <w:color w:val="000000" w:themeColor="text1"/>
          <w:lang w:eastAsia="es-MX"/>
        </w:rPr>
        <w:t xml:space="preserve">versa sobre </w:t>
      </w:r>
      <w:r w:rsidR="00D142CE" w:rsidRPr="008762D1">
        <w:rPr>
          <w:rFonts w:cs="Arial"/>
          <w:color w:val="000000" w:themeColor="text1"/>
          <w:lang w:eastAsia="es-MX"/>
        </w:rPr>
        <w:t xml:space="preserve">el procedimiento que las partes deberán realizar </w:t>
      </w:r>
      <w:r w:rsidR="00516D77" w:rsidRPr="008762D1">
        <w:rPr>
          <w:rFonts w:cs="Arial"/>
          <w:color w:val="000000" w:themeColor="text1"/>
          <w:lang w:eastAsia="es-MX"/>
        </w:rPr>
        <w:t>para proporcionarse las notificaciones</w:t>
      </w:r>
      <w:r w:rsidR="00D142CE" w:rsidRPr="008762D1">
        <w:rPr>
          <w:rFonts w:cs="Arial"/>
          <w:color w:val="000000" w:themeColor="text1"/>
          <w:lang w:eastAsia="es-MX"/>
        </w:rPr>
        <w:t xml:space="preserve"> </w:t>
      </w:r>
      <w:r w:rsidR="00516D77" w:rsidRPr="008762D1">
        <w:rPr>
          <w:rFonts w:cs="Arial"/>
          <w:color w:val="000000" w:themeColor="text1"/>
          <w:lang w:eastAsia="es-MX"/>
        </w:rPr>
        <w:t>o avisos correspondientes conforme al convenio, así como para realizar modificaciones de denominación social, representante le</w:t>
      </w:r>
      <w:r w:rsidR="005C3105" w:rsidRPr="008762D1">
        <w:rPr>
          <w:rFonts w:cs="Arial"/>
          <w:color w:val="000000" w:themeColor="text1"/>
          <w:lang w:eastAsia="es-MX"/>
        </w:rPr>
        <w:t>g</w:t>
      </w:r>
      <w:r w:rsidR="00516D77" w:rsidRPr="008762D1">
        <w:rPr>
          <w:rFonts w:cs="Arial"/>
          <w:color w:val="000000" w:themeColor="text1"/>
          <w:lang w:eastAsia="es-MX"/>
        </w:rPr>
        <w:t>al o cambios de domicilio.</w:t>
      </w:r>
    </w:p>
    <w:p w14:paraId="19256328" w14:textId="77777777" w:rsidR="000F0B9F" w:rsidRPr="008762D1" w:rsidRDefault="00516D77"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lang w:eastAsia="es-MX"/>
        </w:rPr>
        <w:t>Al respecto se señala que dicha cláusula otorga certeza sobre los domicilios de las partes a los cuales se deberá enviar las notificaciones y avisos, así como el procedimiento a seguir en caso de requerir algún cambio,</w:t>
      </w:r>
      <w:r w:rsidR="00A400A9" w:rsidRPr="008762D1">
        <w:rPr>
          <w:rFonts w:cs="Arial"/>
          <w:color w:val="000000" w:themeColor="text1"/>
          <w:lang w:eastAsia="es-MX"/>
        </w:rPr>
        <w:t xml:space="preserve"> cabe mencionar que dicha cláusula ya había sido autorizada en el CMI 2017 y que la misma</w:t>
      </w:r>
      <w:r w:rsidRPr="008762D1">
        <w:rPr>
          <w:rFonts w:cs="Arial"/>
          <w:color w:val="000000" w:themeColor="text1"/>
          <w:lang w:eastAsia="es-MX"/>
        </w:rPr>
        <w:t xml:space="preserve"> es una cláusula común </w:t>
      </w:r>
      <w:r w:rsidRPr="008762D1">
        <w:rPr>
          <w:color w:val="000000" w:themeColor="text1"/>
        </w:rPr>
        <w:t xml:space="preserve">en los convenios de interconexión entre los distintos concesionarios de la industria y registrados ante el Instituto, por lo que se considera procedente su </w:t>
      </w:r>
      <w:r w:rsidR="00DD7A61" w:rsidRPr="008762D1">
        <w:rPr>
          <w:color w:val="000000" w:themeColor="text1"/>
        </w:rPr>
        <w:t>aprobación</w:t>
      </w:r>
      <w:r w:rsidRPr="008762D1">
        <w:rPr>
          <w:rFonts w:cs="Arial"/>
          <w:color w:val="000000" w:themeColor="text1"/>
          <w:lang w:eastAsia="es-MX"/>
        </w:rPr>
        <w:t>.</w:t>
      </w:r>
    </w:p>
    <w:p w14:paraId="6C11AAC5" w14:textId="77777777" w:rsidR="000F0B9F" w:rsidRPr="008762D1" w:rsidRDefault="00351032" w:rsidP="000F0B9F">
      <w:pPr>
        <w:pStyle w:val="IFT1"/>
        <w:numPr>
          <w:ilvl w:val="1"/>
          <w:numId w:val="9"/>
        </w:numPr>
        <w:tabs>
          <w:tab w:val="left" w:pos="284"/>
          <w:tab w:val="left" w:pos="567"/>
        </w:tabs>
        <w:spacing w:before="240" w:after="0"/>
        <w:ind w:left="284" w:hanging="284"/>
        <w:rPr>
          <w:rFonts w:cs="Arial"/>
          <w:color w:val="000000" w:themeColor="text1"/>
          <w:lang w:eastAsia="es-MX"/>
        </w:rPr>
      </w:pPr>
      <w:r w:rsidRPr="008762D1">
        <w:rPr>
          <w:rFonts w:cs="Arial"/>
          <w:b/>
          <w:color w:val="000000" w:themeColor="text1"/>
          <w:lang w:eastAsia="es-MX"/>
        </w:rPr>
        <w:t xml:space="preserve">CLÁUSULA </w:t>
      </w:r>
      <w:r w:rsidR="00EA7CE8" w:rsidRPr="008762D1">
        <w:rPr>
          <w:rFonts w:cs="Arial"/>
          <w:b/>
          <w:color w:val="000000" w:themeColor="text1"/>
          <w:lang w:eastAsia="es-MX"/>
        </w:rPr>
        <w:t>DECIMOSÉPTIMA</w:t>
      </w:r>
      <w:r w:rsidRPr="008762D1">
        <w:rPr>
          <w:rFonts w:cs="Arial"/>
          <w:b/>
          <w:color w:val="000000" w:themeColor="text1"/>
          <w:lang w:eastAsia="es-MX"/>
        </w:rPr>
        <w:t>. FORMALIZACIÓN DE LOS ANEXOS.</w:t>
      </w:r>
    </w:p>
    <w:p w14:paraId="7E9F3D14" w14:textId="77777777" w:rsidR="000F0B9F" w:rsidRPr="008762D1" w:rsidRDefault="00DB5580" w:rsidP="000F0B9F">
      <w:pPr>
        <w:pStyle w:val="IFT1"/>
        <w:tabs>
          <w:tab w:val="left" w:pos="284"/>
          <w:tab w:val="left" w:pos="567"/>
        </w:tabs>
        <w:spacing w:before="240" w:after="0"/>
        <w:rPr>
          <w:color w:val="000000" w:themeColor="text1"/>
        </w:rPr>
      </w:pPr>
      <w:r w:rsidRPr="008762D1">
        <w:rPr>
          <w:color w:val="000000" w:themeColor="text1"/>
        </w:rPr>
        <w:t>La C</w:t>
      </w:r>
      <w:r w:rsidR="002808FA" w:rsidRPr="008762D1">
        <w:rPr>
          <w:color w:val="000000" w:themeColor="text1"/>
        </w:rPr>
        <w:t xml:space="preserve">láusula </w:t>
      </w:r>
      <w:r w:rsidR="00EA7CE8" w:rsidRPr="008762D1">
        <w:rPr>
          <w:color w:val="000000" w:themeColor="text1"/>
        </w:rPr>
        <w:t>D</w:t>
      </w:r>
      <w:r w:rsidR="00AE2324" w:rsidRPr="008762D1">
        <w:rPr>
          <w:color w:val="000000" w:themeColor="text1"/>
        </w:rPr>
        <w:t xml:space="preserve">ecimoséptima </w:t>
      </w:r>
      <w:r w:rsidR="002808FA" w:rsidRPr="008762D1">
        <w:rPr>
          <w:color w:val="000000" w:themeColor="text1"/>
        </w:rPr>
        <w:t>versa sobre que los anexos correspondientes deberán adjuntarse al cuerpo del convenio para lo cual deberán estar firmados y formarán parte integrante del mismo.</w:t>
      </w:r>
    </w:p>
    <w:p w14:paraId="4D14DE22" w14:textId="77777777" w:rsidR="000F0B9F" w:rsidRPr="008762D1" w:rsidRDefault="002808FA" w:rsidP="000F0B9F">
      <w:pPr>
        <w:pStyle w:val="IFT1"/>
        <w:tabs>
          <w:tab w:val="left" w:pos="284"/>
          <w:tab w:val="left" w:pos="567"/>
        </w:tabs>
        <w:spacing w:before="240" w:after="0"/>
        <w:rPr>
          <w:rFonts w:cs="Arial"/>
          <w:color w:val="000000" w:themeColor="text1"/>
          <w:lang w:eastAsia="es-MX"/>
        </w:rPr>
      </w:pPr>
      <w:r w:rsidRPr="008762D1">
        <w:rPr>
          <w:color w:val="000000" w:themeColor="text1"/>
        </w:rPr>
        <w:t xml:space="preserve">Al respecto, se observa que dicha cláusula </w:t>
      </w:r>
      <w:r w:rsidR="00717D15" w:rsidRPr="008762D1">
        <w:rPr>
          <w:color w:val="000000" w:themeColor="text1"/>
        </w:rPr>
        <w:t xml:space="preserve">es meramente informativa y </w:t>
      </w:r>
      <w:r w:rsidRPr="008762D1">
        <w:rPr>
          <w:color w:val="000000" w:themeColor="text1"/>
        </w:rPr>
        <w:t>tiene como objetivo señalar que los Anexos forman parte del convenio</w:t>
      </w:r>
      <w:r w:rsidR="00DA53FE" w:rsidRPr="008762D1">
        <w:rPr>
          <w:color w:val="000000" w:themeColor="text1"/>
          <w:lang w:val="es-ES"/>
        </w:rPr>
        <w:t xml:space="preserve"> </w:t>
      </w:r>
      <w:r w:rsidR="00717D15" w:rsidRPr="008762D1">
        <w:rPr>
          <w:color w:val="000000" w:themeColor="text1"/>
        </w:rPr>
        <w:t>lo cual otorga certidumbre</w:t>
      </w:r>
      <w:r w:rsidR="00DA53FE" w:rsidRPr="008762D1">
        <w:rPr>
          <w:color w:val="000000" w:themeColor="text1"/>
          <w:lang w:val="es-ES"/>
        </w:rPr>
        <w:t>,</w:t>
      </w:r>
      <w:r w:rsidR="00717D15" w:rsidRPr="008762D1">
        <w:rPr>
          <w:color w:val="000000" w:themeColor="text1"/>
        </w:rPr>
        <w:t xml:space="preserve"> asimismo, </w:t>
      </w:r>
      <w:r w:rsidR="00A400A9" w:rsidRPr="008762D1">
        <w:rPr>
          <w:rFonts w:cs="Arial"/>
          <w:color w:val="000000" w:themeColor="text1"/>
          <w:lang w:eastAsia="es-MX"/>
        </w:rPr>
        <w:t xml:space="preserve">cabe mencionar que dicha cláusula ya había sido autorizada en el CMI 2017 y que la misma </w:t>
      </w:r>
      <w:r w:rsidR="00717D15" w:rsidRPr="008762D1">
        <w:rPr>
          <w:color w:val="000000" w:themeColor="text1"/>
        </w:rPr>
        <w:t>es</w:t>
      </w:r>
      <w:r w:rsidRPr="008762D1">
        <w:rPr>
          <w:color w:val="000000" w:themeColor="text1"/>
        </w:rPr>
        <w:t xml:space="preserve"> común en los convenios de interconexión entre los distintos concesionarios de la industria y registrados ante el Instituto, por lo que se considera procedente su </w:t>
      </w:r>
      <w:r w:rsidR="00DD7A61" w:rsidRPr="008762D1">
        <w:rPr>
          <w:color w:val="000000" w:themeColor="text1"/>
        </w:rPr>
        <w:t>aprobación</w:t>
      </w:r>
      <w:r w:rsidRPr="008762D1">
        <w:rPr>
          <w:color w:val="000000" w:themeColor="text1"/>
        </w:rPr>
        <w:t>.</w:t>
      </w:r>
    </w:p>
    <w:p w14:paraId="2C87E20C" w14:textId="77777777" w:rsidR="000F0B9F" w:rsidRPr="008762D1" w:rsidRDefault="00467968" w:rsidP="000F0B9F">
      <w:pPr>
        <w:pStyle w:val="IFT1"/>
        <w:numPr>
          <w:ilvl w:val="1"/>
          <w:numId w:val="9"/>
        </w:numPr>
        <w:tabs>
          <w:tab w:val="left" w:pos="0"/>
          <w:tab w:val="left" w:pos="567"/>
        </w:tabs>
        <w:spacing w:before="240" w:after="0"/>
        <w:ind w:left="0" w:firstLine="0"/>
        <w:rPr>
          <w:rFonts w:cs="Arial"/>
          <w:color w:val="000000" w:themeColor="text1"/>
          <w:lang w:eastAsia="es-MX"/>
        </w:rPr>
      </w:pPr>
      <w:r w:rsidRPr="008762D1">
        <w:rPr>
          <w:rFonts w:cs="Arial"/>
          <w:b/>
          <w:color w:val="000000" w:themeColor="text1"/>
          <w:lang w:eastAsia="es-MX"/>
        </w:rPr>
        <w:t xml:space="preserve">CLÁUSULA </w:t>
      </w:r>
      <w:r w:rsidR="002C37EE" w:rsidRPr="008762D1">
        <w:rPr>
          <w:rFonts w:cs="Arial"/>
          <w:b/>
          <w:color w:val="000000" w:themeColor="text1"/>
          <w:lang w:eastAsia="es-MX"/>
        </w:rPr>
        <w:t>DÉ</w:t>
      </w:r>
      <w:r w:rsidR="00DA53FE" w:rsidRPr="008762D1">
        <w:rPr>
          <w:rFonts w:cs="Arial"/>
          <w:b/>
          <w:color w:val="000000" w:themeColor="text1"/>
          <w:lang w:eastAsia="es-MX"/>
        </w:rPr>
        <w:t>CIMO</w:t>
      </w:r>
      <w:r w:rsidR="007E064D" w:rsidRPr="008762D1">
        <w:rPr>
          <w:rFonts w:cs="Arial"/>
          <w:b/>
          <w:color w:val="000000" w:themeColor="text1"/>
          <w:lang w:eastAsia="es-MX"/>
        </w:rPr>
        <w:t xml:space="preserve"> O</w:t>
      </w:r>
      <w:r w:rsidR="005422DE" w:rsidRPr="008762D1">
        <w:rPr>
          <w:rFonts w:cs="Arial"/>
          <w:b/>
          <w:color w:val="000000" w:themeColor="text1"/>
          <w:lang w:eastAsia="es-MX"/>
        </w:rPr>
        <w:t>CTAV</w:t>
      </w:r>
      <w:r w:rsidR="00DA53FE" w:rsidRPr="008762D1">
        <w:rPr>
          <w:rFonts w:cs="Arial"/>
          <w:b/>
          <w:color w:val="000000" w:themeColor="text1"/>
          <w:lang w:eastAsia="es-MX"/>
        </w:rPr>
        <w:t>A</w:t>
      </w:r>
      <w:r w:rsidRPr="008762D1">
        <w:rPr>
          <w:rFonts w:cs="Arial"/>
          <w:b/>
          <w:color w:val="000000" w:themeColor="text1"/>
          <w:lang w:eastAsia="es-MX"/>
        </w:rPr>
        <w:t>. JURISDICCIÓN, DERECHO APLICABLE Y DIVERSOS.</w:t>
      </w:r>
    </w:p>
    <w:p w14:paraId="01EB9DD5" w14:textId="77777777" w:rsidR="000F0B9F" w:rsidRPr="008762D1" w:rsidRDefault="00883F86" w:rsidP="000F0B9F">
      <w:pPr>
        <w:pStyle w:val="IFT1"/>
        <w:numPr>
          <w:ilvl w:val="2"/>
          <w:numId w:val="9"/>
        </w:numPr>
        <w:tabs>
          <w:tab w:val="left" w:pos="0"/>
          <w:tab w:val="left" w:pos="567"/>
        </w:tabs>
        <w:spacing w:before="240" w:after="0"/>
        <w:ind w:left="851" w:hanging="851"/>
        <w:rPr>
          <w:rFonts w:cs="Arial"/>
          <w:b/>
          <w:color w:val="000000" w:themeColor="text1"/>
          <w:lang w:eastAsia="es-MX"/>
        </w:rPr>
      </w:pPr>
      <w:r w:rsidRPr="008762D1">
        <w:rPr>
          <w:rFonts w:cs="Arial"/>
          <w:b/>
          <w:color w:val="000000" w:themeColor="text1"/>
          <w:lang w:eastAsia="es-MX"/>
        </w:rPr>
        <w:t>JURISDICCIÓN.</w:t>
      </w:r>
    </w:p>
    <w:p w14:paraId="272146DE" w14:textId="73F7BBC6" w:rsidR="000D5DBA" w:rsidRPr="008762D1" w:rsidRDefault="000D5DB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42A87D21" w14:textId="77777777" w:rsidR="00191532" w:rsidRPr="008762D1" w:rsidRDefault="00191532"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 xml:space="preserve">Del análisis de la Cláusula </w:t>
      </w:r>
      <w:r w:rsidR="00B5580E" w:rsidRPr="008762D1">
        <w:rPr>
          <w:rFonts w:ascii="ITC Avant Garde" w:eastAsia="Times New Roman" w:hAnsi="ITC Avant Garde" w:cs="Arial"/>
          <w:iCs/>
          <w:color w:val="000000" w:themeColor="text1"/>
        </w:rPr>
        <w:t>Décimo</w:t>
      </w:r>
      <w:r w:rsidRPr="008762D1">
        <w:rPr>
          <w:rFonts w:ascii="ITC Avant Garde" w:eastAsia="Times New Roman" w:hAnsi="ITC Avant Garde" w:cs="Arial"/>
          <w:iCs/>
          <w:color w:val="000000" w:themeColor="text1"/>
        </w:rPr>
        <w:t xml:space="preserve"> Octava se observó que los términos establecidos no se apegaban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Pr="008762D1">
        <w:rPr>
          <w:rFonts w:ascii="ITC Avant Garde" w:hAnsi="ITC Avant Garde" w:cs="Arial"/>
          <w:bCs/>
          <w:color w:val="000000" w:themeColor="text1"/>
          <w:lang w:eastAsia="es-ES"/>
        </w:rPr>
        <w:t xml:space="preserve">P/IFT/EXT/241116/40 </w:t>
      </w:r>
      <w:r w:rsidRPr="008762D1">
        <w:rPr>
          <w:rFonts w:ascii="ITC Avant Garde" w:hAnsi="ITC Avant Garde"/>
          <w:bCs/>
          <w:color w:val="000000" w:themeColor="text1"/>
        </w:rPr>
        <w:t xml:space="preserve">y, </w:t>
      </w:r>
      <w:r w:rsidRPr="008762D1">
        <w:rPr>
          <w:rFonts w:ascii="ITC Avant Garde" w:hAnsi="ITC Avant Garde"/>
          <w:bCs/>
          <w:color w:val="000000" w:themeColor="text1"/>
        </w:rPr>
        <w:lastRenderedPageBreak/>
        <w:t>toda vez que el propósito de revisar anualmente el instrumento regulatorio es mejorar, o precisar las condiciones, así como ajustarse a la evolución tecnológica del sector, y de ninguna forma se justifica la existencia de retrocesos en la regulación; el Instituto no consideró procedente que en una revisión posterior del convenio marco de interconexión se plantearan términos y condiciones menos favorables que los ya autorizados por el Instituto.</w:t>
      </w:r>
    </w:p>
    <w:p w14:paraId="33A13882" w14:textId="77777777" w:rsidR="000F0B9F" w:rsidRPr="008762D1" w:rsidRDefault="00191532" w:rsidP="000F0B9F">
      <w:pPr>
        <w:pStyle w:val="IFTnormal"/>
        <w:spacing w:before="240" w:after="0"/>
        <w:ind w:right="49"/>
        <w:rPr>
          <w:color w:val="000000" w:themeColor="text1"/>
        </w:rPr>
      </w:pPr>
      <w:r w:rsidRPr="008762D1">
        <w:rPr>
          <w:color w:val="000000" w:themeColor="text1"/>
          <w:lang w:eastAsia="es-MX"/>
        </w:rPr>
        <w:t>Lo anterior, dado que e</w:t>
      </w:r>
      <w:r w:rsidR="00FB5058" w:rsidRPr="008762D1">
        <w:rPr>
          <w:color w:val="000000" w:themeColor="text1"/>
          <w:lang w:eastAsia="es-MX"/>
        </w:rPr>
        <w:t xml:space="preserve">n el numeral 18.1 de la Cláusula </w:t>
      </w:r>
      <w:r w:rsidR="00B5580E" w:rsidRPr="008762D1">
        <w:rPr>
          <w:color w:val="000000" w:themeColor="text1"/>
          <w:lang w:eastAsia="es-MX"/>
        </w:rPr>
        <w:t>Décimo</w:t>
      </w:r>
      <w:r w:rsidR="00FB5058" w:rsidRPr="008762D1">
        <w:rPr>
          <w:color w:val="000000" w:themeColor="text1"/>
          <w:lang w:eastAsia="es-MX"/>
        </w:rPr>
        <w:t xml:space="preserve"> Octava de </w:t>
      </w:r>
      <w:r w:rsidRPr="008762D1">
        <w:rPr>
          <w:color w:val="000000" w:themeColor="text1"/>
          <w:lang w:eastAsia="es-MX"/>
        </w:rPr>
        <w:t>la Propuesta de CMI se estableció</w:t>
      </w:r>
      <w:r w:rsidR="00FB5058" w:rsidRPr="008762D1">
        <w:rPr>
          <w:color w:val="000000" w:themeColor="text1"/>
          <w:lang w:eastAsia="es-MX"/>
        </w:rPr>
        <w:t xml:space="preserve"> que todo lo relativo al convenio se sometería a la jurisdicción de los Tribunales Federales especializados en Telecomunicaciones. </w:t>
      </w:r>
      <w:r w:rsidR="00B0120C" w:rsidRPr="008762D1">
        <w:rPr>
          <w:color w:val="000000" w:themeColor="text1"/>
          <w:lang w:eastAsia="es-MX"/>
        </w:rPr>
        <w:t>De lo cual</w:t>
      </w:r>
      <w:r w:rsidR="00D207F6" w:rsidRPr="008762D1">
        <w:rPr>
          <w:color w:val="000000" w:themeColor="text1"/>
          <w:lang w:eastAsia="es-MX"/>
        </w:rPr>
        <w:t xml:space="preserve">, </w:t>
      </w:r>
      <w:r w:rsidRPr="008762D1">
        <w:rPr>
          <w:color w:val="000000" w:themeColor="text1"/>
        </w:rPr>
        <w:t>se modificó</w:t>
      </w:r>
      <w:r w:rsidR="00447E75" w:rsidRPr="008762D1">
        <w:rPr>
          <w:color w:val="000000" w:themeColor="text1"/>
        </w:rPr>
        <w:t xml:space="preserve"> la redacción de la Cláus</w:t>
      </w:r>
      <w:r w:rsidRPr="008762D1">
        <w:rPr>
          <w:color w:val="000000" w:themeColor="text1"/>
        </w:rPr>
        <w:t xml:space="preserve">ula 18.1 a efecto de señalar que para todo lo relativo al convenio las partes se someterán a la </w:t>
      </w:r>
      <w:r w:rsidR="00B5580E" w:rsidRPr="008762D1">
        <w:rPr>
          <w:color w:val="000000" w:themeColor="text1"/>
        </w:rPr>
        <w:t>jurisdicción</w:t>
      </w:r>
      <w:r w:rsidRPr="008762D1">
        <w:rPr>
          <w:color w:val="000000" w:themeColor="text1"/>
        </w:rPr>
        <w:t xml:space="preserve"> de los tribunales federales competentes.</w:t>
      </w:r>
    </w:p>
    <w:p w14:paraId="13C8D51C" w14:textId="4712B471" w:rsidR="005F6C97" w:rsidRPr="008762D1" w:rsidRDefault="005F6C97" w:rsidP="000F0B9F">
      <w:pPr>
        <w:tabs>
          <w:tab w:val="left" w:pos="7938"/>
        </w:tabs>
        <w:spacing w:before="240" w:after="0" w:line="276" w:lineRule="auto"/>
        <w:ind w:left="567" w:right="567"/>
        <w:jc w:val="both"/>
        <w:rPr>
          <w:rFonts w:ascii="ITC Avant Garde" w:hAnsi="ITC Avant Garde"/>
          <w:color w:val="000000" w:themeColor="text1"/>
          <w:sz w:val="18"/>
          <w:szCs w:val="18"/>
          <w:lang w:val="es-ES_tradnl"/>
        </w:rPr>
      </w:pPr>
      <w:r w:rsidRPr="008762D1">
        <w:rPr>
          <w:rFonts w:ascii="ITC Avant Garde" w:hAnsi="ITC Avant Garde"/>
          <w:color w:val="000000" w:themeColor="text1"/>
          <w:sz w:val="18"/>
          <w:szCs w:val="18"/>
          <w:lang w:val="es-ES_tradnl"/>
        </w:rPr>
        <w:t>“</w:t>
      </w:r>
      <w:r w:rsidRPr="008762D1">
        <w:rPr>
          <w:rFonts w:ascii="ITC Avant Garde" w:hAnsi="ITC Avant Garde"/>
          <w:b/>
          <w:color w:val="000000" w:themeColor="text1"/>
          <w:sz w:val="18"/>
          <w:szCs w:val="18"/>
          <w:lang w:val="es-ES_tradnl"/>
        </w:rPr>
        <w:t>18.1 JURISDICCIÓN.</w:t>
      </w:r>
      <w:r w:rsidRPr="008762D1">
        <w:rPr>
          <w:rFonts w:ascii="ITC Avant Garde" w:hAnsi="ITC Avant Garde"/>
          <w:color w:val="000000" w:themeColor="text1"/>
          <w:sz w:val="18"/>
          <w:szCs w:val="18"/>
          <w:lang w:val="es-ES_tradnl"/>
        </w:rPr>
        <w:t xml:space="preserve"> Para todo lo relativo a este Convenio, las Partes acuerdan expresamente someterse a la jurisdicción de los Tribunales Federales </w:t>
      </w:r>
      <w:r w:rsidRPr="008762D1">
        <w:rPr>
          <w:rFonts w:ascii="ITC Avant Garde" w:hAnsi="ITC Avant Garde"/>
          <w:strike/>
          <w:color w:val="000000" w:themeColor="text1"/>
          <w:sz w:val="18"/>
          <w:szCs w:val="18"/>
          <w:lang w:val="es-ES_tradnl"/>
        </w:rPr>
        <w:t xml:space="preserve">especializados en Telecomunicaciones </w:t>
      </w:r>
      <w:r w:rsidRPr="008762D1">
        <w:rPr>
          <w:rFonts w:ascii="ITC Avant Garde" w:hAnsi="ITC Avant Garde"/>
          <w:color w:val="000000" w:themeColor="text1"/>
          <w:sz w:val="18"/>
          <w:szCs w:val="18"/>
          <w:u w:val="single"/>
          <w:lang w:val="es-ES_tradnl"/>
        </w:rPr>
        <w:t>competentes</w:t>
      </w:r>
      <w:r w:rsidRPr="008762D1">
        <w:rPr>
          <w:rFonts w:ascii="ITC Avant Garde" w:hAnsi="ITC Avant Garde"/>
          <w:color w:val="000000" w:themeColor="text1"/>
          <w:sz w:val="18"/>
          <w:szCs w:val="18"/>
          <w:lang w:val="es-ES_tradnl"/>
        </w:rPr>
        <w:t xml:space="preserve"> con residencia en la Ciudad de México, por lo tanto, renuncian expresamente al fuero que pudiera corresponderles por razón de su domicilio presente, futuro o por cualquier otra causa.”</w:t>
      </w:r>
    </w:p>
    <w:p w14:paraId="17B5B53E" w14:textId="77777777" w:rsidR="000F0B9F" w:rsidRPr="008762D1" w:rsidRDefault="00AB44C6"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7D10CD6C" w14:textId="4B019B75" w:rsidR="00147235" w:rsidRPr="008762D1" w:rsidRDefault="0014723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06604549" w14:textId="77777777" w:rsidR="000F0B9F" w:rsidRPr="008762D1" w:rsidRDefault="007D4D75"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w:t>
      </w:r>
      <w:r w:rsidR="002C37EE" w:rsidRPr="008762D1">
        <w:rPr>
          <w:rFonts w:cs="Arial"/>
          <w:color w:val="000000" w:themeColor="text1"/>
          <w:lang w:eastAsia="es-MX"/>
        </w:rPr>
        <w:t xml:space="preserve"> presentó </w:t>
      </w:r>
      <w:r w:rsidR="00AB44C6" w:rsidRPr="008762D1">
        <w:rPr>
          <w:rFonts w:cs="Arial"/>
          <w:color w:val="000000" w:themeColor="text1"/>
          <w:lang w:eastAsia="es-MX"/>
        </w:rPr>
        <w:t>el numeral 18</w:t>
      </w:r>
      <w:r w:rsidR="002C37EE" w:rsidRPr="008762D1">
        <w:rPr>
          <w:rFonts w:cs="Arial"/>
          <w:color w:val="000000" w:themeColor="text1"/>
          <w:lang w:eastAsia="es-MX"/>
        </w:rPr>
        <w:t xml:space="preserve">.1 </w:t>
      </w:r>
      <w:r w:rsidR="00AB44C6" w:rsidRPr="008762D1">
        <w:rPr>
          <w:rFonts w:cs="Arial"/>
          <w:color w:val="000000" w:themeColor="text1"/>
          <w:lang w:eastAsia="es-MX"/>
        </w:rPr>
        <w:t>Jurisdicción</w:t>
      </w:r>
      <w:r w:rsidR="002C37EE" w:rsidRPr="008762D1">
        <w:rPr>
          <w:rFonts w:cs="Arial"/>
          <w:color w:val="000000" w:themeColor="text1"/>
          <w:lang w:eastAsia="es-MX"/>
        </w:rPr>
        <w:t xml:space="preserve"> de la Cláusula Decimo</w:t>
      </w:r>
      <w:r w:rsidR="00AB44C6" w:rsidRPr="008762D1">
        <w:rPr>
          <w:rFonts w:cs="Arial"/>
          <w:color w:val="000000" w:themeColor="text1"/>
          <w:lang w:eastAsia="es-MX"/>
        </w:rPr>
        <w:t>ctava</w:t>
      </w:r>
      <w:r w:rsidR="002C37EE" w:rsidRPr="008762D1">
        <w:rPr>
          <w:rFonts w:cs="Arial"/>
          <w:color w:val="000000" w:themeColor="text1"/>
          <w:lang w:eastAsia="es-MX"/>
        </w:rPr>
        <w:t xml:space="preserve"> en los términos señalados en el Acuerdo.</w:t>
      </w:r>
    </w:p>
    <w:p w14:paraId="123F0A97" w14:textId="30F6C7EB" w:rsidR="00147235" w:rsidRPr="008762D1" w:rsidRDefault="0014723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5B03EBC" w14:textId="77777777" w:rsidR="000F0B9F" w:rsidRPr="008762D1" w:rsidRDefault="00012E64" w:rsidP="000F0B9F">
      <w:pPr>
        <w:pStyle w:val="IFTnormal"/>
        <w:spacing w:before="240" w:after="0"/>
        <w:ind w:right="49"/>
        <w:rPr>
          <w:color w:val="000000" w:themeColor="text1"/>
          <w:lang w:eastAsia="es-MX"/>
        </w:rPr>
      </w:pPr>
      <w:r w:rsidRPr="008762D1">
        <w:rPr>
          <w:color w:val="000000" w:themeColor="text1"/>
          <w:lang w:eastAsia="es-MX"/>
        </w:rPr>
        <w:t xml:space="preserve">Al respecto se señala que </w:t>
      </w:r>
      <w:r w:rsidR="00AB44C6" w:rsidRPr="008762D1">
        <w:rPr>
          <w:color w:val="000000" w:themeColor="text1"/>
        </w:rPr>
        <w:t>en el Numeral SEXTO del Acuerdo 22/2013</w:t>
      </w:r>
      <w:r w:rsidR="00AB44C6" w:rsidRPr="008762D1">
        <w:rPr>
          <w:rStyle w:val="Refdenotaalpie"/>
          <w:color w:val="000000" w:themeColor="text1"/>
        </w:rPr>
        <w:footnoteReference w:id="3"/>
      </w:r>
      <w:r w:rsidR="00AB44C6" w:rsidRPr="008762D1">
        <w:rPr>
          <w:color w:val="000000" w:themeColor="text1"/>
        </w:rPr>
        <w:t>, emitido por el Pleno del Consejo de la Judicatura Federal se desprende que los órganos jurisdiccionales en materia administrativa, especializados en materia económica, radiodifusión y telecomunicaciones únicamente tendrán las atribuciones previstas en los artículos 37, fracciones I, inciso b, II, III, IV, V, VI, VII, VIII y IX, 38 y 52 de la Ley Orgánica del Poder Judicial de la Federación,</w:t>
      </w:r>
      <w:r w:rsidRPr="008762D1">
        <w:rPr>
          <w:color w:val="000000" w:themeColor="text1"/>
        </w:rPr>
        <w:t xml:space="preserve"> es así que</w:t>
      </w:r>
      <w:r w:rsidR="00AB44C6" w:rsidRPr="008762D1">
        <w:rPr>
          <w:color w:val="000000" w:themeColor="text1"/>
        </w:rPr>
        <w:t xml:space="preserve"> para todo lo relativo al convenio las partes se </w:t>
      </w:r>
      <w:r w:rsidRPr="008762D1">
        <w:rPr>
          <w:color w:val="000000" w:themeColor="text1"/>
        </w:rPr>
        <w:t>deberán someter</w:t>
      </w:r>
      <w:r w:rsidR="00AB44C6" w:rsidRPr="008762D1">
        <w:rPr>
          <w:color w:val="000000" w:themeColor="text1"/>
        </w:rPr>
        <w:t xml:space="preserve"> a la jurisdicción de los tribunales federales </w:t>
      </w:r>
      <w:r w:rsidR="00AB44C6" w:rsidRPr="008762D1">
        <w:rPr>
          <w:color w:val="000000" w:themeColor="text1"/>
        </w:rPr>
        <w:lastRenderedPageBreak/>
        <w:t>competentes.</w:t>
      </w:r>
      <w:r w:rsidRPr="008762D1">
        <w:rPr>
          <w:color w:val="000000" w:themeColor="text1"/>
        </w:rPr>
        <w:t xml:space="preserve"> Por lo anterior, se observa que lo señalado </w:t>
      </w:r>
      <w:r w:rsidRPr="008762D1">
        <w:rPr>
          <w:color w:val="000000" w:themeColor="text1"/>
          <w:lang w:eastAsia="es-MX"/>
        </w:rPr>
        <w:t>el numeral 18.1 Jurisdicción de la Cláusula Decimoctava</w:t>
      </w:r>
      <w:r w:rsidR="00791D6D" w:rsidRPr="008762D1">
        <w:rPr>
          <w:color w:val="000000" w:themeColor="text1"/>
          <w:lang w:eastAsia="es-MX"/>
        </w:rPr>
        <w:t xml:space="preserve">, es acorde con la legislación aplicable ya que los Tribunales Federales son la autoridad jurisdiccional competente para dirimir cualquier controversia que se suscite en </w:t>
      </w:r>
      <w:r w:rsidR="009A3395" w:rsidRPr="008762D1">
        <w:rPr>
          <w:color w:val="000000" w:themeColor="text1"/>
          <w:lang w:eastAsia="es-MX"/>
        </w:rPr>
        <w:t xml:space="preserve">la </w:t>
      </w:r>
      <w:r w:rsidR="00791D6D" w:rsidRPr="008762D1">
        <w:rPr>
          <w:color w:val="000000" w:themeColor="text1"/>
          <w:lang w:eastAsia="es-MX"/>
        </w:rPr>
        <w:t>materia.</w:t>
      </w:r>
    </w:p>
    <w:p w14:paraId="5F97E1DF" w14:textId="77777777" w:rsidR="000F0B9F" w:rsidRPr="008762D1" w:rsidRDefault="000358A7" w:rsidP="000F0B9F">
      <w:pPr>
        <w:pStyle w:val="IFT1"/>
        <w:numPr>
          <w:ilvl w:val="2"/>
          <w:numId w:val="9"/>
        </w:numPr>
        <w:tabs>
          <w:tab w:val="left" w:pos="0"/>
          <w:tab w:val="left" w:pos="567"/>
        </w:tabs>
        <w:spacing w:before="240" w:after="0"/>
        <w:ind w:left="851" w:hanging="851"/>
        <w:rPr>
          <w:rFonts w:cs="Arial"/>
          <w:b/>
          <w:color w:val="000000" w:themeColor="text1"/>
          <w:lang w:eastAsia="es-MX"/>
        </w:rPr>
      </w:pPr>
      <w:r w:rsidRPr="008762D1">
        <w:rPr>
          <w:rFonts w:cs="Arial"/>
          <w:b/>
          <w:color w:val="000000" w:themeColor="text1"/>
          <w:lang w:eastAsia="es-MX"/>
        </w:rPr>
        <w:t>NO RENUNCIA DE DERECHOS Y ACCIONES</w:t>
      </w:r>
      <w:r w:rsidR="00883F86" w:rsidRPr="008762D1">
        <w:rPr>
          <w:rFonts w:cs="Arial"/>
          <w:b/>
          <w:color w:val="000000" w:themeColor="text1"/>
          <w:lang w:eastAsia="es-MX"/>
        </w:rPr>
        <w:t>.</w:t>
      </w:r>
    </w:p>
    <w:p w14:paraId="63BA246E" w14:textId="55635A9B" w:rsidR="00B0120C" w:rsidRPr="008762D1" w:rsidRDefault="00B0120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67683A41" w14:textId="77777777" w:rsidR="000F0B9F" w:rsidRPr="008762D1" w:rsidRDefault="00A048E4" w:rsidP="000F0B9F">
      <w:pPr>
        <w:spacing w:before="240" w:after="0" w:line="276" w:lineRule="auto"/>
        <w:jc w:val="both"/>
        <w:rPr>
          <w:rFonts w:ascii="ITC Avant Garde" w:hAnsi="ITC Avant Garde"/>
          <w:bCs/>
          <w:color w:val="000000" w:themeColor="text1"/>
        </w:rPr>
      </w:pPr>
      <w:r w:rsidRPr="008762D1">
        <w:rPr>
          <w:rFonts w:ascii="ITC Avant Garde" w:eastAsia="Times New Roman" w:hAnsi="ITC Avant Garde" w:cs="Arial"/>
          <w:iCs/>
          <w:color w:val="000000" w:themeColor="text1"/>
        </w:rPr>
        <w:t>Del análisis de la C</w:t>
      </w:r>
      <w:r w:rsidR="00AB7517" w:rsidRPr="008762D1">
        <w:rPr>
          <w:rFonts w:ascii="ITC Avant Garde" w:eastAsia="Times New Roman" w:hAnsi="ITC Avant Garde" w:cs="Arial"/>
          <w:iCs/>
          <w:color w:val="000000" w:themeColor="text1"/>
        </w:rPr>
        <w:t xml:space="preserve">láusula </w:t>
      </w:r>
      <w:r w:rsidR="00B5580E" w:rsidRPr="008762D1">
        <w:rPr>
          <w:rFonts w:ascii="ITC Avant Garde" w:eastAsia="Times New Roman" w:hAnsi="ITC Avant Garde" w:cs="Arial"/>
          <w:iCs/>
          <w:color w:val="000000" w:themeColor="text1"/>
        </w:rPr>
        <w:t>Décimo</w:t>
      </w:r>
      <w:r w:rsidR="00AB7517" w:rsidRPr="008762D1">
        <w:rPr>
          <w:rFonts w:ascii="ITC Avant Garde" w:eastAsia="Times New Roman" w:hAnsi="ITC Avant Garde" w:cs="Arial"/>
          <w:iCs/>
          <w:color w:val="000000" w:themeColor="text1"/>
        </w:rPr>
        <w:t xml:space="preserve"> Octava se observó</w:t>
      </w:r>
      <w:r w:rsidRPr="008762D1">
        <w:rPr>
          <w:rFonts w:ascii="ITC Avant Garde" w:eastAsia="Times New Roman" w:hAnsi="ITC Avant Garde" w:cs="Arial"/>
          <w:iCs/>
          <w:color w:val="000000" w:themeColor="text1"/>
        </w:rPr>
        <w:t xml:space="preserve"> que la misma no se apega</w:t>
      </w:r>
      <w:r w:rsidR="00AB7517"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 a los términos y condiciones establecidos en el CMI 2017</w:t>
      </w:r>
      <w:r w:rsidRPr="008762D1">
        <w:rPr>
          <w:rFonts w:ascii="ITC Avant Garde" w:hAnsi="ITC Avant Garde"/>
          <w:bCs/>
          <w:color w:val="000000" w:themeColor="text1"/>
        </w:rPr>
        <w:t xml:space="preserve">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regulación; el Instituto no cons</w:t>
      </w:r>
      <w:r w:rsidR="00AB7517" w:rsidRPr="008762D1">
        <w:rPr>
          <w:rFonts w:ascii="ITC Avant Garde" w:hAnsi="ITC Avant Garde"/>
          <w:bCs/>
          <w:color w:val="000000" w:themeColor="text1"/>
        </w:rPr>
        <w:t>ideró</w:t>
      </w:r>
      <w:r w:rsidRPr="008762D1">
        <w:rPr>
          <w:rFonts w:ascii="ITC Avant Garde" w:hAnsi="ITC Avant Garde"/>
          <w:bCs/>
          <w:color w:val="000000" w:themeColor="text1"/>
        </w:rPr>
        <w:t xml:space="preserve"> procedente que en una revisión posterior del convenio ma</w:t>
      </w:r>
      <w:r w:rsidR="00AB7517"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382DA440" w14:textId="77777777" w:rsidR="000F0B9F" w:rsidRPr="008762D1" w:rsidRDefault="00DD47D0" w:rsidP="000F0B9F">
      <w:pPr>
        <w:pStyle w:val="IFT1"/>
        <w:tabs>
          <w:tab w:val="left" w:pos="284"/>
          <w:tab w:val="left" w:pos="567"/>
        </w:tabs>
        <w:spacing w:before="240" w:after="0"/>
        <w:rPr>
          <w:rFonts w:cs="Arial"/>
          <w:color w:val="000000" w:themeColor="text1"/>
        </w:rPr>
      </w:pPr>
      <w:r w:rsidRPr="008762D1">
        <w:rPr>
          <w:rFonts w:cs="Arial"/>
          <w:color w:val="000000" w:themeColor="text1"/>
        </w:rPr>
        <w:t xml:space="preserve">Por </w:t>
      </w:r>
      <w:r w:rsidR="00C84569" w:rsidRPr="008762D1">
        <w:rPr>
          <w:rFonts w:cs="Arial"/>
          <w:color w:val="000000" w:themeColor="text1"/>
        </w:rPr>
        <w:t>lo anterior</w:t>
      </w:r>
      <w:r w:rsidRPr="008762D1">
        <w:rPr>
          <w:rFonts w:cs="Arial"/>
          <w:color w:val="000000" w:themeColor="text1"/>
        </w:rPr>
        <w:t>,</w:t>
      </w:r>
      <w:r w:rsidR="00C84569" w:rsidRPr="008762D1">
        <w:rPr>
          <w:rFonts w:cs="Arial"/>
          <w:color w:val="000000" w:themeColor="text1"/>
        </w:rPr>
        <w:t xml:space="preserve"> </w:t>
      </w:r>
      <w:r w:rsidR="00C84569" w:rsidRPr="008762D1">
        <w:rPr>
          <w:color w:val="000000" w:themeColor="text1"/>
          <w:lang w:eastAsia="es-MX"/>
        </w:rPr>
        <w:t xml:space="preserve">con el fin de otorgar certeza jurídica al CS y al AEP respecto de la no preclusión de sus derechos </w:t>
      </w:r>
      <w:r w:rsidR="00AB7517" w:rsidRPr="008762D1">
        <w:rPr>
          <w:rFonts w:cs="Arial"/>
          <w:color w:val="000000" w:themeColor="text1"/>
        </w:rPr>
        <w:t>se agregó</w:t>
      </w:r>
      <w:r w:rsidR="00620B95" w:rsidRPr="008762D1">
        <w:rPr>
          <w:rFonts w:cs="Arial"/>
          <w:color w:val="000000" w:themeColor="text1"/>
        </w:rPr>
        <w:t xml:space="preserve"> una sub cláusula de no renuncia de derechos y acciones</w:t>
      </w:r>
      <w:r w:rsidR="00AB44C6" w:rsidRPr="008762D1">
        <w:rPr>
          <w:rFonts w:cs="Arial"/>
          <w:color w:val="000000" w:themeColor="text1"/>
        </w:rPr>
        <w:t>, en el siguiente sentido:</w:t>
      </w:r>
    </w:p>
    <w:p w14:paraId="705FFB1A" w14:textId="77777777" w:rsidR="000F0B9F" w:rsidRPr="008762D1" w:rsidRDefault="00AB44C6" w:rsidP="000F0B9F">
      <w:pPr>
        <w:tabs>
          <w:tab w:val="left" w:pos="7938"/>
        </w:tabs>
        <w:spacing w:before="240" w:after="0" w:line="276" w:lineRule="auto"/>
        <w:ind w:left="567" w:right="567"/>
        <w:jc w:val="both"/>
        <w:rPr>
          <w:rFonts w:ascii="ITC Avant Garde" w:hAnsi="ITC Avant Garde"/>
          <w:color w:val="000000" w:themeColor="text1"/>
          <w:sz w:val="18"/>
          <w:szCs w:val="18"/>
          <w:lang w:val="es-ES_tradnl"/>
        </w:rPr>
      </w:pPr>
      <w:r w:rsidRPr="008762D1">
        <w:rPr>
          <w:rFonts w:ascii="ITC Avant Garde" w:hAnsi="ITC Avant Garde"/>
          <w:color w:val="000000" w:themeColor="text1"/>
          <w:sz w:val="18"/>
          <w:szCs w:val="18"/>
          <w:lang w:val="es-ES_tradnl"/>
        </w:rPr>
        <w:t>“</w:t>
      </w:r>
      <w:r w:rsidRPr="008762D1">
        <w:rPr>
          <w:rFonts w:ascii="ITC Avant Garde" w:hAnsi="ITC Avant Garde"/>
          <w:b/>
          <w:color w:val="000000" w:themeColor="text1"/>
          <w:sz w:val="18"/>
          <w:szCs w:val="18"/>
          <w:lang w:val="es-ES_tradnl"/>
        </w:rPr>
        <w:t>18.11 NO RENUNCIA DE DERECHOS Y ACCIONES.</w:t>
      </w:r>
      <w:r w:rsidRPr="008762D1">
        <w:rPr>
          <w:rFonts w:ascii="ITC Avant Garde" w:hAnsi="ITC Avant Garde"/>
          <w:color w:val="000000" w:themeColor="text1"/>
          <w:sz w:val="18"/>
          <w:szCs w:val="18"/>
          <w:lang w:val="es-ES_tradnl"/>
        </w:rPr>
        <w:t xml:space="preserve"> Las Partes entienden y acuerdan que el no ejercicio o demora en el ejercicio de cualquier derecho, acción, facultad o privilegio establecido en este Convenio que no resulte en caducidad</w:t>
      </w:r>
      <w:r w:rsidR="00B7037F" w:rsidRPr="008762D1">
        <w:rPr>
          <w:rFonts w:ascii="ITC Avant Garde" w:hAnsi="ITC Avant Garde"/>
          <w:color w:val="000000" w:themeColor="text1"/>
          <w:sz w:val="18"/>
          <w:szCs w:val="18"/>
          <w:lang w:val="es-ES_tradnl"/>
        </w:rPr>
        <w:t>,</w:t>
      </w:r>
      <w:r w:rsidRPr="008762D1">
        <w:rPr>
          <w:rFonts w:ascii="ITC Avant Garde" w:hAnsi="ITC Avant Garde"/>
          <w:color w:val="000000" w:themeColor="text1"/>
          <w:sz w:val="18"/>
          <w:szCs w:val="18"/>
          <w:lang w:val="es-ES_tradnl"/>
        </w:rPr>
        <w:t xml:space="preserve"> </w:t>
      </w:r>
      <w:r w:rsidR="003C4FDA" w:rsidRPr="008762D1">
        <w:rPr>
          <w:rFonts w:ascii="ITC Avant Garde" w:hAnsi="ITC Avant Garde"/>
          <w:color w:val="000000" w:themeColor="text1"/>
          <w:sz w:val="18"/>
          <w:szCs w:val="18"/>
          <w:lang w:val="es-ES_tradnl"/>
        </w:rPr>
        <w:t xml:space="preserve">preclusión </w:t>
      </w:r>
      <w:r w:rsidR="00B7037F" w:rsidRPr="008762D1">
        <w:rPr>
          <w:rFonts w:ascii="ITC Avant Garde" w:hAnsi="ITC Avant Garde"/>
          <w:color w:val="000000" w:themeColor="text1"/>
          <w:sz w:val="18"/>
          <w:szCs w:val="18"/>
          <w:lang w:val="es-ES_tradnl"/>
        </w:rPr>
        <w:t xml:space="preserve">o prescripción </w:t>
      </w:r>
      <w:r w:rsidRPr="008762D1">
        <w:rPr>
          <w:rFonts w:ascii="ITC Avant Garde" w:hAnsi="ITC Avant Garde"/>
          <w:color w:val="000000" w:themeColor="text1"/>
          <w:sz w:val="18"/>
          <w:szCs w:val="18"/>
          <w:lang w:val="es-ES_tradnl"/>
        </w:rPr>
        <w:t xml:space="preserve">por causa de ley, no operará como una renuncia, ni cualquier ejercicio único o parcial que exista </w:t>
      </w:r>
      <w:proofErr w:type="spellStart"/>
      <w:r w:rsidRPr="008762D1">
        <w:rPr>
          <w:rFonts w:ascii="ITC Avant Garde" w:hAnsi="ITC Avant Garde"/>
          <w:color w:val="000000" w:themeColor="text1"/>
          <w:sz w:val="18"/>
          <w:szCs w:val="18"/>
          <w:lang w:val="es-ES_tradnl"/>
        </w:rPr>
        <w:t>precluirá</w:t>
      </w:r>
      <w:proofErr w:type="spellEnd"/>
      <w:r w:rsidRPr="008762D1">
        <w:rPr>
          <w:rFonts w:ascii="ITC Avant Garde" w:hAnsi="ITC Avant Garde"/>
          <w:color w:val="000000" w:themeColor="text1"/>
          <w:sz w:val="18"/>
          <w:szCs w:val="18"/>
          <w:lang w:val="es-ES_tradnl"/>
        </w:rPr>
        <w:t xml:space="preserve"> a cualquier ejercicio futuro de acción, derecho, facultad o privilegio previsto.”</w:t>
      </w:r>
    </w:p>
    <w:p w14:paraId="7EB2A6D7" w14:textId="4A030191" w:rsidR="00620B95" w:rsidRPr="008762D1" w:rsidRDefault="00620B9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4F2893AB" w14:textId="77777777" w:rsidR="000F0B9F" w:rsidRPr="008762D1" w:rsidRDefault="00317724"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w:t>
      </w:r>
      <w:r w:rsidR="00AB44C6" w:rsidRPr="008762D1">
        <w:rPr>
          <w:rFonts w:cs="Arial"/>
          <w:color w:val="000000" w:themeColor="text1"/>
          <w:lang w:eastAsia="es-MX"/>
        </w:rPr>
        <w:t>el numeral 18</w:t>
      </w:r>
      <w:r w:rsidRPr="008762D1">
        <w:rPr>
          <w:rFonts w:cs="Arial"/>
          <w:color w:val="000000" w:themeColor="text1"/>
          <w:lang w:eastAsia="es-MX"/>
        </w:rPr>
        <w:t>.1</w:t>
      </w:r>
      <w:r w:rsidR="00AB44C6" w:rsidRPr="008762D1">
        <w:rPr>
          <w:rFonts w:cs="Arial"/>
          <w:color w:val="000000" w:themeColor="text1"/>
          <w:lang w:eastAsia="es-MX"/>
        </w:rPr>
        <w:t>1</w:t>
      </w:r>
      <w:r w:rsidRPr="008762D1">
        <w:rPr>
          <w:rFonts w:cs="Arial"/>
          <w:color w:val="000000" w:themeColor="text1"/>
          <w:lang w:eastAsia="es-MX"/>
        </w:rPr>
        <w:t xml:space="preserve"> </w:t>
      </w:r>
      <w:r w:rsidR="00AB44C6" w:rsidRPr="008762D1">
        <w:rPr>
          <w:rFonts w:cs="Arial"/>
          <w:color w:val="000000" w:themeColor="text1"/>
          <w:lang w:eastAsia="es-MX"/>
        </w:rPr>
        <w:t>No Renuncia de Derechos y Acciones</w:t>
      </w:r>
      <w:r w:rsidRPr="008762D1">
        <w:rPr>
          <w:rFonts w:cs="Arial"/>
          <w:color w:val="000000" w:themeColor="text1"/>
          <w:lang w:eastAsia="es-MX"/>
        </w:rPr>
        <w:t xml:space="preserve"> de la Cláusula </w:t>
      </w:r>
      <w:r w:rsidR="00AB44C6" w:rsidRPr="008762D1">
        <w:rPr>
          <w:rFonts w:cs="Arial"/>
          <w:color w:val="000000" w:themeColor="text1"/>
          <w:lang w:eastAsia="es-MX"/>
        </w:rPr>
        <w:t>Decimoctava</w:t>
      </w:r>
      <w:r w:rsidRPr="008762D1">
        <w:rPr>
          <w:rFonts w:cs="Arial"/>
          <w:color w:val="000000" w:themeColor="text1"/>
          <w:lang w:eastAsia="es-MX"/>
        </w:rPr>
        <w:t xml:space="preserve"> en los términos señalados en el Acuerdo.</w:t>
      </w:r>
    </w:p>
    <w:p w14:paraId="68C93238" w14:textId="2D311613" w:rsidR="00620B95" w:rsidRPr="008762D1" w:rsidRDefault="00620B9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784D1A79" w14:textId="77777777" w:rsidR="000F0B9F" w:rsidRPr="008762D1" w:rsidRDefault="008F2DE2" w:rsidP="000F0B9F">
      <w:pPr>
        <w:pStyle w:val="IFT1"/>
        <w:tabs>
          <w:tab w:val="left" w:pos="284"/>
          <w:tab w:val="left" w:pos="567"/>
        </w:tabs>
        <w:spacing w:before="240" w:after="0"/>
        <w:rPr>
          <w:rFonts w:cs="Arial"/>
          <w:color w:val="000000" w:themeColor="text1"/>
          <w:lang w:eastAsia="es-MX"/>
        </w:rPr>
      </w:pPr>
      <w:r w:rsidRPr="008762D1">
        <w:rPr>
          <w:rFonts w:cs="Arial"/>
          <w:color w:val="000000" w:themeColor="text1"/>
        </w:rPr>
        <w:t xml:space="preserve">Al respecto se señala que la inclusión de una cláusula de no renuncia de derechos es una práctica común en la industria, ya que la misma se encuentra considerada en </w:t>
      </w:r>
      <w:r w:rsidRPr="008762D1">
        <w:rPr>
          <w:color w:val="000000" w:themeColor="text1"/>
        </w:rPr>
        <w:t>los convenios de interconexión entre los distintos concesionarios de la industria y registrados ante el Instituto</w:t>
      </w:r>
      <w:r w:rsidRPr="008762D1">
        <w:rPr>
          <w:rFonts w:cs="Arial"/>
          <w:color w:val="000000" w:themeColor="text1"/>
        </w:rPr>
        <w:t xml:space="preserve">, </w:t>
      </w:r>
      <w:r w:rsidRPr="008762D1">
        <w:rPr>
          <w:color w:val="000000" w:themeColor="text1"/>
          <w:lang w:eastAsia="es-MX"/>
        </w:rPr>
        <w:t>asimismo dicha Cláusula proporciona certeza jurídica al CS y al AEP respecto de la no preclusión de sus derechos</w:t>
      </w:r>
      <w:r w:rsidRPr="008762D1">
        <w:rPr>
          <w:rFonts w:cs="Arial"/>
          <w:color w:val="000000" w:themeColor="text1"/>
          <w:lang w:eastAsia="es-MX"/>
        </w:rPr>
        <w:t>, cabe mencionar que dicha cláusula ya había sido autorizada en el CMI 2017</w:t>
      </w:r>
      <w:r w:rsidR="00AC4804" w:rsidRPr="008762D1">
        <w:rPr>
          <w:color w:val="000000" w:themeColor="text1"/>
        </w:rPr>
        <w:t>, por lo anterior y toda vez que Telmex no realizó manifestaciones sobre la modificación realizada por el Instituto, se considera procedente su aprobación.</w:t>
      </w:r>
      <w:r w:rsidRPr="008762D1">
        <w:rPr>
          <w:color w:val="000000" w:themeColor="text1"/>
        </w:rPr>
        <w:t xml:space="preserve"> </w:t>
      </w:r>
    </w:p>
    <w:p w14:paraId="5AA2A0A5" w14:textId="77777777" w:rsidR="000F0B9F" w:rsidRPr="008762D1" w:rsidRDefault="001F36E5" w:rsidP="000F0B9F">
      <w:pPr>
        <w:pStyle w:val="IFT1"/>
        <w:tabs>
          <w:tab w:val="left" w:pos="284"/>
          <w:tab w:val="left" w:pos="567"/>
        </w:tabs>
        <w:spacing w:before="240" w:after="0"/>
        <w:rPr>
          <w:rFonts w:cs="Arial"/>
          <w:color w:val="000000" w:themeColor="text1"/>
        </w:rPr>
      </w:pPr>
      <w:r w:rsidRPr="008762D1">
        <w:rPr>
          <w:rFonts w:cs="Arial"/>
          <w:color w:val="000000" w:themeColor="text1"/>
        </w:rPr>
        <w:lastRenderedPageBreak/>
        <w:t>S</w:t>
      </w:r>
      <w:r w:rsidR="00CE6A10" w:rsidRPr="008762D1">
        <w:rPr>
          <w:rFonts w:cs="Arial"/>
          <w:color w:val="000000" w:themeColor="text1"/>
        </w:rPr>
        <w:t>obre el resto de l</w:t>
      </w:r>
      <w:r w:rsidR="00F06D6C" w:rsidRPr="008762D1">
        <w:rPr>
          <w:rFonts w:cs="Arial"/>
          <w:color w:val="000000" w:themeColor="text1"/>
        </w:rPr>
        <w:t xml:space="preserve">os incisos de dicha cláusula </w:t>
      </w:r>
      <w:r w:rsidR="00330FA8" w:rsidRPr="008762D1">
        <w:rPr>
          <w:rFonts w:cs="Arial"/>
          <w:color w:val="000000" w:themeColor="text1"/>
        </w:rPr>
        <w:t xml:space="preserve">se observa que los mismos versan sobre el domicilio en el que las partes podrán ser emplazadas por cualquier acción o procedimiento relacionado al convenio, sobre la renuncia de las partes irrevocablemente al derecho de inmunidad con respecto a sus deberes y obligaciones conforme al convenio y a cualquier procedimiento legal para exigirlos y ejecutar cualquier laudo o sentencia dictada en cualquiera de dichos procedimientos, sobre la ley aplicable al convenio, así como que cualquier modificación al convenio deberá constar por escrito emanado de un acuerdo entre las partes, entre otros. </w:t>
      </w:r>
    </w:p>
    <w:p w14:paraId="25A96EDF" w14:textId="77777777" w:rsidR="000F0B9F" w:rsidRPr="008762D1" w:rsidRDefault="00330FA8" w:rsidP="000F0B9F">
      <w:pPr>
        <w:pStyle w:val="IFT1"/>
        <w:tabs>
          <w:tab w:val="left" w:pos="284"/>
          <w:tab w:val="left" w:pos="567"/>
        </w:tabs>
        <w:spacing w:before="240" w:after="0"/>
        <w:rPr>
          <w:rFonts w:cs="Arial"/>
          <w:color w:val="000000" w:themeColor="text1"/>
        </w:rPr>
      </w:pPr>
      <w:r w:rsidRPr="008762D1">
        <w:rPr>
          <w:rFonts w:cs="Arial"/>
          <w:color w:val="000000" w:themeColor="text1"/>
        </w:rPr>
        <w:t>De lo anterior se observa que dichos numerales se refieren a diversos temas jurídicos aplicables a casos particulares, asimismo se observa que los mismos</w:t>
      </w:r>
      <w:r w:rsidRPr="008762D1">
        <w:rPr>
          <w:color w:val="000000" w:themeColor="text1"/>
        </w:rPr>
        <w:t xml:space="preserve"> están considerados en los convenios de interconexión entre los distintos concesionarios de la industria y registrados ante el Instituto, por lo que se considera procedente su </w:t>
      </w:r>
      <w:r w:rsidR="00AC4804" w:rsidRPr="008762D1">
        <w:rPr>
          <w:color w:val="000000" w:themeColor="text1"/>
        </w:rPr>
        <w:t>aprobación</w:t>
      </w:r>
      <w:r w:rsidR="002A571A" w:rsidRPr="008762D1">
        <w:rPr>
          <w:rFonts w:cs="Arial"/>
          <w:color w:val="000000" w:themeColor="text1"/>
          <w:lang w:eastAsia="es-MX"/>
        </w:rPr>
        <w:t>, cabe mencionar que dicha cláusula ya había sido autorizada en el CMI 2</w:t>
      </w:r>
      <w:r w:rsidR="009E3F3A" w:rsidRPr="008762D1">
        <w:rPr>
          <w:rFonts w:cs="Arial"/>
          <w:color w:val="000000" w:themeColor="text1"/>
          <w:lang w:eastAsia="es-MX"/>
        </w:rPr>
        <w:t>017</w:t>
      </w:r>
      <w:r w:rsidRPr="008762D1">
        <w:rPr>
          <w:color w:val="000000" w:themeColor="text1"/>
        </w:rPr>
        <w:t>.</w:t>
      </w:r>
    </w:p>
    <w:p w14:paraId="1303F25D" w14:textId="77777777" w:rsidR="000F0B9F" w:rsidRPr="008762D1" w:rsidRDefault="00DD5D82" w:rsidP="000F0B9F">
      <w:pPr>
        <w:pStyle w:val="IFT1"/>
        <w:numPr>
          <w:ilvl w:val="1"/>
          <w:numId w:val="9"/>
        </w:numPr>
        <w:tabs>
          <w:tab w:val="left" w:pos="284"/>
          <w:tab w:val="left" w:pos="567"/>
        </w:tabs>
        <w:spacing w:before="240" w:after="0"/>
        <w:ind w:left="284" w:hanging="284"/>
        <w:rPr>
          <w:rFonts w:cs="Arial"/>
          <w:color w:val="000000" w:themeColor="text1"/>
          <w:lang w:eastAsia="es-MX"/>
        </w:rPr>
      </w:pPr>
      <w:r w:rsidRPr="008762D1">
        <w:rPr>
          <w:rFonts w:cs="Arial"/>
          <w:b/>
          <w:color w:val="000000" w:themeColor="text1"/>
          <w:lang w:eastAsia="es-MX"/>
        </w:rPr>
        <w:t xml:space="preserve">CLÁUSULA </w:t>
      </w:r>
      <w:r w:rsidR="005422DE" w:rsidRPr="008762D1">
        <w:rPr>
          <w:rFonts w:cs="Arial"/>
          <w:b/>
          <w:color w:val="000000" w:themeColor="text1"/>
          <w:lang w:eastAsia="es-MX"/>
        </w:rPr>
        <w:t>DECIMONOVENA</w:t>
      </w:r>
      <w:r w:rsidRPr="008762D1">
        <w:rPr>
          <w:rFonts w:cs="Arial"/>
          <w:b/>
          <w:color w:val="000000" w:themeColor="text1"/>
          <w:lang w:eastAsia="es-MX"/>
        </w:rPr>
        <w:t xml:space="preserve">. </w:t>
      </w:r>
      <w:r w:rsidR="005422DE" w:rsidRPr="008762D1">
        <w:rPr>
          <w:rFonts w:cs="Arial"/>
          <w:b/>
          <w:color w:val="000000" w:themeColor="text1"/>
          <w:lang w:eastAsia="es-MX"/>
        </w:rPr>
        <w:t>CONDICIONES RESOLUTORIAS</w:t>
      </w:r>
      <w:r w:rsidRPr="008762D1">
        <w:rPr>
          <w:rFonts w:cs="Arial"/>
          <w:b/>
          <w:color w:val="000000" w:themeColor="text1"/>
          <w:lang w:eastAsia="es-MX"/>
        </w:rPr>
        <w:t>.</w:t>
      </w:r>
    </w:p>
    <w:p w14:paraId="27582499" w14:textId="700F38D3" w:rsidR="00A048E4" w:rsidRPr="008762D1" w:rsidRDefault="00A048E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4D181C41" w14:textId="77777777" w:rsidR="000F0B9F" w:rsidRPr="008762D1" w:rsidRDefault="00B86A37" w:rsidP="000F0B9F">
      <w:pPr>
        <w:spacing w:before="240" w:after="0" w:line="276" w:lineRule="auto"/>
        <w:jc w:val="both"/>
        <w:rPr>
          <w:rFonts w:ascii="ITC Avant Garde" w:hAnsi="ITC Avant Garde"/>
          <w:color w:val="000000" w:themeColor="text1"/>
        </w:rPr>
      </w:pPr>
      <w:r w:rsidRPr="008762D1">
        <w:rPr>
          <w:rFonts w:ascii="ITC Avant Garde" w:hAnsi="ITC Avant Garde"/>
          <w:iCs/>
          <w:color w:val="000000" w:themeColor="text1"/>
          <w:lang w:val="es-ES"/>
        </w:rPr>
        <w:t xml:space="preserve">Del análisis de la </w:t>
      </w:r>
      <w:r w:rsidR="00AB7517" w:rsidRPr="008762D1">
        <w:rPr>
          <w:rFonts w:ascii="ITC Avant Garde" w:hAnsi="ITC Avant Garde"/>
          <w:iCs/>
          <w:color w:val="000000" w:themeColor="text1"/>
          <w:lang w:val="es-ES"/>
        </w:rPr>
        <w:t>Cláusula Decimonovena se observó</w:t>
      </w:r>
      <w:r w:rsidRPr="008762D1">
        <w:rPr>
          <w:rFonts w:ascii="ITC Avant Garde" w:hAnsi="ITC Avant Garde"/>
          <w:iCs/>
          <w:color w:val="000000" w:themeColor="text1"/>
          <w:lang w:val="es-ES"/>
        </w:rPr>
        <w:t xml:space="preserve"> que los términos planteados en la misma </w:t>
      </w:r>
      <w:r w:rsidR="00AB7517" w:rsidRPr="008762D1">
        <w:rPr>
          <w:rFonts w:ascii="ITC Avant Garde" w:eastAsia="Times New Roman" w:hAnsi="ITC Avant Garde" w:cs="Arial"/>
          <w:iCs/>
          <w:color w:val="000000" w:themeColor="text1"/>
        </w:rPr>
        <w:t>no se apegaban</w:t>
      </w:r>
      <w:r w:rsidRPr="008762D1">
        <w:rPr>
          <w:rFonts w:ascii="ITC Avant Garde" w:eastAsia="Times New Roman" w:hAnsi="ITC Avant Garde" w:cs="Arial"/>
          <w:iCs/>
          <w:color w:val="000000" w:themeColor="text1"/>
        </w:rPr>
        <w:t xml:space="preserve">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 xml:space="preserve">y, toda vez que el propósito de revisar anualmente el instrumento regulatorio es mejorar, o precisar las condiciones, así como ajustarse a la evolución tecnológica del sector, y de ninguna forma se justifica la existencia de retrocesos en la regulación; el </w:t>
      </w:r>
      <w:r w:rsidR="00AB7517" w:rsidRPr="008762D1">
        <w:rPr>
          <w:rFonts w:ascii="ITC Avant Garde" w:hAnsi="ITC Avant Garde"/>
          <w:bCs/>
          <w:color w:val="000000" w:themeColor="text1"/>
        </w:rPr>
        <w:t>Instituto no consideró</w:t>
      </w:r>
      <w:r w:rsidRPr="008762D1">
        <w:rPr>
          <w:rFonts w:ascii="ITC Avant Garde" w:hAnsi="ITC Avant Garde"/>
          <w:bCs/>
          <w:color w:val="000000" w:themeColor="text1"/>
        </w:rPr>
        <w:t xml:space="preserve"> procedente que en una revisión posterior del convenio ma</w:t>
      </w:r>
      <w:r w:rsidR="00AB7517"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055CCA8F" w14:textId="77777777" w:rsidR="000F0B9F" w:rsidRPr="008762D1" w:rsidRDefault="00B86A37" w:rsidP="000F0B9F">
      <w:pPr>
        <w:pStyle w:val="IFT1"/>
        <w:tabs>
          <w:tab w:val="left" w:pos="284"/>
          <w:tab w:val="left" w:pos="567"/>
        </w:tabs>
        <w:spacing w:before="240" w:after="0"/>
        <w:rPr>
          <w:rFonts w:cs="Arial"/>
          <w:color w:val="000000" w:themeColor="text1"/>
          <w:lang w:eastAsia="es-MX"/>
        </w:rPr>
      </w:pPr>
      <w:r w:rsidRPr="008762D1">
        <w:rPr>
          <w:iCs w:val="0"/>
          <w:color w:val="000000" w:themeColor="text1"/>
          <w:lang w:val="es-ES"/>
        </w:rPr>
        <w:t>Por lo cual</w:t>
      </w:r>
      <w:r w:rsidR="00C41626" w:rsidRPr="008762D1">
        <w:rPr>
          <w:iCs w:val="0"/>
          <w:color w:val="000000" w:themeColor="text1"/>
          <w:lang w:val="es-ES"/>
        </w:rPr>
        <w:t xml:space="preserve">, el Instituto </w:t>
      </w:r>
      <w:r w:rsidR="00AB7517" w:rsidRPr="008762D1">
        <w:rPr>
          <w:iCs w:val="0"/>
          <w:color w:val="000000" w:themeColor="text1"/>
          <w:lang w:val="es-ES"/>
        </w:rPr>
        <w:t xml:space="preserve">modificó la redacción a efecto de señalar </w:t>
      </w:r>
      <w:r w:rsidR="00C41626" w:rsidRPr="008762D1">
        <w:rPr>
          <w:rFonts w:cs="Arial"/>
          <w:color w:val="000000" w:themeColor="text1"/>
          <w:lang w:eastAsia="es-MX"/>
        </w:rPr>
        <w:t xml:space="preserve">que las negociaciones que lleven a cabo con los concesionarios a efecto de acordar los </w:t>
      </w:r>
      <w:r w:rsidR="00801B9D" w:rsidRPr="008762D1">
        <w:rPr>
          <w:rFonts w:cs="Arial"/>
          <w:color w:val="000000" w:themeColor="text1"/>
          <w:lang w:eastAsia="es-MX"/>
        </w:rPr>
        <w:t>términos, tarifas y</w:t>
      </w:r>
      <w:r w:rsidR="00C41626" w:rsidRPr="008762D1">
        <w:rPr>
          <w:rFonts w:cs="Arial"/>
          <w:color w:val="000000" w:themeColor="text1"/>
          <w:lang w:eastAsia="es-MX"/>
        </w:rPr>
        <w:t xml:space="preserve"> condiciones</w:t>
      </w:r>
      <w:r w:rsidR="00801B9D" w:rsidRPr="008762D1">
        <w:rPr>
          <w:rFonts w:cs="Arial"/>
          <w:color w:val="000000" w:themeColor="text1"/>
          <w:lang w:eastAsia="es-MX"/>
        </w:rPr>
        <w:t xml:space="preserve"> una vez que Telmex deje de tener el carácter de AEP</w:t>
      </w:r>
      <w:r w:rsidR="00C41626" w:rsidRPr="008762D1">
        <w:rPr>
          <w:rFonts w:cs="Arial"/>
          <w:color w:val="000000" w:themeColor="text1"/>
          <w:lang w:eastAsia="es-MX"/>
        </w:rPr>
        <w:t xml:space="preserve"> serán con independencia de las acciones que el Instituto pueda ejercer de acuer</w:t>
      </w:r>
      <w:r w:rsidR="00801B9D" w:rsidRPr="008762D1">
        <w:rPr>
          <w:rFonts w:cs="Arial"/>
          <w:color w:val="000000" w:themeColor="text1"/>
          <w:lang w:eastAsia="es-MX"/>
        </w:rPr>
        <w:t>do con la normatividad vigente asimismo</w:t>
      </w:r>
      <w:r w:rsidR="00C41626" w:rsidRPr="008762D1">
        <w:rPr>
          <w:rFonts w:cs="Arial"/>
          <w:color w:val="000000" w:themeColor="text1"/>
          <w:lang w:eastAsia="es-MX"/>
        </w:rPr>
        <w:t>, a efecto de que las partes puedan contar con un margen</w:t>
      </w:r>
      <w:r w:rsidR="007D3293" w:rsidRPr="008762D1">
        <w:rPr>
          <w:rFonts w:cs="Arial"/>
          <w:color w:val="000000" w:themeColor="text1"/>
          <w:lang w:eastAsia="es-MX"/>
        </w:rPr>
        <w:t xml:space="preserve"> suficiente</w:t>
      </w:r>
      <w:r w:rsidR="00C41626" w:rsidRPr="008762D1">
        <w:rPr>
          <w:rFonts w:cs="Arial"/>
          <w:color w:val="000000" w:themeColor="text1"/>
          <w:lang w:eastAsia="es-MX"/>
        </w:rPr>
        <w:t xml:space="preserve"> para negociar los nuevos términos y condiciones suficiente, </w:t>
      </w:r>
      <w:r w:rsidR="00801B9D" w:rsidRPr="008762D1">
        <w:rPr>
          <w:rFonts w:cs="Arial"/>
          <w:color w:val="000000" w:themeColor="text1"/>
          <w:lang w:eastAsia="es-MX"/>
        </w:rPr>
        <w:t xml:space="preserve">se modificó </w:t>
      </w:r>
      <w:r w:rsidR="00C41626" w:rsidRPr="008762D1">
        <w:rPr>
          <w:rFonts w:cs="Arial"/>
          <w:color w:val="000000" w:themeColor="text1"/>
          <w:lang w:eastAsia="es-MX"/>
        </w:rPr>
        <w:t>el plazo para la negociación</w:t>
      </w:r>
      <w:r w:rsidR="00405E71" w:rsidRPr="008762D1">
        <w:rPr>
          <w:rFonts w:cs="Arial"/>
          <w:color w:val="000000" w:themeColor="text1"/>
          <w:lang w:eastAsia="es-MX"/>
        </w:rPr>
        <w:t>, en el siguiente sentido:</w:t>
      </w:r>
    </w:p>
    <w:p w14:paraId="73184D45" w14:textId="77777777" w:rsidR="000F0B9F" w:rsidRPr="008762D1" w:rsidRDefault="00405E71" w:rsidP="000F0B9F">
      <w:pPr>
        <w:tabs>
          <w:tab w:val="left" w:pos="7938"/>
        </w:tabs>
        <w:spacing w:before="240" w:after="0" w:line="276" w:lineRule="auto"/>
        <w:ind w:left="567" w:right="567"/>
        <w:jc w:val="both"/>
        <w:rPr>
          <w:rFonts w:ascii="ITC Avant Garde" w:hAnsi="ITC Avant Garde"/>
          <w:color w:val="000000" w:themeColor="text1"/>
          <w:sz w:val="18"/>
          <w:szCs w:val="18"/>
          <w:lang w:val="es-ES_tradnl"/>
        </w:rPr>
      </w:pPr>
      <w:r w:rsidRPr="008762D1">
        <w:rPr>
          <w:rFonts w:ascii="ITC Avant Garde" w:hAnsi="ITC Avant Garde"/>
          <w:color w:val="000000" w:themeColor="text1"/>
          <w:sz w:val="18"/>
          <w:szCs w:val="18"/>
          <w:lang w:val="es-ES_tradnl"/>
        </w:rPr>
        <w:t>“</w:t>
      </w:r>
      <w:r w:rsidRPr="008762D1">
        <w:rPr>
          <w:rFonts w:ascii="ITC Avant Garde" w:hAnsi="ITC Avant Garde"/>
          <w:b/>
          <w:color w:val="000000" w:themeColor="text1"/>
          <w:sz w:val="18"/>
          <w:szCs w:val="18"/>
          <w:lang w:val="es-ES_tradnl"/>
        </w:rPr>
        <w:t>CONDICIONES RESOLUTORIAS</w:t>
      </w:r>
      <w:r w:rsidRPr="008762D1">
        <w:rPr>
          <w:rFonts w:ascii="ITC Avant Garde" w:hAnsi="ITC Avant Garde"/>
          <w:color w:val="000000" w:themeColor="text1"/>
          <w:sz w:val="18"/>
          <w:szCs w:val="18"/>
          <w:lang w:val="es-ES_tradnl"/>
        </w:rPr>
        <w:t xml:space="preserve">. Las partes acuerdan que las condiciones establecidas en el cuerpo del presente Convenio y sus Anexos, estarán vigentes mientras Telmex tenga el carácter de agente económico preponderante que le fue determinado por el Instituto, sin embargo, en el momento en que Telmex deje de tener tal carácter, ya sea </w:t>
      </w:r>
      <w:r w:rsidRPr="008762D1">
        <w:rPr>
          <w:rFonts w:ascii="ITC Avant Garde" w:hAnsi="ITC Avant Garde"/>
          <w:color w:val="000000" w:themeColor="text1"/>
          <w:sz w:val="18"/>
          <w:szCs w:val="18"/>
          <w:lang w:val="es-ES_tradnl"/>
        </w:rPr>
        <w:lastRenderedPageBreak/>
        <w:t xml:space="preserve">porque así le sea notificado por el Instituto o por virtud de una resolución favorable que recaiga a los medios de impugnación interpuestos por ésta en contra de las resoluciones que así la hayan declarado, las partes negociarán las nuevas condiciones, términos y tarifas </w:t>
      </w:r>
      <w:r w:rsidRPr="008762D1">
        <w:rPr>
          <w:rFonts w:ascii="ITC Avant Garde" w:hAnsi="ITC Avant Garde"/>
          <w:color w:val="000000" w:themeColor="text1"/>
          <w:sz w:val="18"/>
          <w:szCs w:val="18"/>
          <w:u w:val="single"/>
          <w:lang w:val="es-ES_tradnl"/>
        </w:rPr>
        <w:t>de conformidad con lo dispuesto en el artículo 129 de la Ley, y una vez que se haya satisfecho el procedimiento establecido en el artículo 131 de la Ley</w:t>
      </w:r>
      <w:r w:rsidRPr="008762D1">
        <w:rPr>
          <w:rFonts w:ascii="ITC Avant Garde" w:hAnsi="ITC Avant Garde"/>
          <w:color w:val="000000" w:themeColor="text1"/>
          <w:sz w:val="18"/>
          <w:szCs w:val="18"/>
          <w:lang w:val="es-ES_tradnl"/>
        </w:rPr>
        <w:t xml:space="preserve">. </w:t>
      </w:r>
    </w:p>
    <w:p w14:paraId="283E9D49" w14:textId="77777777" w:rsidR="000F0B9F" w:rsidRPr="008762D1" w:rsidRDefault="00405E71" w:rsidP="000F0B9F">
      <w:pPr>
        <w:tabs>
          <w:tab w:val="left" w:pos="7938"/>
        </w:tabs>
        <w:spacing w:before="240" w:after="0" w:line="276" w:lineRule="auto"/>
        <w:ind w:left="567" w:right="567"/>
        <w:jc w:val="both"/>
        <w:rPr>
          <w:rFonts w:ascii="ITC Avant Garde" w:hAnsi="ITC Avant Garde"/>
          <w:color w:val="000000" w:themeColor="text1"/>
          <w:sz w:val="18"/>
          <w:szCs w:val="18"/>
          <w:lang w:val="es-ES_tradnl"/>
        </w:rPr>
      </w:pPr>
      <w:r w:rsidRPr="008762D1">
        <w:rPr>
          <w:rFonts w:ascii="ITC Avant Garde" w:hAnsi="ITC Avant Garde"/>
          <w:color w:val="000000" w:themeColor="text1"/>
          <w:sz w:val="18"/>
          <w:szCs w:val="18"/>
          <w:lang w:val="es-ES_tradnl"/>
        </w:rPr>
        <w:t xml:space="preserve">Las partes se obligan a negociar los términos, condiciones y tarifas que modificarán el presente Convenio en todo lo que sea necesario, en el momento en que Telmex deje de tener el carácter de agente económico preponderante en telecomunicaciones que le fue determinado por el Instituto, ya sea porque así le sea notificado a Telmex por el propio Instituto o porque Telmex haya obtenido resolución favorable en cualesquiera de los litigios a que se hace mención en el inciso f) de las declaraciones de este Convenio, dentro de los </w:t>
      </w:r>
      <w:r w:rsidRPr="008762D1">
        <w:rPr>
          <w:rFonts w:ascii="ITC Avant Garde" w:hAnsi="ITC Avant Garde"/>
          <w:color w:val="000000" w:themeColor="text1"/>
          <w:sz w:val="18"/>
          <w:szCs w:val="18"/>
          <w:u w:val="single"/>
          <w:lang w:val="es-ES_tradnl"/>
        </w:rPr>
        <w:t>12</w:t>
      </w:r>
      <w:r w:rsidRPr="008762D1">
        <w:rPr>
          <w:rFonts w:ascii="ITC Avant Garde" w:hAnsi="ITC Avant Garde"/>
          <w:color w:val="000000" w:themeColor="text1"/>
          <w:sz w:val="18"/>
          <w:szCs w:val="18"/>
          <w:lang w:val="es-ES_tradnl"/>
        </w:rPr>
        <w:t xml:space="preserve">0 </w:t>
      </w:r>
      <w:r w:rsidRPr="008762D1">
        <w:rPr>
          <w:rFonts w:ascii="ITC Avant Garde" w:hAnsi="ITC Avant Garde"/>
          <w:color w:val="000000" w:themeColor="text1"/>
          <w:sz w:val="18"/>
          <w:szCs w:val="18"/>
          <w:u w:val="single"/>
          <w:lang w:val="es-ES_tradnl"/>
        </w:rPr>
        <w:t>(ciento veinte)</w:t>
      </w:r>
      <w:r w:rsidRPr="008762D1">
        <w:rPr>
          <w:rFonts w:ascii="ITC Avant Garde" w:hAnsi="ITC Avant Garde"/>
          <w:color w:val="000000" w:themeColor="text1"/>
          <w:sz w:val="18"/>
          <w:szCs w:val="18"/>
          <w:lang w:val="es-ES_tradnl"/>
        </w:rPr>
        <w:t xml:space="preserve"> días naturales siguientes a la notificación de cualquiera de los supuestos anteriores, obligándose a aplicar, las </w:t>
      </w:r>
      <w:r w:rsidRPr="008762D1">
        <w:rPr>
          <w:rFonts w:ascii="ITC Avant Garde" w:hAnsi="ITC Avant Garde"/>
          <w:color w:val="000000" w:themeColor="text1"/>
          <w:sz w:val="18"/>
          <w:szCs w:val="18"/>
          <w:u w:val="single"/>
          <w:lang w:val="es-ES_tradnl"/>
        </w:rPr>
        <w:t>últimas</w:t>
      </w:r>
      <w:r w:rsidRPr="008762D1">
        <w:rPr>
          <w:rFonts w:ascii="ITC Avant Garde" w:hAnsi="ITC Avant Garde"/>
          <w:color w:val="000000" w:themeColor="text1"/>
          <w:sz w:val="18"/>
          <w:szCs w:val="18"/>
          <w:lang w:val="es-ES_tradnl"/>
        </w:rPr>
        <w:t xml:space="preserve"> tarifas y </w:t>
      </w:r>
      <w:r w:rsidRPr="008762D1">
        <w:rPr>
          <w:rFonts w:ascii="ITC Avant Garde" w:hAnsi="ITC Avant Garde"/>
          <w:color w:val="000000" w:themeColor="text1"/>
          <w:sz w:val="18"/>
          <w:szCs w:val="18"/>
          <w:u w:val="single"/>
          <w:lang w:val="es-ES_tradnl"/>
        </w:rPr>
        <w:t>términos</w:t>
      </w:r>
      <w:r w:rsidRPr="008762D1">
        <w:rPr>
          <w:rFonts w:ascii="ITC Avant Garde" w:hAnsi="ITC Avant Garde"/>
          <w:color w:val="000000" w:themeColor="text1"/>
          <w:sz w:val="18"/>
          <w:szCs w:val="18"/>
          <w:lang w:val="es-ES_tradnl"/>
        </w:rPr>
        <w:t xml:space="preserve"> y demás condiciones </w:t>
      </w:r>
      <w:r w:rsidRPr="008762D1">
        <w:rPr>
          <w:rFonts w:ascii="ITC Avant Garde" w:hAnsi="ITC Avant Garde"/>
          <w:color w:val="000000" w:themeColor="text1"/>
          <w:sz w:val="18"/>
          <w:szCs w:val="18"/>
          <w:u w:val="single"/>
          <w:lang w:val="es-ES_tradnl"/>
        </w:rPr>
        <w:t>suscritos entre</w:t>
      </w:r>
      <w:r w:rsidRPr="008762D1">
        <w:rPr>
          <w:rFonts w:ascii="ITC Avant Garde" w:hAnsi="ITC Avant Garde"/>
          <w:color w:val="000000" w:themeColor="text1"/>
          <w:sz w:val="18"/>
          <w:szCs w:val="18"/>
          <w:lang w:val="es-ES_tradnl"/>
        </w:rPr>
        <w:t xml:space="preserve"> las </w:t>
      </w:r>
      <w:r w:rsidR="003C4FDA" w:rsidRPr="008762D1">
        <w:rPr>
          <w:rFonts w:ascii="ITC Avant Garde" w:hAnsi="ITC Avant Garde"/>
          <w:color w:val="000000" w:themeColor="text1"/>
          <w:sz w:val="18"/>
          <w:szCs w:val="18"/>
          <w:lang w:val="es-ES_tradnl"/>
        </w:rPr>
        <w:t>Partes</w:t>
      </w:r>
      <w:r w:rsidRPr="008762D1">
        <w:rPr>
          <w:rFonts w:ascii="ITC Avant Garde" w:hAnsi="ITC Avant Garde"/>
          <w:color w:val="000000" w:themeColor="text1"/>
          <w:sz w:val="18"/>
          <w:szCs w:val="18"/>
          <w:lang w:val="es-ES_tradnl"/>
        </w:rPr>
        <w:t>.</w:t>
      </w:r>
    </w:p>
    <w:p w14:paraId="6DB6C5A8" w14:textId="77777777" w:rsidR="000F0B9F" w:rsidRPr="008762D1" w:rsidRDefault="00405E71"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7564F327" w14:textId="0524BEC2" w:rsidR="00AB7517" w:rsidRPr="008762D1" w:rsidRDefault="00AB7517"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2EDF14CA" w14:textId="77777777" w:rsidR="000F0B9F" w:rsidRPr="008762D1" w:rsidRDefault="00C11F11"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la Cláusula </w:t>
      </w:r>
      <w:r w:rsidR="00A822AC" w:rsidRPr="008762D1">
        <w:rPr>
          <w:rFonts w:cs="Arial"/>
          <w:color w:val="000000" w:themeColor="text1"/>
          <w:lang w:eastAsia="es-MX"/>
        </w:rPr>
        <w:t>Decimonovena</w:t>
      </w:r>
      <w:r w:rsidRPr="008762D1">
        <w:rPr>
          <w:rFonts w:cs="Arial"/>
          <w:color w:val="000000" w:themeColor="text1"/>
          <w:lang w:eastAsia="es-MX"/>
        </w:rPr>
        <w:t xml:space="preserve"> en los términos señalados en el Acuerdo.</w:t>
      </w:r>
    </w:p>
    <w:p w14:paraId="7A771573" w14:textId="17C9AC2E" w:rsidR="00D753E7" w:rsidRPr="008762D1" w:rsidRDefault="00AB7517"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r w:rsidR="00D753E7" w:rsidRPr="008762D1">
        <w:rPr>
          <w:rFonts w:ascii="ITC Avant Garde" w:hAnsi="ITC Avant Garde" w:cs="Arial"/>
          <w:color w:val="000000" w:themeColor="text1"/>
          <w:lang w:eastAsia="es-MX"/>
        </w:rPr>
        <w:t> </w:t>
      </w:r>
    </w:p>
    <w:p w14:paraId="46E625B0" w14:textId="77777777" w:rsidR="000F0B9F" w:rsidRPr="008762D1" w:rsidRDefault="002E70D4" w:rsidP="000F0B9F">
      <w:pPr>
        <w:pStyle w:val="IFTnormal"/>
        <w:spacing w:before="240" w:after="0"/>
        <w:rPr>
          <w:iCs/>
          <w:color w:val="000000" w:themeColor="text1"/>
          <w:lang w:val="es-ES"/>
        </w:rPr>
      </w:pPr>
      <w:r w:rsidRPr="008762D1">
        <w:rPr>
          <w:color w:val="000000" w:themeColor="text1"/>
          <w:lang w:val="es-ES"/>
        </w:rPr>
        <w:t xml:space="preserve">Al respecto se señala que la </w:t>
      </w:r>
      <w:r w:rsidRPr="008762D1">
        <w:rPr>
          <w:iCs/>
          <w:color w:val="000000" w:themeColor="text1"/>
          <w:lang w:val="es-ES"/>
        </w:rPr>
        <w:t>Cláusula Decimonovena cumple con la legislación vigente al señalar que la negociación de términos, condiciones y tarifas para la prestación de los servicios de interconexión</w:t>
      </w:r>
      <w:r w:rsidR="007D3293" w:rsidRPr="008762D1">
        <w:rPr>
          <w:iCs/>
          <w:color w:val="000000" w:themeColor="text1"/>
          <w:lang w:val="es-ES"/>
        </w:rPr>
        <w:t xml:space="preserve">, una vez que Telmex deje de tener el carácter de agente económico preponderante </w:t>
      </w:r>
      <w:r w:rsidRPr="008762D1">
        <w:rPr>
          <w:iCs/>
          <w:color w:val="000000" w:themeColor="text1"/>
          <w:lang w:val="es-ES"/>
        </w:rPr>
        <w:t>se realizará de conformidad con lo establecido en el artículo 129 de la LFTR.</w:t>
      </w:r>
    </w:p>
    <w:p w14:paraId="7899D4D6" w14:textId="77777777" w:rsidR="000F0B9F" w:rsidRPr="008762D1" w:rsidRDefault="008F57D5" w:rsidP="000F0B9F">
      <w:pPr>
        <w:pStyle w:val="IFTnormal"/>
        <w:spacing w:before="240" w:after="0"/>
        <w:rPr>
          <w:color w:val="000000" w:themeColor="text1"/>
          <w:lang w:val="es-ES"/>
        </w:rPr>
      </w:pPr>
      <w:r w:rsidRPr="008762D1">
        <w:rPr>
          <w:color w:val="000000" w:themeColor="text1"/>
          <w:lang w:val="es-ES"/>
        </w:rPr>
        <w:t xml:space="preserve">Asimismo, considera un periodo de tiempo adecuado a efecto de que el CS pueda encontrar alternativas para la prestación del servicio a los usuarios finales o renegociar con Telmex nuevas condiciones aplicables a los servicios de la Oferta o similares una vez que Telmex deje de tener el carácter de AEP. </w:t>
      </w:r>
    </w:p>
    <w:p w14:paraId="15990252" w14:textId="77777777" w:rsidR="000F0B9F" w:rsidRPr="008762D1" w:rsidRDefault="00055691" w:rsidP="000F0B9F">
      <w:pPr>
        <w:pStyle w:val="IFTnormal"/>
        <w:spacing w:before="240" w:after="0"/>
        <w:rPr>
          <w:color w:val="000000" w:themeColor="text1"/>
          <w:lang w:val="es-ES"/>
        </w:rPr>
      </w:pPr>
      <w:r w:rsidRPr="008762D1">
        <w:rPr>
          <w:color w:val="000000" w:themeColor="text1"/>
          <w:lang w:val="es-ES"/>
        </w:rPr>
        <w:t>No obstante lo anterior y a efecto de que las partes puedan contar con un margen suficiente para llevar a cabo la negociación se añade el siguiente p</w:t>
      </w:r>
      <w:r w:rsidR="000D756B" w:rsidRPr="008762D1">
        <w:rPr>
          <w:color w:val="000000" w:themeColor="text1"/>
          <w:lang w:val="es-ES"/>
        </w:rPr>
        <w:t>árrafo, lo cual no le causa ningún perjuicio al AEP, toda vez que le otorga un margen mayor de maniobra:</w:t>
      </w:r>
    </w:p>
    <w:p w14:paraId="7722AF5E" w14:textId="4086FCB2" w:rsidR="00055691" w:rsidRPr="008762D1" w:rsidRDefault="00055691" w:rsidP="000F0B9F">
      <w:pPr>
        <w:pStyle w:val="IFTnormal"/>
        <w:spacing w:before="240" w:after="0"/>
        <w:ind w:left="709"/>
        <w:rPr>
          <w:color w:val="000000" w:themeColor="text1"/>
          <w:sz w:val="18"/>
          <w:szCs w:val="18"/>
        </w:rPr>
      </w:pPr>
      <w:r w:rsidRPr="008762D1">
        <w:rPr>
          <w:color w:val="000000" w:themeColor="text1"/>
          <w:sz w:val="18"/>
          <w:szCs w:val="18"/>
        </w:rPr>
        <w:t>“(…)</w:t>
      </w:r>
    </w:p>
    <w:p w14:paraId="29CE7F9D" w14:textId="637E5C10" w:rsidR="00055691" w:rsidRPr="008762D1" w:rsidRDefault="00055691" w:rsidP="000F0B9F">
      <w:pPr>
        <w:pStyle w:val="IFTnormal"/>
        <w:spacing w:before="240" w:after="0"/>
        <w:ind w:left="709"/>
        <w:rPr>
          <w:color w:val="000000" w:themeColor="text1"/>
          <w:lang w:val="es-ES"/>
        </w:rPr>
      </w:pPr>
      <w:r w:rsidRPr="008762D1">
        <w:rPr>
          <w:color w:val="000000" w:themeColor="text1"/>
          <w:sz w:val="18"/>
          <w:szCs w:val="18"/>
        </w:rPr>
        <w:t xml:space="preserve">Las Partes podrán acordar prorrogar el periodo de negociación cuantas veces lo consideren necesario.”  </w:t>
      </w:r>
    </w:p>
    <w:p w14:paraId="1582F8C7" w14:textId="77777777" w:rsidR="000F0B9F" w:rsidRPr="008762D1" w:rsidRDefault="00B509CD" w:rsidP="000F0B9F">
      <w:pPr>
        <w:pStyle w:val="IFT1"/>
        <w:numPr>
          <w:ilvl w:val="1"/>
          <w:numId w:val="9"/>
        </w:numPr>
        <w:tabs>
          <w:tab w:val="left" w:pos="284"/>
          <w:tab w:val="left" w:pos="567"/>
        </w:tabs>
        <w:spacing w:before="240" w:after="0"/>
        <w:ind w:left="284" w:hanging="284"/>
        <w:rPr>
          <w:rFonts w:cs="Arial"/>
          <w:color w:val="000000" w:themeColor="text1"/>
          <w:lang w:eastAsia="es-MX"/>
        </w:rPr>
      </w:pPr>
      <w:r w:rsidRPr="008762D1">
        <w:rPr>
          <w:rFonts w:cs="Arial"/>
          <w:b/>
          <w:color w:val="000000" w:themeColor="text1"/>
          <w:lang w:eastAsia="es-MX"/>
        </w:rPr>
        <w:t>ANEXO A. ACUER</w:t>
      </w:r>
      <w:r w:rsidR="00344C3B" w:rsidRPr="008762D1">
        <w:rPr>
          <w:rFonts w:cs="Arial"/>
          <w:b/>
          <w:color w:val="000000" w:themeColor="text1"/>
          <w:lang w:eastAsia="es-MX"/>
        </w:rPr>
        <w:t>D</w:t>
      </w:r>
      <w:r w:rsidRPr="008762D1">
        <w:rPr>
          <w:rFonts w:cs="Arial"/>
          <w:b/>
          <w:color w:val="000000" w:themeColor="text1"/>
          <w:lang w:eastAsia="es-MX"/>
        </w:rPr>
        <w:t>O</w:t>
      </w:r>
      <w:r w:rsidR="0090033D" w:rsidRPr="008762D1">
        <w:rPr>
          <w:rFonts w:cs="Arial"/>
          <w:b/>
          <w:color w:val="000000" w:themeColor="text1"/>
          <w:lang w:eastAsia="es-MX"/>
        </w:rPr>
        <w:t>S</w:t>
      </w:r>
      <w:r w:rsidRPr="008762D1">
        <w:rPr>
          <w:rFonts w:cs="Arial"/>
          <w:b/>
          <w:color w:val="000000" w:themeColor="text1"/>
          <w:lang w:eastAsia="es-MX"/>
        </w:rPr>
        <w:t xml:space="preserve"> TÉCNICO</w:t>
      </w:r>
      <w:r w:rsidR="0090033D" w:rsidRPr="008762D1">
        <w:rPr>
          <w:rFonts w:cs="Arial"/>
          <w:b/>
          <w:color w:val="000000" w:themeColor="text1"/>
          <w:lang w:eastAsia="es-MX"/>
        </w:rPr>
        <w:t>S</w:t>
      </w:r>
      <w:r w:rsidRPr="008762D1">
        <w:rPr>
          <w:rFonts w:cs="Arial"/>
          <w:b/>
          <w:color w:val="000000" w:themeColor="text1"/>
          <w:lang w:eastAsia="es-MX"/>
        </w:rPr>
        <w:t xml:space="preserve"> PARA LA INTERCONEXIÓN DE LAS REDES.</w:t>
      </w:r>
      <w:r w:rsidRPr="008762D1">
        <w:rPr>
          <w:rFonts w:cs="Arial"/>
          <w:color w:val="000000" w:themeColor="text1"/>
          <w:lang w:eastAsia="es-MX"/>
        </w:rPr>
        <w:t xml:space="preserve"> </w:t>
      </w:r>
    </w:p>
    <w:p w14:paraId="69A8994F" w14:textId="77777777" w:rsidR="000F0B9F" w:rsidRPr="008762D1" w:rsidRDefault="00262B1C" w:rsidP="000F0B9F">
      <w:pPr>
        <w:pStyle w:val="IFT1"/>
        <w:numPr>
          <w:ilvl w:val="2"/>
          <w:numId w:val="9"/>
        </w:numPr>
        <w:tabs>
          <w:tab w:val="left" w:pos="284"/>
          <w:tab w:val="left" w:pos="567"/>
        </w:tabs>
        <w:spacing w:before="240" w:after="0"/>
        <w:ind w:left="567" w:hanging="567"/>
        <w:rPr>
          <w:rFonts w:cs="Arial"/>
          <w:b/>
          <w:color w:val="000000" w:themeColor="text1"/>
        </w:rPr>
      </w:pPr>
      <w:r w:rsidRPr="008762D1">
        <w:rPr>
          <w:rFonts w:cs="Arial"/>
          <w:b/>
          <w:color w:val="000000" w:themeColor="text1"/>
        </w:rPr>
        <w:lastRenderedPageBreak/>
        <w:t>ÁREA DEL LOCAL DE COUBICACIÓN</w:t>
      </w:r>
      <w:r w:rsidR="002C6EAE" w:rsidRPr="008762D1">
        <w:rPr>
          <w:rFonts w:cs="Arial"/>
          <w:b/>
          <w:color w:val="000000" w:themeColor="text1"/>
        </w:rPr>
        <w:t>.</w:t>
      </w:r>
    </w:p>
    <w:p w14:paraId="540F209C" w14:textId="5C8EB452" w:rsidR="007F34D1" w:rsidRPr="008762D1" w:rsidRDefault="007F34D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3651857B" w14:textId="77777777" w:rsidR="000F0B9F" w:rsidRPr="008762D1" w:rsidRDefault="007F34D1"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 xml:space="preserve">Del análisis del numeral 6.1 </w:t>
      </w:r>
      <w:proofErr w:type="spellStart"/>
      <w:r w:rsidRPr="008762D1">
        <w:rPr>
          <w:rFonts w:ascii="ITC Avant Garde" w:eastAsia="Times New Roman" w:hAnsi="ITC Avant Garde" w:cs="Arial"/>
          <w:iCs/>
          <w:color w:val="000000" w:themeColor="text1"/>
        </w:rPr>
        <w:t>Coubicación</w:t>
      </w:r>
      <w:proofErr w:type="spellEnd"/>
      <w:r w:rsidRPr="008762D1">
        <w:rPr>
          <w:rFonts w:ascii="ITC Avant Garde" w:eastAsia="Times New Roman" w:hAnsi="ITC Avant Garde" w:cs="Arial"/>
          <w:iCs/>
          <w:color w:val="000000" w:themeColor="text1"/>
        </w:rPr>
        <w:t xml:space="preserve"> del Anexo A de la Propuesta de CMI se observó que los términos planteados en dicho numeral no se apega</w:t>
      </w:r>
      <w:r w:rsidR="00E1602B"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 xml:space="preserve">y, </w:t>
      </w:r>
      <w:r w:rsidR="00C9487E" w:rsidRPr="008762D1">
        <w:rPr>
          <w:rFonts w:ascii="ITC Avant Garde" w:hAnsi="ITC Avant Garde"/>
          <w:bCs/>
          <w:color w:val="000000" w:themeColor="text1"/>
        </w:rPr>
        <w:t xml:space="preserve">más precisamente restringía la compartición de las </w:t>
      </w:r>
      <w:proofErr w:type="spellStart"/>
      <w:r w:rsidR="00C9487E" w:rsidRPr="008762D1">
        <w:rPr>
          <w:rFonts w:ascii="ITC Avant Garde" w:hAnsi="ITC Avant Garde"/>
          <w:bCs/>
          <w:color w:val="000000" w:themeColor="text1"/>
        </w:rPr>
        <w:t>coubicaciones</w:t>
      </w:r>
      <w:proofErr w:type="spellEnd"/>
      <w:r w:rsidR="00C9487E" w:rsidRPr="008762D1">
        <w:rPr>
          <w:rFonts w:ascii="ITC Avant Garde" w:hAnsi="ITC Avant Garde"/>
          <w:bCs/>
          <w:color w:val="000000" w:themeColor="text1"/>
        </w:rPr>
        <w:t xml:space="preserve">, y eliminaba la posibilidad de realizar interconexión entre </w:t>
      </w:r>
      <w:proofErr w:type="spellStart"/>
      <w:r w:rsidR="00C9487E" w:rsidRPr="008762D1">
        <w:rPr>
          <w:rFonts w:ascii="ITC Avant Garde" w:hAnsi="ITC Avant Garde"/>
          <w:bCs/>
          <w:color w:val="000000" w:themeColor="text1"/>
        </w:rPr>
        <w:t>coubicaciones</w:t>
      </w:r>
      <w:proofErr w:type="spellEnd"/>
      <w:r w:rsidR="00C9487E" w:rsidRPr="008762D1">
        <w:rPr>
          <w:rFonts w:ascii="ITC Avant Garde" w:hAnsi="ITC Avant Garde"/>
          <w:bCs/>
          <w:color w:val="000000" w:themeColor="text1"/>
        </w:rPr>
        <w:t xml:space="preserve">, ahora bien y </w:t>
      </w:r>
      <w:r w:rsidRPr="008762D1">
        <w:rPr>
          <w:rFonts w:ascii="ITC Avant Garde" w:hAnsi="ITC Avant Garde"/>
          <w:bCs/>
          <w:color w:val="000000" w:themeColor="text1"/>
        </w:rPr>
        <w:t>toda vez que el propósito de revisar anualmente el instrumento regulatorio es mejorar, o precisar las condiciones, así como ajustarse a la evolución tecnológica del sector, y de ninguna forma se justifica la existencia de retrocesos en la regulación; el In</w:t>
      </w:r>
      <w:r w:rsidR="00A20AF1" w:rsidRPr="008762D1">
        <w:rPr>
          <w:rFonts w:ascii="ITC Avant Garde" w:hAnsi="ITC Avant Garde"/>
          <w:bCs/>
          <w:color w:val="000000" w:themeColor="text1"/>
        </w:rPr>
        <w:t>stituto no consideró</w:t>
      </w:r>
      <w:r w:rsidRPr="008762D1">
        <w:rPr>
          <w:rFonts w:ascii="ITC Avant Garde" w:hAnsi="ITC Avant Garde"/>
          <w:bCs/>
          <w:color w:val="000000" w:themeColor="text1"/>
        </w:rPr>
        <w:t xml:space="preserve"> procedente que en una revisión posterior del convenio ma</w:t>
      </w:r>
      <w:r w:rsidR="00A20AF1"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099A2C70" w14:textId="473F8B06" w:rsidR="00BB3935" w:rsidRPr="008762D1" w:rsidRDefault="002C6EAE" w:rsidP="000F0B9F">
      <w:pPr>
        <w:pStyle w:val="IFT1"/>
        <w:tabs>
          <w:tab w:val="left" w:pos="284"/>
          <w:tab w:val="left" w:pos="567"/>
          <w:tab w:val="left" w:pos="851"/>
        </w:tabs>
        <w:spacing w:before="240" w:after="0"/>
        <w:rPr>
          <w:color w:val="000000" w:themeColor="text1"/>
        </w:rPr>
      </w:pPr>
      <w:r w:rsidRPr="008762D1">
        <w:rPr>
          <w:color w:val="000000" w:themeColor="text1"/>
        </w:rPr>
        <w:t xml:space="preserve">De lo anterior, </w:t>
      </w:r>
      <w:r w:rsidR="00620B95" w:rsidRPr="008762D1">
        <w:rPr>
          <w:color w:val="000000" w:themeColor="text1"/>
        </w:rPr>
        <w:t xml:space="preserve">se modificó el inciso 6.1 </w:t>
      </w:r>
      <w:proofErr w:type="spellStart"/>
      <w:r w:rsidR="00620B95" w:rsidRPr="008762D1">
        <w:rPr>
          <w:color w:val="000000" w:themeColor="text1"/>
        </w:rPr>
        <w:t>Coubicación</w:t>
      </w:r>
      <w:proofErr w:type="spellEnd"/>
      <w:r w:rsidR="00620B95" w:rsidRPr="008762D1">
        <w:rPr>
          <w:color w:val="000000" w:themeColor="text1"/>
        </w:rPr>
        <w:t xml:space="preserve">, </w:t>
      </w:r>
      <w:r w:rsidR="00380201" w:rsidRPr="008762D1">
        <w:rPr>
          <w:color w:val="000000" w:themeColor="text1"/>
        </w:rPr>
        <w:t xml:space="preserve">sección </w:t>
      </w:r>
      <w:r w:rsidR="00620B95" w:rsidRPr="008762D1">
        <w:rPr>
          <w:color w:val="000000" w:themeColor="text1"/>
        </w:rPr>
        <w:t>A.1 y A.2 del Anexo A</w:t>
      </w:r>
      <w:r w:rsidR="004F467B" w:rsidRPr="008762D1">
        <w:rPr>
          <w:color w:val="000000" w:themeColor="text1"/>
        </w:rPr>
        <w:t>,</w:t>
      </w:r>
      <w:r w:rsidR="00620B95" w:rsidRPr="008762D1">
        <w:rPr>
          <w:color w:val="000000" w:themeColor="text1"/>
        </w:rPr>
        <w:t xml:space="preserve"> </w:t>
      </w:r>
      <w:r w:rsidRPr="008762D1">
        <w:rPr>
          <w:color w:val="000000" w:themeColor="text1"/>
        </w:rPr>
        <w:t xml:space="preserve">a efecto de </w:t>
      </w:r>
      <w:r w:rsidR="007F34D1" w:rsidRPr="008762D1">
        <w:rPr>
          <w:color w:val="000000" w:themeColor="text1"/>
        </w:rPr>
        <w:t xml:space="preserve">señalar que Telmex debe permitir al CS compartir con otros concesionarios el gabinete proporcionado en el tipo de </w:t>
      </w:r>
      <w:proofErr w:type="spellStart"/>
      <w:r w:rsidR="007F34D1" w:rsidRPr="008762D1">
        <w:rPr>
          <w:color w:val="000000" w:themeColor="text1"/>
        </w:rPr>
        <w:t>coubicación</w:t>
      </w:r>
      <w:proofErr w:type="spellEnd"/>
      <w:r w:rsidR="007F34D1" w:rsidRPr="008762D1">
        <w:rPr>
          <w:color w:val="000000" w:themeColor="text1"/>
        </w:rPr>
        <w:t xml:space="preserve"> 3 </w:t>
      </w:r>
      <w:r w:rsidR="00620B95" w:rsidRPr="008762D1">
        <w:rPr>
          <w:color w:val="000000" w:themeColor="text1"/>
        </w:rPr>
        <w:t>y que</w:t>
      </w:r>
      <w:r w:rsidR="00E1602B" w:rsidRPr="008762D1">
        <w:rPr>
          <w:color w:val="000000" w:themeColor="text1"/>
        </w:rPr>
        <w:t>,</w:t>
      </w:r>
      <w:r w:rsidR="00620B95" w:rsidRPr="008762D1">
        <w:rPr>
          <w:color w:val="000000" w:themeColor="text1"/>
        </w:rPr>
        <w:t xml:space="preserve"> </w:t>
      </w:r>
      <w:r w:rsidR="00E1602B" w:rsidRPr="008762D1">
        <w:rPr>
          <w:color w:val="000000" w:themeColor="text1"/>
        </w:rPr>
        <w:t>la</w:t>
      </w:r>
      <w:r w:rsidR="00620B95" w:rsidRPr="008762D1">
        <w:rPr>
          <w:color w:val="000000" w:themeColor="text1"/>
        </w:rPr>
        <w:t xml:space="preserve"> interconexión cruzada se realizará por medio de estructuras de soporte y enlaces de transmisión </w:t>
      </w:r>
      <w:r w:rsidR="00E1602B" w:rsidRPr="008762D1">
        <w:rPr>
          <w:color w:val="000000" w:themeColor="text1"/>
        </w:rPr>
        <w:t>proporcionados</w:t>
      </w:r>
      <w:r w:rsidR="00620B95" w:rsidRPr="008762D1">
        <w:rPr>
          <w:color w:val="000000" w:themeColor="text1"/>
        </w:rPr>
        <w:t xml:space="preserve"> por el concesionario propietario de las instalaciones</w:t>
      </w:r>
      <w:r w:rsidR="00BB3935" w:rsidRPr="008762D1">
        <w:rPr>
          <w:color w:val="000000" w:themeColor="text1"/>
        </w:rPr>
        <w:t>, en el siguiente sentido:</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Caption w:val="Tabla"/>
        <w:tblDescription w:val="Área local"/>
      </w:tblPr>
      <w:tblGrid>
        <w:gridCol w:w="2273"/>
        <w:gridCol w:w="5386"/>
      </w:tblGrid>
      <w:tr w:rsidR="008762D1" w:rsidRPr="008762D1" w14:paraId="35B1B6EC" w14:textId="77777777" w:rsidTr="00036A6A">
        <w:trPr>
          <w:trHeight w:val="2639"/>
          <w:tblHeader/>
          <w:jc w:val="center"/>
        </w:trPr>
        <w:tc>
          <w:tcPr>
            <w:tcW w:w="2273" w:type="dxa"/>
          </w:tcPr>
          <w:p w14:paraId="7AA7898B" w14:textId="77777777" w:rsidR="00BB3935" w:rsidRPr="008762D1" w:rsidRDefault="00BB3935" w:rsidP="000F0B9F">
            <w:pPr>
              <w:pStyle w:val="Textosinformato"/>
              <w:numPr>
                <w:ilvl w:val="0"/>
                <w:numId w:val="13"/>
              </w:numPr>
              <w:tabs>
                <w:tab w:val="clear" w:pos="720"/>
                <w:tab w:val="left" w:pos="276"/>
              </w:tabs>
              <w:spacing w:before="240" w:line="276" w:lineRule="auto"/>
              <w:ind w:left="0" w:firstLine="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Área del local:</w:t>
            </w:r>
          </w:p>
        </w:tc>
        <w:tc>
          <w:tcPr>
            <w:tcW w:w="5386" w:type="dxa"/>
          </w:tcPr>
          <w:p w14:paraId="085496EE" w14:textId="77777777" w:rsidR="00BB3935" w:rsidRPr="008762D1" w:rsidRDefault="00BB3935" w:rsidP="000F0B9F">
            <w:pPr>
              <w:spacing w:before="240"/>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p>
          <w:p w14:paraId="302EDEA3" w14:textId="77777777" w:rsidR="00BB3935" w:rsidRPr="008762D1" w:rsidRDefault="00BB3935" w:rsidP="000F0B9F">
            <w:pPr>
              <w:spacing w:before="240"/>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6 unidades de rack serán reservadas para el PDU (unidad de distribución de energía) y el sistema de ventilación.</w:t>
            </w:r>
          </w:p>
          <w:p w14:paraId="111FD335" w14:textId="77777777" w:rsidR="00BB3935" w:rsidRPr="008762D1" w:rsidRDefault="00BB3935" w:rsidP="000F0B9F">
            <w:pPr>
              <w:spacing w:before="240"/>
              <w:jc w:val="both"/>
              <w:rPr>
                <w:rFonts w:ascii="ITC Avant Garde" w:hAnsi="ITC Avant Garde" w:cs="Arial"/>
                <w:strike/>
                <w:color w:val="000000" w:themeColor="text1"/>
                <w:sz w:val="18"/>
                <w:szCs w:val="18"/>
              </w:rPr>
            </w:pPr>
            <w:r w:rsidRPr="008762D1">
              <w:rPr>
                <w:rFonts w:ascii="ITC Avant Garde" w:hAnsi="ITC Avant Garde" w:cs="Arial"/>
                <w:strike/>
                <w:color w:val="000000" w:themeColor="text1"/>
                <w:sz w:val="18"/>
                <w:szCs w:val="18"/>
              </w:rPr>
              <w:t>Los gabinetes serán de uso exclusivo por concesionario.</w:t>
            </w:r>
          </w:p>
          <w:p w14:paraId="0CF65061" w14:textId="77777777" w:rsidR="00BB3935" w:rsidRPr="008762D1" w:rsidRDefault="00BB3935" w:rsidP="000F0B9F">
            <w:pPr>
              <w:spacing w:before="240"/>
              <w:jc w:val="both"/>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Telmex permitirá al Concesionario Solicitante compartir con otros Concesionarios que se lo requieran, el gabinete que al efecto Telmex le haya proporcionado. En cuyo caso el responsable del gabinete seguirá siendo el Concesionario Solicitante</w:t>
            </w:r>
          </w:p>
          <w:p w14:paraId="60764E96" w14:textId="77777777" w:rsidR="00BB3935" w:rsidRPr="008762D1" w:rsidRDefault="00BB3935" w:rsidP="000F0B9F">
            <w:pPr>
              <w:spacing w:before="240"/>
              <w:rPr>
                <w:rFonts w:ascii="ITC Avant Garde" w:hAnsi="ITC Avant Garde"/>
                <w:color w:val="000000" w:themeColor="text1"/>
                <w:sz w:val="18"/>
                <w:szCs w:val="18"/>
              </w:rPr>
            </w:pPr>
            <w:r w:rsidRPr="008762D1">
              <w:rPr>
                <w:rFonts w:ascii="ITC Avant Garde" w:hAnsi="ITC Avant Garde" w:cs="Arial"/>
                <w:color w:val="000000" w:themeColor="text1"/>
                <w:sz w:val="18"/>
                <w:szCs w:val="18"/>
              </w:rPr>
              <w:t>(…)</w:t>
            </w:r>
          </w:p>
        </w:tc>
      </w:tr>
    </w:tbl>
    <w:p w14:paraId="7DC33AD2" w14:textId="77777777" w:rsidR="001E154F" w:rsidRPr="008762D1" w:rsidRDefault="001E154F" w:rsidP="000F0B9F">
      <w:pPr>
        <w:spacing w:before="24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u w:val="single"/>
        </w:rPr>
        <w:t xml:space="preserve">En caso de que dos concesionarios tengan presencia en un mismo punto de interconexión y estén interesados en contratar un Enlace de Transmisión de Interconexión entre </w:t>
      </w:r>
      <w:proofErr w:type="spellStart"/>
      <w:r w:rsidRPr="008762D1">
        <w:rPr>
          <w:rFonts w:ascii="ITC Avant Garde" w:hAnsi="ITC Avant Garde" w:cs="Arial"/>
          <w:color w:val="000000" w:themeColor="text1"/>
          <w:sz w:val="18"/>
          <w:szCs w:val="18"/>
          <w:u w:val="single"/>
        </w:rPr>
        <w:t>Coubicaciones</w:t>
      </w:r>
      <w:proofErr w:type="spellEnd"/>
      <w:r w:rsidRPr="008762D1">
        <w:rPr>
          <w:rFonts w:ascii="ITC Avant Garde" w:hAnsi="ITC Avant Garde" w:cs="Arial"/>
          <w:color w:val="000000" w:themeColor="text1"/>
          <w:sz w:val="18"/>
          <w:szCs w:val="18"/>
          <w:u w:val="single"/>
        </w:rPr>
        <w:t xml:space="preserve"> (interconexión cruzada), es decir la interconexión directa entre </w:t>
      </w:r>
      <w:proofErr w:type="spellStart"/>
      <w:r w:rsidRPr="008762D1">
        <w:rPr>
          <w:rFonts w:ascii="ITC Avant Garde" w:hAnsi="ITC Avant Garde" w:cs="Arial"/>
          <w:color w:val="000000" w:themeColor="text1"/>
          <w:sz w:val="18"/>
          <w:szCs w:val="18"/>
          <w:u w:val="single"/>
        </w:rPr>
        <w:t>coubicaciones</w:t>
      </w:r>
      <w:proofErr w:type="spellEnd"/>
      <w:r w:rsidRPr="008762D1">
        <w:rPr>
          <w:rFonts w:ascii="ITC Avant Garde" w:hAnsi="ITC Avant Garde" w:cs="Arial"/>
          <w:color w:val="000000" w:themeColor="text1"/>
          <w:sz w:val="18"/>
          <w:szCs w:val="18"/>
          <w:u w:val="single"/>
        </w:rPr>
        <w:t xml:space="preserve">, ésta se realizará por medio de estructuras de soporte y enlaces de transmisión que deberán ser proporcionados y arrendados por el concesionario propietario de las instalaciones en que se encuentren </w:t>
      </w:r>
      <w:proofErr w:type="spellStart"/>
      <w:r w:rsidRPr="008762D1">
        <w:rPr>
          <w:rFonts w:ascii="ITC Avant Garde" w:hAnsi="ITC Avant Garde" w:cs="Arial"/>
          <w:color w:val="000000" w:themeColor="text1"/>
          <w:sz w:val="18"/>
          <w:szCs w:val="18"/>
          <w:u w:val="single"/>
        </w:rPr>
        <w:t>coubicados</w:t>
      </w:r>
      <w:proofErr w:type="spellEnd"/>
      <w:r w:rsidRPr="008762D1">
        <w:rPr>
          <w:rFonts w:ascii="ITC Avant Garde" w:hAnsi="ITC Avant Garde" w:cs="Arial"/>
          <w:color w:val="000000" w:themeColor="text1"/>
          <w:sz w:val="18"/>
          <w:szCs w:val="18"/>
          <w:u w:val="single"/>
        </w:rPr>
        <w:t xml:space="preserve"> los concesionarios interesados</w:t>
      </w:r>
      <w:r w:rsidRPr="008762D1">
        <w:rPr>
          <w:rFonts w:ascii="ITC Avant Garde" w:hAnsi="ITC Avant Garde" w:cs="Arial"/>
          <w:color w:val="000000" w:themeColor="text1"/>
          <w:sz w:val="18"/>
          <w:szCs w:val="18"/>
        </w:rPr>
        <w:t>.</w:t>
      </w:r>
    </w:p>
    <w:p w14:paraId="2A635B39" w14:textId="77777777" w:rsidR="000F0B9F" w:rsidRPr="008762D1" w:rsidRDefault="001E154F"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3898C6F4" w14:textId="707A9998" w:rsidR="00A20AF1" w:rsidRPr="008762D1" w:rsidRDefault="00A20AF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lastRenderedPageBreak/>
        <w:t>CMI Modificado</w:t>
      </w:r>
    </w:p>
    <w:p w14:paraId="25441B4B" w14:textId="77777777" w:rsidR="000F0B9F" w:rsidRPr="008762D1" w:rsidRDefault="00C11F11"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w:t>
      </w:r>
      <w:r w:rsidR="00D81CBF" w:rsidRPr="008762D1">
        <w:rPr>
          <w:rFonts w:cs="Arial"/>
          <w:color w:val="000000" w:themeColor="text1"/>
          <w:lang w:eastAsia="es-MX"/>
        </w:rPr>
        <w:t>el numeral 6</w:t>
      </w:r>
      <w:r w:rsidRPr="008762D1">
        <w:rPr>
          <w:rFonts w:cs="Arial"/>
          <w:color w:val="000000" w:themeColor="text1"/>
          <w:lang w:eastAsia="es-MX"/>
        </w:rPr>
        <w:t xml:space="preserve">.1 </w:t>
      </w:r>
      <w:proofErr w:type="spellStart"/>
      <w:r w:rsidR="00D81CBF" w:rsidRPr="008762D1">
        <w:rPr>
          <w:color w:val="000000" w:themeColor="text1"/>
        </w:rPr>
        <w:t>Coubicación</w:t>
      </w:r>
      <w:proofErr w:type="spellEnd"/>
      <w:r w:rsidR="00D81CBF" w:rsidRPr="008762D1">
        <w:rPr>
          <w:color w:val="000000" w:themeColor="text1"/>
        </w:rPr>
        <w:t xml:space="preserve">, </w:t>
      </w:r>
      <w:r w:rsidR="00380201" w:rsidRPr="008762D1">
        <w:rPr>
          <w:color w:val="000000" w:themeColor="text1"/>
        </w:rPr>
        <w:t xml:space="preserve">sección </w:t>
      </w:r>
      <w:r w:rsidR="00D81CBF" w:rsidRPr="008762D1">
        <w:rPr>
          <w:color w:val="000000" w:themeColor="text1"/>
        </w:rPr>
        <w:t xml:space="preserve">A.1 y A.2 del Anexo A </w:t>
      </w:r>
      <w:r w:rsidRPr="008762D1">
        <w:rPr>
          <w:rFonts w:cs="Arial"/>
          <w:color w:val="000000" w:themeColor="text1"/>
          <w:lang w:eastAsia="es-MX"/>
        </w:rPr>
        <w:t>en los términos señalados en el Acuerdo.</w:t>
      </w:r>
    </w:p>
    <w:p w14:paraId="257DB3D5" w14:textId="40AF6F0D" w:rsidR="00A20AF1" w:rsidRPr="008762D1" w:rsidRDefault="00A20AF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261112B" w14:textId="77777777" w:rsidR="000F0B9F" w:rsidRPr="008762D1" w:rsidRDefault="009953AB" w:rsidP="000F0B9F">
      <w:pPr>
        <w:pStyle w:val="IFT1"/>
        <w:tabs>
          <w:tab w:val="left" w:pos="284"/>
          <w:tab w:val="left" w:pos="567"/>
          <w:tab w:val="left" w:pos="851"/>
        </w:tabs>
        <w:spacing w:before="240" w:after="0"/>
        <w:rPr>
          <w:color w:val="000000" w:themeColor="text1"/>
        </w:rPr>
      </w:pPr>
      <w:r w:rsidRPr="008762D1">
        <w:rPr>
          <w:color w:val="000000" w:themeColor="text1"/>
        </w:rPr>
        <w:t xml:space="preserve">Al respecto se señala que el inciso 6.1 </w:t>
      </w:r>
      <w:proofErr w:type="spellStart"/>
      <w:r w:rsidRPr="008762D1">
        <w:rPr>
          <w:color w:val="000000" w:themeColor="text1"/>
        </w:rPr>
        <w:t>Coubicación</w:t>
      </w:r>
      <w:proofErr w:type="spellEnd"/>
      <w:r w:rsidRPr="008762D1">
        <w:rPr>
          <w:color w:val="000000" w:themeColor="text1"/>
        </w:rPr>
        <w:t xml:space="preserve">, </w:t>
      </w:r>
      <w:r w:rsidR="00380201" w:rsidRPr="008762D1">
        <w:rPr>
          <w:color w:val="000000" w:themeColor="text1"/>
        </w:rPr>
        <w:t xml:space="preserve">sección </w:t>
      </w:r>
      <w:r w:rsidRPr="008762D1">
        <w:rPr>
          <w:color w:val="000000" w:themeColor="text1"/>
        </w:rPr>
        <w:t xml:space="preserve">A.1 y A.2 del Anexo A es acorde a lo señalado en el Acuerdo de Condiciones Técnicas Mínimas respecto a la prestación del servicio de interconexión cruzada mediante las estructuras de soporte y enlaces de transmisión del concesionario propietarios de las instalaciones donde se encuentran </w:t>
      </w:r>
      <w:proofErr w:type="spellStart"/>
      <w:r w:rsidRPr="008762D1">
        <w:rPr>
          <w:color w:val="000000" w:themeColor="text1"/>
        </w:rPr>
        <w:t>coubicados</w:t>
      </w:r>
      <w:proofErr w:type="spellEnd"/>
      <w:r w:rsidRPr="008762D1">
        <w:rPr>
          <w:color w:val="000000" w:themeColor="text1"/>
        </w:rPr>
        <w:t xml:space="preserve"> los concesionarios que requieren el servicio.</w:t>
      </w:r>
    </w:p>
    <w:p w14:paraId="35D50F3A" w14:textId="77777777" w:rsidR="000F0B9F" w:rsidRPr="008762D1" w:rsidRDefault="009953AB" w:rsidP="000F0B9F">
      <w:pPr>
        <w:pStyle w:val="IFT1"/>
        <w:tabs>
          <w:tab w:val="left" w:pos="284"/>
          <w:tab w:val="left" w:pos="567"/>
          <w:tab w:val="left" w:pos="851"/>
        </w:tabs>
        <w:spacing w:before="240" w:after="0"/>
        <w:rPr>
          <w:color w:val="000000" w:themeColor="text1"/>
        </w:rPr>
      </w:pPr>
      <w:r w:rsidRPr="008762D1">
        <w:rPr>
          <w:color w:val="000000" w:themeColor="text1"/>
        </w:rPr>
        <w:t>Asimismo, la obligación de Telmex de permitir a los CS compartir el gabinete que Telmex les haya proporcionado es acorde a lo establecido en el CMI 2017.</w:t>
      </w:r>
    </w:p>
    <w:p w14:paraId="67505480" w14:textId="77777777" w:rsidR="000F0B9F" w:rsidRPr="008762D1" w:rsidRDefault="009953AB" w:rsidP="000F0B9F">
      <w:pPr>
        <w:pStyle w:val="IFT1"/>
        <w:tabs>
          <w:tab w:val="left" w:pos="284"/>
          <w:tab w:val="left" w:pos="567"/>
          <w:tab w:val="left" w:pos="851"/>
        </w:tabs>
        <w:spacing w:before="240" w:after="0"/>
        <w:rPr>
          <w:color w:val="000000" w:themeColor="text1"/>
        </w:rPr>
      </w:pPr>
      <w:r w:rsidRPr="008762D1">
        <w:rPr>
          <w:color w:val="000000" w:themeColor="text1"/>
        </w:rPr>
        <w:t>En virtud de lo anterior,</w:t>
      </w:r>
      <w:r w:rsidR="00AC4804" w:rsidRPr="008762D1">
        <w:rPr>
          <w:color w:val="000000" w:themeColor="text1"/>
        </w:rPr>
        <w:t xml:space="preserve"> y toda vez que Telmex no realizó manifestaciones sobre la modificación realizada por el Instituto, se considera procedente la aprobación</w:t>
      </w:r>
      <w:r w:rsidRPr="008762D1">
        <w:rPr>
          <w:color w:val="000000" w:themeColor="text1"/>
        </w:rPr>
        <w:t xml:space="preserve"> del inciso 6.1 </w:t>
      </w:r>
      <w:proofErr w:type="spellStart"/>
      <w:r w:rsidRPr="008762D1">
        <w:rPr>
          <w:color w:val="000000" w:themeColor="text1"/>
        </w:rPr>
        <w:t>Coubicación</w:t>
      </w:r>
      <w:proofErr w:type="spellEnd"/>
      <w:r w:rsidRPr="008762D1">
        <w:rPr>
          <w:color w:val="000000" w:themeColor="text1"/>
        </w:rPr>
        <w:t xml:space="preserve">, </w:t>
      </w:r>
      <w:r w:rsidR="00380201" w:rsidRPr="008762D1">
        <w:rPr>
          <w:color w:val="000000" w:themeColor="text1"/>
        </w:rPr>
        <w:t xml:space="preserve">sección </w:t>
      </w:r>
      <w:r w:rsidRPr="008762D1">
        <w:rPr>
          <w:color w:val="000000" w:themeColor="text1"/>
        </w:rPr>
        <w:t>A.1 y A.2 del Anexo A</w:t>
      </w:r>
      <w:r w:rsidR="00F837F6" w:rsidRPr="008762D1">
        <w:rPr>
          <w:color w:val="000000" w:themeColor="text1"/>
        </w:rPr>
        <w:t xml:space="preserve"> al ajustarse a las disposiciones en materia de interconexión aplicables.</w:t>
      </w:r>
    </w:p>
    <w:p w14:paraId="54E4F382" w14:textId="77777777" w:rsidR="000F0B9F" w:rsidRPr="008762D1" w:rsidRDefault="002C6EAE" w:rsidP="000F0B9F">
      <w:pPr>
        <w:pStyle w:val="IFT1"/>
        <w:numPr>
          <w:ilvl w:val="2"/>
          <w:numId w:val="9"/>
        </w:numPr>
        <w:tabs>
          <w:tab w:val="left" w:pos="284"/>
          <w:tab w:val="left" w:pos="567"/>
          <w:tab w:val="left" w:pos="851"/>
        </w:tabs>
        <w:spacing w:before="240" w:after="0"/>
        <w:ind w:left="567" w:hanging="567"/>
        <w:rPr>
          <w:b/>
          <w:color w:val="000000" w:themeColor="text1"/>
        </w:rPr>
      </w:pPr>
      <w:r w:rsidRPr="008762D1">
        <w:rPr>
          <w:b/>
          <w:color w:val="000000" w:themeColor="text1"/>
        </w:rPr>
        <w:t>ENERGÍA ELÉCTRICA.</w:t>
      </w:r>
    </w:p>
    <w:p w14:paraId="2C520D98" w14:textId="0FC6B39B" w:rsidR="002C6EAE" w:rsidRPr="008762D1" w:rsidRDefault="002C6EAE"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429B1B8D" w14:textId="77777777" w:rsidR="000F0B9F" w:rsidRPr="008762D1" w:rsidRDefault="00C320B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lang w:eastAsia="es-MX"/>
        </w:rPr>
        <w:t xml:space="preserve">En el Tema 6 </w:t>
      </w:r>
      <w:proofErr w:type="spellStart"/>
      <w:r w:rsidRPr="008762D1">
        <w:rPr>
          <w:rFonts w:ascii="ITC Avant Garde" w:hAnsi="ITC Avant Garde"/>
          <w:color w:val="000000" w:themeColor="text1"/>
          <w:lang w:eastAsia="es-MX"/>
        </w:rPr>
        <w:t>Coubicaciones</w:t>
      </w:r>
      <w:proofErr w:type="spellEnd"/>
      <w:r w:rsidRPr="008762D1">
        <w:rPr>
          <w:rFonts w:ascii="ITC Avant Garde" w:hAnsi="ITC Avant Garde"/>
          <w:color w:val="000000" w:themeColor="text1"/>
          <w:lang w:eastAsia="es-MX"/>
        </w:rPr>
        <w:t xml:space="preserve"> del Anexo A </w:t>
      </w:r>
      <w:r w:rsidR="00380201" w:rsidRPr="008762D1">
        <w:rPr>
          <w:rFonts w:ascii="ITC Avant Garde" w:hAnsi="ITC Avant Garde"/>
          <w:color w:val="000000" w:themeColor="text1"/>
          <w:lang w:eastAsia="es-MX"/>
        </w:rPr>
        <w:t>sección</w:t>
      </w:r>
      <w:r w:rsidRPr="008762D1">
        <w:rPr>
          <w:rFonts w:ascii="ITC Avant Garde" w:hAnsi="ITC Avant Garde"/>
          <w:color w:val="000000" w:themeColor="text1"/>
          <w:lang w:eastAsia="es-MX"/>
        </w:rPr>
        <w:t xml:space="preserve"> A1 y A2 de la Propuesta de CMI </w:t>
      </w:r>
      <w:r w:rsidR="00534A3B" w:rsidRPr="008762D1">
        <w:rPr>
          <w:rFonts w:ascii="ITC Avant Garde" w:hAnsi="ITC Avant Garde"/>
          <w:color w:val="000000" w:themeColor="text1"/>
          <w:lang w:eastAsia="es-MX"/>
        </w:rPr>
        <w:t>respecto a la corriente alterna disponible en los es</w:t>
      </w:r>
      <w:r w:rsidR="00C87E0E" w:rsidRPr="008762D1">
        <w:rPr>
          <w:rFonts w:ascii="ITC Avant Garde" w:hAnsi="ITC Avant Garde"/>
          <w:color w:val="000000" w:themeColor="text1"/>
          <w:lang w:eastAsia="es-MX"/>
        </w:rPr>
        <w:t xml:space="preserve">pacios de </w:t>
      </w:r>
      <w:proofErr w:type="spellStart"/>
      <w:r w:rsidR="00C87E0E" w:rsidRPr="008762D1">
        <w:rPr>
          <w:rFonts w:ascii="ITC Avant Garde" w:hAnsi="ITC Avant Garde"/>
          <w:color w:val="000000" w:themeColor="text1"/>
          <w:lang w:eastAsia="es-MX"/>
        </w:rPr>
        <w:t>coubicación</w:t>
      </w:r>
      <w:proofErr w:type="spellEnd"/>
      <w:r w:rsidR="00C87E0E" w:rsidRPr="008762D1">
        <w:rPr>
          <w:rFonts w:ascii="ITC Avant Garde" w:hAnsi="ITC Avant Garde"/>
          <w:color w:val="000000" w:themeColor="text1"/>
          <w:lang w:eastAsia="es-MX"/>
        </w:rPr>
        <w:t xml:space="preserve"> se observó</w:t>
      </w:r>
      <w:r w:rsidR="00534A3B" w:rsidRPr="008762D1">
        <w:rPr>
          <w:rFonts w:ascii="ITC Avant Garde" w:hAnsi="ITC Avant Garde"/>
          <w:color w:val="000000" w:themeColor="text1"/>
          <w:lang w:eastAsia="es-MX"/>
        </w:rPr>
        <w:t xml:space="preserve"> que los términos planteados </w:t>
      </w:r>
      <w:r w:rsidR="00C87E0E" w:rsidRPr="008762D1">
        <w:rPr>
          <w:rFonts w:ascii="ITC Avant Garde" w:eastAsia="Times New Roman" w:hAnsi="ITC Avant Garde" w:cs="Arial"/>
          <w:iCs/>
          <w:color w:val="000000" w:themeColor="text1"/>
        </w:rPr>
        <w:t>no se apegaban</w:t>
      </w:r>
      <w:r w:rsidR="00534A3B" w:rsidRPr="008762D1">
        <w:rPr>
          <w:rFonts w:ascii="ITC Avant Garde" w:eastAsia="Times New Roman" w:hAnsi="ITC Avant Garde" w:cs="Arial"/>
          <w:iCs/>
          <w:color w:val="000000" w:themeColor="text1"/>
        </w:rPr>
        <w:t xml:space="preserve"> al marco regulatorio vigente </w:t>
      </w:r>
      <w:r w:rsidR="00534A3B" w:rsidRPr="008762D1">
        <w:rPr>
          <w:rFonts w:ascii="ITC Avant Garde" w:hAnsi="ITC Avant Garde" w:cs="Arial"/>
          <w:color w:val="000000" w:themeColor="text1"/>
        </w:rPr>
        <w:t>ni a</w:t>
      </w:r>
      <w:r w:rsidR="00534A3B" w:rsidRPr="008762D1">
        <w:rPr>
          <w:rFonts w:ascii="ITC Avant Garde" w:hAnsi="ITC Avant Garde"/>
          <w:color w:val="000000" w:themeColor="text1"/>
        </w:rPr>
        <w:t xml:space="preserve"> los términos y condiciones </w:t>
      </w:r>
      <w:r w:rsidR="00534A3B" w:rsidRPr="008762D1">
        <w:rPr>
          <w:rFonts w:ascii="ITC Avant Garde" w:hAnsi="ITC Avant Garde"/>
          <w:bCs/>
          <w:color w:val="000000" w:themeColor="text1"/>
        </w:rPr>
        <w:t xml:space="preserve">establecidos en el CMI 2017 </w:t>
      </w:r>
      <w:r w:rsidR="00534A3B"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00534A3B" w:rsidRPr="008762D1">
        <w:rPr>
          <w:rFonts w:ascii="ITC Avant Garde" w:hAnsi="ITC Avant Garde" w:cs="Arial"/>
          <w:bCs/>
          <w:color w:val="000000" w:themeColor="text1"/>
          <w:lang w:eastAsia="es-ES"/>
        </w:rPr>
        <w:t xml:space="preserve"> </w:t>
      </w:r>
      <w:r w:rsidR="00534A3B"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regulac</w:t>
      </w:r>
      <w:r w:rsidR="00C87E0E" w:rsidRPr="008762D1">
        <w:rPr>
          <w:rFonts w:ascii="ITC Avant Garde" w:hAnsi="ITC Avant Garde"/>
          <w:bCs/>
          <w:color w:val="000000" w:themeColor="text1"/>
        </w:rPr>
        <w:t>ión; el Instituto no consideró</w:t>
      </w:r>
      <w:r w:rsidR="00534A3B" w:rsidRPr="008762D1">
        <w:rPr>
          <w:rFonts w:ascii="ITC Avant Garde" w:hAnsi="ITC Avant Garde"/>
          <w:bCs/>
          <w:color w:val="000000" w:themeColor="text1"/>
        </w:rPr>
        <w:t xml:space="preserve"> procedente que en una revisión posterior del convenio ma</w:t>
      </w:r>
      <w:r w:rsidR="00C87E0E" w:rsidRPr="008762D1">
        <w:rPr>
          <w:rFonts w:ascii="ITC Avant Garde" w:hAnsi="ITC Avant Garde"/>
          <w:bCs/>
          <w:color w:val="000000" w:themeColor="text1"/>
        </w:rPr>
        <w:t>rco de interconexión se plantearan</w:t>
      </w:r>
      <w:r w:rsidR="00534A3B" w:rsidRPr="008762D1">
        <w:rPr>
          <w:rFonts w:ascii="ITC Avant Garde" w:hAnsi="ITC Avant Garde"/>
          <w:bCs/>
          <w:color w:val="000000" w:themeColor="text1"/>
        </w:rPr>
        <w:t xml:space="preserve"> términos y condiciones menos favorables que los ya autorizados por el Instituto.</w:t>
      </w:r>
    </w:p>
    <w:p w14:paraId="72AEB885" w14:textId="77777777" w:rsidR="000F0B9F" w:rsidRPr="008762D1" w:rsidRDefault="00534A3B"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lang w:eastAsia="es-MX"/>
        </w:rPr>
        <w:t xml:space="preserve">De lo cual, </w:t>
      </w:r>
      <w:r w:rsidR="00E1602B" w:rsidRPr="008762D1">
        <w:rPr>
          <w:rFonts w:ascii="ITC Avant Garde" w:hAnsi="ITC Avant Garde"/>
          <w:color w:val="000000" w:themeColor="text1"/>
          <w:lang w:eastAsia="es-MX"/>
        </w:rPr>
        <w:t>se observó</w:t>
      </w:r>
      <w:r w:rsidR="00C320B5" w:rsidRPr="008762D1">
        <w:rPr>
          <w:rFonts w:ascii="ITC Avant Garde" w:hAnsi="ITC Avant Garde"/>
          <w:color w:val="000000" w:themeColor="text1"/>
          <w:lang w:eastAsia="es-MX"/>
        </w:rPr>
        <w:t xml:space="preserve"> que </w:t>
      </w:r>
      <w:r w:rsidR="00C320B5" w:rsidRPr="008762D1">
        <w:rPr>
          <w:rFonts w:ascii="ITC Avant Garde" w:hAnsi="ITC Avant Garde"/>
          <w:snapToGrid w:val="0"/>
          <w:color w:val="000000" w:themeColor="text1"/>
        </w:rPr>
        <w:t xml:space="preserve">la energía de corriente alterna </w:t>
      </w:r>
      <w:r w:rsidR="00E1602B" w:rsidRPr="008762D1">
        <w:rPr>
          <w:rFonts w:ascii="ITC Avant Garde" w:hAnsi="ITC Avant Garde"/>
          <w:snapToGrid w:val="0"/>
          <w:color w:val="000000" w:themeColor="text1"/>
        </w:rPr>
        <w:t xml:space="preserve">que Telmex proporcionará en los sitios de </w:t>
      </w:r>
      <w:proofErr w:type="spellStart"/>
      <w:r w:rsidR="00E1602B" w:rsidRPr="008762D1">
        <w:rPr>
          <w:rFonts w:ascii="ITC Avant Garde" w:hAnsi="ITC Avant Garde"/>
          <w:snapToGrid w:val="0"/>
          <w:color w:val="000000" w:themeColor="text1"/>
        </w:rPr>
        <w:t>coubicación</w:t>
      </w:r>
      <w:proofErr w:type="spellEnd"/>
      <w:r w:rsidR="00E1602B" w:rsidRPr="008762D1">
        <w:rPr>
          <w:rFonts w:ascii="ITC Avant Garde" w:hAnsi="ITC Avant Garde"/>
          <w:snapToGrid w:val="0"/>
          <w:color w:val="000000" w:themeColor="text1"/>
        </w:rPr>
        <w:t xml:space="preserve"> </w:t>
      </w:r>
      <w:r w:rsidRPr="008762D1">
        <w:rPr>
          <w:rFonts w:ascii="ITC Avant Garde" w:hAnsi="ITC Avant Garde"/>
          <w:snapToGrid w:val="0"/>
          <w:color w:val="000000" w:themeColor="text1"/>
        </w:rPr>
        <w:t xml:space="preserve">es </w:t>
      </w:r>
      <w:r w:rsidRPr="008762D1">
        <w:rPr>
          <w:rFonts w:ascii="ITC Avant Garde" w:hAnsi="ITC Avant Garde"/>
          <w:color w:val="000000" w:themeColor="text1"/>
        </w:rPr>
        <w:t xml:space="preserve">de </w:t>
      </w:r>
      <w:r w:rsidR="00C320B5" w:rsidRPr="008762D1">
        <w:rPr>
          <w:rFonts w:ascii="ITC Avant Garde" w:hAnsi="ITC Avant Garde"/>
          <w:color w:val="000000" w:themeColor="text1"/>
        </w:rPr>
        <w:t>10 amperes</w:t>
      </w:r>
      <w:r w:rsidR="00E1602B" w:rsidRPr="008762D1">
        <w:rPr>
          <w:rFonts w:ascii="ITC Avant Garde" w:hAnsi="ITC Avant Garde"/>
          <w:color w:val="000000" w:themeColor="text1"/>
        </w:rPr>
        <w:t xml:space="preserve"> y</w:t>
      </w:r>
      <w:r w:rsidR="00C320B5" w:rsidRPr="008762D1">
        <w:rPr>
          <w:rFonts w:ascii="ITC Avant Garde" w:hAnsi="ITC Avant Garde"/>
          <w:color w:val="000000" w:themeColor="text1"/>
        </w:rPr>
        <w:t xml:space="preserve"> que incluye 300 luxes de iluminación lo que impide conocer con certeza la corriente alterna con la que se contará en los espacios de </w:t>
      </w:r>
      <w:proofErr w:type="spellStart"/>
      <w:r w:rsidR="00C320B5" w:rsidRPr="008762D1">
        <w:rPr>
          <w:rFonts w:ascii="ITC Avant Garde" w:hAnsi="ITC Avant Garde"/>
          <w:color w:val="000000" w:themeColor="text1"/>
        </w:rPr>
        <w:t>coubicación</w:t>
      </w:r>
      <w:proofErr w:type="spellEnd"/>
      <w:r w:rsidR="00C320B5" w:rsidRPr="008762D1">
        <w:rPr>
          <w:rFonts w:ascii="ITC Avant Garde" w:hAnsi="ITC Avant Garde"/>
          <w:color w:val="000000" w:themeColor="text1"/>
        </w:rPr>
        <w:t>.</w:t>
      </w:r>
    </w:p>
    <w:p w14:paraId="291E7D53" w14:textId="77777777" w:rsidR="000F0B9F" w:rsidRPr="008762D1" w:rsidRDefault="00C320B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lastRenderedPageBreak/>
        <w:t xml:space="preserve">Por lo anterior, </w:t>
      </w:r>
      <w:r w:rsidR="00A20AF1" w:rsidRPr="008762D1">
        <w:rPr>
          <w:rFonts w:ascii="ITC Avant Garde" w:hAnsi="ITC Avant Garde"/>
          <w:color w:val="000000" w:themeColor="text1"/>
        </w:rPr>
        <w:t xml:space="preserve">el Instituto modificó la redacción </w:t>
      </w:r>
      <w:r w:rsidRPr="008762D1">
        <w:rPr>
          <w:rFonts w:ascii="ITC Avant Garde" w:hAnsi="ITC Avant Garde"/>
          <w:color w:val="000000" w:themeColor="text1"/>
        </w:rPr>
        <w:t xml:space="preserve">a efecto de eliminar la ambigüedad en la </w:t>
      </w:r>
      <w:r w:rsidR="00945095" w:rsidRPr="008762D1">
        <w:rPr>
          <w:rFonts w:ascii="ITC Avant Garde" w:hAnsi="ITC Avant Garde"/>
          <w:color w:val="000000" w:themeColor="text1"/>
        </w:rPr>
        <w:t xml:space="preserve">interpretación sobre la </w:t>
      </w:r>
      <w:r w:rsidRPr="008762D1">
        <w:rPr>
          <w:rFonts w:ascii="ITC Avant Garde" w:hAnsi="ITC Avant Garde"/>
          <w:color w:val="000000" w:themeColor="text1"/>
        </w:rPr>
        <w:t>utilización de los 10 amperes de corriente alterna</w:t>
      </w:r>
      <w:r w:rsidR="00B94A46" w:rsidRPr="008762D1">
        <w:rPr>
          <w:rFonts w:ascii="ITC Avant Garde" w:hAnsi="ITC Avant Garde"/>
          <w:color w:val="000000" w:themeColor="text1"/>
        </w:rPr>
        <w:t xml:space="preserve"> de los espacios de </w:t>
      </w:r>
      <w:proofErr w:type="spellStart"/>
      <w:r w:rsidR="00B94A46" w:rsidRPr="008762D1">
        <w:rPr>
          <w:rFonts w:ascii="ITC Avant Garde" w:hAnsi="ITC Avant Garde"/>
          <w:color w:val="000000" w:themeColor="text1"/>
        </w:rPr>
        <w:t>coubicación</w:t>
      </w:r>
      <w:proofErr w:type="spellEnd"/>
      <w:r w:rsidR="00B94A46" w:rsidRPr="008762D1">
        <w:rPr>
          <w:rFonts w:ascii="ITC Avant Garde" w:hAnsi="ITC Avant Garde"/>
          <w:color w:val="000000" w:themeColor="text1"/>
        </w:rPr>
        <w:t>, en el siguiente sentido:</w:t>
      </w:r>
    </w:p>
    <w:p w14:paraId="418E762A" w14:textId="77777777" w:rsidR="000F0B9F" w:rsidRPr="008762D1" w:rsidRDefault="00B94A46" w:rsidP="000F0B9F">
      <w:pPr>
        <w:pStyle w:val="Textosinformato"/>
        <w:tabs>
          <w:tab w:val="left" w:pos="276"/>
        </w:tabs>
        <w:spacing w:before="240" w:line="276" w:lineRule="auto"/>
        <w:ind w:left="2832" w:right="567" w:hanging="2265"/>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f) Corriente Alterna:</w:t>
      </w:r>
      <w:r w:rsidRPr="008762D1">
        <w:rPr>
          <w:rFonts w:ascii="ITC Avant Garde" w:hAnsi="ITC Avant Garde" w:cs="Arial"/>
          <w:color w:val="000000" w:themeColor="text1"/>
          <w:sz w:val="18"/>
          <w:szCs w:val="18"/>
        </w:rPr>
        <w:tab/>
        <w:t xml:space="preserve">10 Amperes, </w:t>
      </w:r>
      <w:r w:rsidRPr="008762D1">
        <w:rPr>
          <w:rFonts w:ascii="ITC Avant Garde" w:hAnsi="ITC Avant Garde" w:cs="Arial"/>
          <w:strike/>
          <w:color w:val="000000" w:themeColor="text1"/>
          <w:sz w:val="18"/>
          <w:szCs w:val="18"/>
        </w:rPr>
        <w:t>incluye 300 luxes de iluminación y</w:t>
      </w:r>
      <w:r w:rsidRPr="008762D1">
        <w:rPr>
          <w:rFonts w:ascii="ITC Avant Garde" w:hAnsi="ITC Avant Garde" w:cs="Arial"/>
          <w:color w:val="000000" w:themeColor="text1"/>
          <w:sz w:val="18"/>
          <w:szCs w:val="18"/>
        </w:rPr>
        <w:t xml:space="preserve"> </w:t>
      </w:r>
      <w:r w:rsidRPr="008762D1">
        <w:rPr>
          <w:rFonts w:ascii="ITC Avant Garde" w:hAnsi="ITC Avant Garde" w:cs="Arial"/>
          <w:color w:val="000000" w:themeColor="text1"/>
          <w:sz w:val="18"/>
          <w:szCs w:val="18"/>
          <w:u w:val="single"/>
        </w:rPr>
        <w:t>con</w:t>
      </w:r>
      <w:r w:rsidRPr="008762D1">
        <w:rPr>
          <w:rFonts w:ascii="ITC Avant Garde" w:hAnsi="ITC Avant Garde" w:cs="Arial"/>
          <w:color w:val="000000" w:themeColor="text1"/>
          <w:sz w:val="18"/>
          <w:szCs w:val="18"/>
        </w:rPr>
        <w:t xml:space="preserve"> dos contactos polarizados a 127 volts con respaldo opcional</w:t>
      </w:r>
    </w:p>
    <w:p w14:paraId="08DBBEA8" w14:textId="11BAAD13" w:rsidR="00A20AF1" w:rsidRPr="008762D1" w:rsidRDefault="00A20AF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75766A8A" w14:textId="77777777" w:rsidR="000F0B9F" w:rsidRPr="008762D1" w:rsidRDefault="00C11F11"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w:t>
      </w:r>
      <w:r w:rsidR="0050441B" w:rsidRPr="008762D1">
        <w:rPr>
          <w:color w:val="000000" w:themeColor="text1"/>
          <w:lang w:eastAsia="es-MX"/>
        </w:rPr>
        <w:t xml:space="preserve">Tema 6 </w:t>
      </w:r>
      <w:proofErr w:type="spellStart"/>
      <w:r w:rsidR="0050441B" w:rsidRPr="008762D1">
        <w:rPr>
          <w:color w:val="000000" w:themeColor="text1"/>
          <w:lang w:eastAsia="es-MX"/>
        </w:rPr>
        <w:t>Coubicaciones</w:t>
      </w:r>
      <w:proofErr w:type="spellEnd"/>
      <w:r w:rsidR="0050441B" w:rsidRPr="008762D1">
        <w:rPr>
          <w:color w:val="000000" w:themeColor="text1"/>
          <w:lang w:eastAsia="es-MX"/>
        </w:rPr>
        <w:t xml:space="preserve"> del Anexo A </w:t>
      </w:r>
      <w:r w:rsidR="00380201" w:rsidRPr="008762D1">
        <w:rPr>
          <w:color w:val="000000" w:themeColor="text1"/>
          <w:lang w:eastAsia="es-MX"/>
        </w:rPr>
        <w:t xml:space="preserve"> sección </w:t>
      </w:r>
      <w:r w:rsidR="0050441B" w:rsidRPr="008762D1">
        <w:rPr>
          <w:color w:val="000000" w:themeColor="text1"/>
          <w:lang w:eastAsia="es-MX"/>
        </w:rPr>
        <w:t xml:space="preserve">A1 y A2 </w:t>
      </w:r>
      <w:r w:rsidRPr="008762D1">
        <w:rPr>
          <w:rFonts w:cs="Arial"/>
          <w:color w:val="000000" w:themeColor="text1"/>
          <w:lang w:eastAsia="es-MX"/>
        </w:rPr>
        <w:t>en los términos señalados en el Acuerdo.</w:t>
      </w:r>
    </w:p>
    <w:p w14:paraId="323A8B1B" w14:textId="1157EEF2" w:rsidR="00A20AF1" w:rsidRPr="008762D1" w:rsidRDefault="00A20AF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1BB8C8C" w14:textId="77777777" w:rsidR="000F0B9F" w:rsidRPr="008762D1" w:rsidRDefault="00245144" w:rsidP="000F0B9F">
      <w:pPr>
        <w:pStyle w:val="IFT1"/>
        <w:tabs>
          <w:tab w:val="left" w:pos="284"/>
          <w:tab w:val="left" w:pos="567"/>
          <w:tab w:val="left" w:pos="851"/>
        </w:tabs>
        <w:spacing w:before="240" w:after="0"/>
        <w:rPr>
          <w:rFonts w:cs="Arial"/>
          <w:color w:val="000000" w:themeColor="text1"/>
        </w:rPr>
      </w:pPr>
      <w:r w:rsidRPr="008762D1">
        <w:rPr>
          <w:rFonts w:cs="Arial"/>
          <w:color w:val="000000" w:themeColor="text1"/>
        </w:rPr>
        <w:t xml:space="preserve">Al respecto se señala que </w:t>
      </w:r>
      <w:r w:rsidR="00E1602B" w:rsidRPr="008762D1">
        <w:rPr>
          <w:rFonts w:cs="Arial"/>
          <w:color w:val="000000" w:themeColor="text1"/>
        </w:rPr>
        <w:t xml:space="preserve">el </w:t>
      </w:r>
      <w:r w:rsidR="00E1602B" w:rsidRPr="008762D1">
        <w:rPr>
          <w:color w:val="000000" w:themeColor="text1"/>
          <w:lang w:eastAsia="es-MX"/>
        </w:rPr>
        <w:t xml:space="preserve">Tema 6 </w:t>
      </w:r>
      <w:proofErr w:type="spellStart"/>
      <w:r w:rsidR="00E1602B" w:rsidRPr="008762D1">
        <w:rPr>
          <w:color w:val="000000" w:themeColor="text1"/>
          <w:lang w:eastAsia="es-MX"/>
        </w:rPr>
        <w:t>Coubicaciones</w:t>
      </w:r>
      <w:proofErr w:type="spellEnd"/>
      <w:r w:rsidR="00E1602B" w:rsidRPr="008762D1">
        <w:rPr>
          <w:color w:val="000000" w:themeColor="text1"/>
          <w:lang w:eastAsia="es-MX"/>
        </w:rPr>
        <w:t xml:space="preserve"> del Anexo A </w:t>
      </w:r>
      <w:r w:rsidR="00380201" w:rsidRPr="008762D1">
        <w:rPr>
          <w:color w:val="000000" w:themeColor="text1"/>
          <w:lang w:eastAsia="es-MX"/>
        </w:rPr>
        <w:t xml:space="preserve"> sección </w:t>
      </w:r>
      <w:r w:rsidR="00E1602B" w:rsidRPr="008762D1">
        <w:rPr>
          <w:color w:val="000000" w:themeColor="text1"/>
          <w:lang w:eastAsia="es-MX"/>
        </w:rPr>
        <w:t xml:space="preserve">A1 y A2 </w:t>
      </w:r>
      <w:r w:rsidR="00E1602B" w:rsidRPr="008762D1">
        <w:rPr>
          <w:rFonts w:cs="Arial"/>
          <w:color w:val="000000" w:themeColor="text1"/>
        </w:rPr>
        <w:t xml:space="preserve">proporciona certeza sobre las condiciones técnicas de los sitios de </w:t>
      </w:r>
      <w:proofErr w:type="spellStart"/>
      <w:r w:rsidR="00E1602B" w:rsidRPr="008762D1">
        <w:rPr>
          <w:rFonts w:cs="Arial"/>
          <w:color w:val="000000" w:themeColor="text1"/>
        </w:rPr>
        <w:t>coubicación</w:t>
      </w:r>
      <w:proofErr w:type="spellEnd"/>
      <w:r w:rsidR="00E1602B" w:rsidRPr="008762D1">
        <w:rPr>
          <w:rFonts w:cs="Arial"/>
          <w:color w:val="000000" w:themeColor="text1"/>
        </w:rPr>
        <w:t xml:space="preserve">, incluyendo la </w:t>
      </w:r>
      <w:r w:rsidRPr="008762D1">
        <w:rPr>
          <w:rFonts w:cs="Arial"/>
          <w:color w:val="000000" w:themeColor="text1"/>
        </w:rPr>
        <w:t xml:space="preserve">corriente alterna que estará disponible en los </w:t>
      </w:r>
      <w:r w:rsidR="00E1602B" w:rsidRPr="008762D1">
        <w:rPr>
          <w:rFonts w:cs="Arial"/>
          <w:color w:val="000000" w:themeColor="text1"/>
        </w:rPr>
        <w:t xml:space="preserve">mismos, lo cual es acorde a lo establecido en el Acuerdo de Condiciones </w:t>
      </w:r>
      <w:proofErr w:type="spellStart"/>
      <w:r w:rsidR="00E1602B" w:rsidRPr="008762D1">
        <w:rPr>
          <w:rFonts w:cs="Arial"/>
          <w:color w:val="000000" w:themeColor="text1"/>
        </w:rPr>
        <w:t>Tecnicas</w:t>
      </w:r>
      <w:proofErr w:type="spellEnd"/>
      <w:r w:rsidR="00E1602B" w:rsidRPr="008762D1">
        <w:rPr>
          <w:rFonts w:cs="Arial"/>
          <w:color w:val="000000" w:themeColor="text1"/>
        </w:rPr>
        <w:t xml:space="preserve"> Mínimas y al </w:t>
      </w:r>
      <w:r w:rsidRPr="008762D1">
        <w:rPr>
          <w:rFonts w:cs="Arial"/>
          <w:color w:val="000000" w:themeColor="text1"/>
        </w:rPr>
        <w:t xml:space="preserve">CMI 2017 </w:t>
      </w:r>
      <w:r w:rsidR="00945095" w:rsidRPr="008762D1">
        <w:rPr>
          <w:rFonts w:cs="Arial"/>
          <w:color w:val="000000" w:themeColor="text1"/>
        </w:rPr>
        <w:t>por lo anterior y toda vez que Telmex no realizó manifestaciones sobre la modificación realizada por el Instituto, se considera procedente su aprobación</w:t>
      </w:r>
      <w:r w:rsidRPr="008762D1">
        <w:rPr>
          <w:rFonts w:cs="Arial"/>
          <w:color w:val="000000" w:themeColor="text1"/>
        </w:rPr>
        <w:t>.</w:t>
      </w:r>
    </w:p>
    <w:p w14:paraId="6EA6E150" w14:textId="77777777" w:rsidR="000F0B9F" w:rsidRPr="008762D1" w:rsidRDefault="00C320B5" w:rsidP="000F0B9F">
      <w:pPr>
        <w:pStyle w:val="IFT1"/>
        <w:numPr>
          <w:ilvl w:val="2"/>
          <w:numId w:val="9"/>
        </w:numPr>
        <w:tabs>
          <w:tab w:val="left" w:pos="284"/>
          <w:tab w:val="left" w:pos="567"/>
          <w:tab w:val="left" w:pos="851"/>
        </w:tabs>
        <w:spacing w:before="240" w:after="0"/>
        <w:ind w:left="567" w:hanging="567"/>
        <w:rPr>
          <w:rFonts w:cs="Arial"/>
          <w:color w:val="000000" w:themeColor="text1"/>
        </w:rPr>
      </w:pPr>
      <w:r w:rsidRPr="008762D1">
        <w:rPr>
          <w:rFonts w:cs="Arial"/>
          <w:color w:val="000000" w:themeColor="text1"/>
        </w:rPr>
        <w:t xml:space="preserve"> </w:t>
      </w:r>
      <w:r w:rsidR="008D64FC" w:rsidRPr="008762D1">
        <w:rPr>
          <w:b/>
          <w:color w:val="000000" w:themeColor="text1"/>
        </w:rPr>
        <w:t>INTERCONEXIÓN LÓGICA.</w:t>
      </w:r>
    </w:p>
    <w:p w14:paraId="25BF8DC1" w14:textId="030B96DA" w:rsidR="00A048E4" w:rsidRPr="008762D1" w:rsidRDefault="00A048E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6B070BBF" w14:textId="0A17E898" w:rsidR="00597E70" w:rsidRPr="00A04FEF" w:rsidRDefault="00597E70" w:rsidP="00A04FE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Del análisis del Tem</w:t>
      </w:r>
      <w:r w:rsidR="00706120" w:rsidRPr="008762D1">
        <w:rPr>
          <w:rFonts w:ascii="ITC Avant Garde" w:hAnsi="ITC Avant Garde"/>
          <w:color w:val="000000" w:themeColor="text1"/>
        </w:rPr>
        <w:t>a 1 de</w:t>
      </w:r>
      <w:r w:rsidR="00380201" w:rsidRPr="008762D1">
        <w:rPr>
          <w:rFonts w:ascii="ITC Avant Garde" w:hAnsi="ITC Avant Garde"/>
          <w:color w:val="000000" w:themeColor="text1"/>
        </w:rPr>
        <w:t xml:space="preserve"> </w:t>
      </w:r>
      <w:r w:rsidR="00706120" w:rsidRPr="008762D1">
        <w:rPr>
          <w:rFonts w:ascii="ITC Avant Garde" w:hAnsi="ITC Avant Garde"/>
          <w:color w:val="000000" w:themeColor="text1"/>
        </w:rPr>
        <w:t>l</w:t>
      </w:r>
      <w:r w:rsidR="00380201" w:rsidRPr="008762D1">
        <w:rPr>
          <w:rFonts w:ascii="ITC Avant Garde" w:hAnsi="ITC Avant Garde"/>
          <w:color w:val="000000" w:themeColor="text1"/>
        </w:rPr>
        <w:t>a</w:t>
      </w:r>
      <w:r w:rsidR="00706120" w:rsidRPr="008762D1">
        <w:rPr>
          <w:rFonts w:ascii="ITC Avant Garde" w:hAnsi="ITC Avant Garde"/>
          <w:color w:val="000000" w:themeColor="text1"/>
        </w:rPr>
        <w:t xml:space="preserve"> </w:t>
      </w:r>
      <w:r w:rsidR="00380201" w:rsidRPr="008762D1">
        <w:rPr>
          <w:rFonts w:ascii="ITC Avant Garde" w:hAnsi="ITC Avant Garde"/>
          <w:color w:val="000000" w:themeColor="text1"/>
          <w:lang w:eastAsia="es-MX"/>
        </w:rPr>
        <w:t>sección</w:t>
      </w:r>
      <w:r w:rsidR="00706120" w:rsidRPr="008762D1">
        <w:rPr>
          <w:rFonts w:ascii="ITC Avant Garde" w:hAnsi="ITC Avant Garde"/>
          <w:color w:val="000000" w:themeColor="text1"/>
        </w:rPr>
        <w:t xml:space="preserve"> A.2 se observó</w:t>
      </w:r>
      <w:r w:rsidRPr="008762D1">
        <w:rPr>
          <w:rFonts w:ascii="ITC Avant Garde" w:hAnsi="ITC Avant Garde"/>
          <w:color w:val="000000" w:themeColor="text1"/>
        </w:rPr>
        <w:t xml:space="preserve"> que los términos plantead</w:t>
      </w:r>
      <w:r w:rsidR="00706120" w:rsidRPr="008762D1">
        <w:rPr>
          <w:rFonts w:ascii="ITC Avant Garde" w:hAnsi="ITC Avant Garde"/>
          <w:color w:val="000000" w:themeColor="text1"/>
        </w:rPr>
        <w:t>os en dicho numeral no se apegaba</w:t>
      </w:r>
      <w:r w:rsidR="005712B5" w:rsidRPr="008762D1">
        <w:rPr>
          <w:rFonts w:ascii="ITC Avant Garde" w:hAnsi="ITC Avant Garde"/>
          <w:color w:val="000000" w:themeColor="text1"/>
        </w:rPr>
        <w:t>n</w:t>
      </w:r>
      <w:r w:rsidRPr="008762D1">
        <w:rPr>
          <w:rFonts w:ascii="ITC Avant Garde" w:hAnsi="ITC Avant Garde"/>
          <w:color w:val="000000" w:themeColor="text1"/>
        </w:rPr>
        <w:t xml:space="preserve"> al marco regulatorio vigente ni a los términos y condiciones establecidos en el CMI 2017 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olor w:val="000000" w:themeColor="text1"/>
        </w:rPr>
        <w:t xml:space="preserve"> y, toda vez que el propósito de revisar anualmente el instrumento regulatorio es mejorar, o precisar las condiciones, así como ajustarse a la evolución tecnológica del sector, y de ninguna forma se justifica la existencia de retrocesos en la regulación; el Instituto </w:t>
      </w:r>
      <w:r w:rsidR="00706120" w:rsidRPr="008762D1">
        <w:rPr>
          <w:rFonts w:ascii="ITC Avant Garde" w:hAnsi="ITC Avant Garde"/>
          <w:color w:val="000000" w:themeColor="text1"/>
        </w:rPr>
        <w:t>no consideró</w:t>
      </w:r>
      <w:r w:rsidRPr="008762D1">
        <w:rPr>
          <w:rFonts w:ascii="ITC Avant Garde" w:hAnsi="ITC Avant Garde"/>
          <w:color w:val="000000" w:themeColor="text1"/>
        </w:rPr>
        <w:t xml:space="preserve"> procedente que en una revisión posterior del convenio ma</w:t>
      </w:r>
      <w:r w:rsidR="00706120" w:rsidRPr="008762D1">
        <w:rPr>
          <w:rFonts w:ascii="ITC Avant Garde" w:hAnsi="ITC Avant Garde"/>
          <w:color w:val="000000" w:themeColor="text1"/>
        </w:rPr>
        <w:t>rco de interconexión se plantearan</w:t>
      </w:r>
      <w:r w:rsidRPr="008762D1">
        <w:rPr>
          <w:rFonts w:ascii="ITC Avant Garde" w:hAnsi="ITC Avant Garde"/>
          <w:color w:val="000000" w:themeColor="text1"/>
        </w:rPr>
        <w:t xml:space="preserve"> términos y condiciones menos favorables que los ya autorizados por el Instituto.</w:t>
      </w:r>
    </w:p>
    <w:p w14:paraId="1D248839" w14:textId="77777777" w:rsidR="000F0B9F" w:rsidRPr="008762D1" w:rsidRDefault="00597E70" w:rsidP="000F0B9F">
      <w:pPr>
        <w:pStyle w:val="IFT1"/>
        <w:tabs>
          <w:tab w:val="left" w:pos="284"/>
          <w:tab w:val="left" w:pos="567"/>
        </w:tabs>
        <w:spacing w:before="240" w:after="0"/>
        <w:rPr>
          <w:rFonts w:cs="Arial"/>
          <w:color w:val="000000" w:themeColor="text1"/>
        </w:rPr>
      </w:pPr>
      <w:r w:rsidRPr="008762D1">
        <w:rPr>
          <w:rFonts w:cs="Arial"/>
          <w:color w:val="000000" w:themeColor="text1"/>
        </w:rPr>
        <w:t>Lo anterior da</w:t>
      </w:r>
      <w:r w:rsidR="005712B5" w:rsidRPr="008762D1">
        <w:rPr>
          <w:rFonts w:cs="Arial"/>
          <w:color w:val="000000" w:themeColor="text1"/>
        </w:rPr>
        <w:t>do que en el Tema 1 se estableció</w:t>
      </w:r>
      <w:r w:rsidRPr="008762D1">
        <w:rPr>
          <w:rFonts w:cs="Arial"/>
          <w:color w:val="000000" w:themeColor="text1"/>
        </w:rPr>
        <w:t xml:space="preserve"> que</w:t>
      </w:r>
      <w:r w:rsidR="00FF7C84" w:rsidRPr="008762D1">
        <w:rPr>
          <w:rFonts w:cs="Arial"/>
          <w:color w:val="000000" w:themeColor="text1"/>
        </w:rPr>
        <w:t xml:space="preserve"> para el caso de redundancia en la interconexión IP cada una de las partes podrá involucrar uno o varios SBC</w:t>
      </w:r>
      <w:r w:rsidR="005712B5" w:rsidRPr="008762D1">
        <w:rPr>
          <w:rFonts w:cs="Arial"/>
          <w:color w:val="000000" w:themeColor="text1"/>
        </w:rPr>
        <w:t xml:space="preserve"> (de sus siglas en inglés, </w:t>
      </w:r>
      <w:proofErr w:type="spellStart"/>
      <w:r w:rsidR="005712B5" w:rsidRPr="008762D1">
        <w:rPr>
          <w:rFonts w:cs="Arial"/>
          <w:color w:val="000000" w:themeColor="text1"/>
        </w:rPr>
        <w:t>Session</w:t>
      </w:r>
      <w:proofErr w:type="spellEnd"/>
      <w:r w:rsidR="005712B5" w:rsidRPr="008762D1">
        <w:rPr>
          <w:rFonts w:cs="Arial"/>
          <w:color w:val="000000" w:themeColor="text1"/>
        </w:rPr>
        <w:t xml:space="preserve"> </w:t>
      </w:r>
      <w:proofErr w:type="spellStart"/>
      <w:r w:rsidR="005712B5" w:rsidRPr="008762D1">
        <w:rPr>
          <w:rFonts w:cs="Arial"/>
          <w:color w:val="000000" w:themeColor="text1"/>
        </w:rPr>
        <w:t>Border</w:t>
      </w:r>
      <w:proofErr w:type="spellEnd"/>
      <w:r w:rsidR="005712B5" w:rsidRPr="008762D1">
        <w:rPr>
          <w:rFonts w:cs="Arial"/>
          <w:color w:val="000000" w:themeColor="text1"/>
        </w:rPr>
        <w:t xml:space="preserve"> </w:t>
      </w:r>
      <w:proofErr w:type="spellStart"/>
      <w:r w:rsidR="005712B5" w:rsidRPr="008762D1">
        <w:rPr>
          <w:rFonts w:cs="Arial"/>
          <w:color w:val="000000" w:themeColor="text1"/>
        </w:rPr>
        <w:t>Controller</w:t>
      </w:r>
      <w:proofErr w:type="spellEnd"/>
      <w:proofErr w:type="gramStart"/>
      <w:r w:rsidR="005712B5" w:rsidRPr="008762D1">
        <w:rPr>
          <w:rFonts w:cs="Arial"/>
          <w:color w:val="000000" w:themeColor="text1"/>
        </w:rPr>
        <w:t xml:space="preserve">) </w:t>
      </w:r>
      <w:r w:rsidR="00FF7C84" w:rsidRPr="008762D1">
        <w:rPr>
          <w:rFonts w:cs="Arial"/>
          <w:color w:val="000000" w:themeColor="text1"/>
        </w:rPr>
        <w:t>,</w:t>
      </w:r>
      <w:proofErr w:type="gramEnd"/>
      <w:r w:rsidR="00FF7C84" w:rsidRPr="008762D1">
        <w:rPr>
          <w:rFonts w:cs="Arial"/>
          <w:color w:val="000000" w:themeColor="text1"/>
        </w:rPr>
        <w:t xml:space="preserve"> empleando un enlace físico privado adicional para cada SBC en </w:t>
      </w:r>
      <w:r w:rsidR="00996A27" w:rsidRPr="008762D1">
        <w:rPr>
          <w:rFonts w:cs="Arial"/>
          <w:color w:val="000000" w:themeColor="text1"/>
        </w:rPr>
        <w:t>un mismo punto de interconexión, lo cual no se apega al marco regulatorio vigente.</w:t>
      </w:r>
    </w:p>
    <w:p w14:paraId="6C833A52" w14:textId="77777777" w:rsidR="000F0B9F" w:rsidRPr="008762D1" w:rsidRDefault="00597E70" w:rsidP="000F0B9F">
      <w:pPr>
        <w:pStyle w:val="IFT1"/>
        <w:tabs>
          <w:tab w:val="left" w:pos="284"/>
          <w:tab w:val="left" w:pos="567"/>
        </w:tabs>
        <w:spacing w:before="240" w:after="0"/>
        <w:rPr>
          <w:rFonts w:cs="Arial"/>
          <w:color w:val="000000" w:themeColor="text1"/>
        </w:rPr>
      </w:pPr>
      <w:r w:rsidRPr="008762D1">
        <w:rPr>
          <w:rFonts w:cs="Arial"/>
          <w:color w:val="000000" w:themeColor="text1"/>
        </w:rPr>
        <w:t xml:space="preserve">Por lo anterior, se </w:t>
      </w:r>
      <w:r w:rsidR="00706120" w:rsidRPr="008762D1">
        <w:rPr>
          <w:rFonts w:cs="Arial"/>
          <w:color w:val="000000" w:themeColor="text1"/>
        </w:rPr>
        <w:t>modificó la redacción del Tema 1</w:t>
      </w:r>
      <w:r w:rsidR="00380201" w:rsidRPr="008762D1">
        <w:rPr>
          <w:rFonts w:cs="Arial"/>
          <w:color w:val="000000" w:themeColor="text1"/>
        </w:rPr>
        <w:t>,</w:t>
      </w:r>
      <w:r w:rsidR="00706120" w:rsidRPr="008762D1">
        <w:rPr>
          <w:rFonts w:cs="Arial"/>
          <w:color w:val="000000" w:themeColor="text1"/>
        </w:rPr>
        <w:t xml:space="preserve"> </w:t>
      </w:r>
      <w:r w:rsidR="00380201" w:rsidRPr="008762D1">
        <w:rPr>
          <w:color w:val="000000" w:themeColor="text1"/>
          <w:lang w:eastAsia="es-MX"/>
        </w:rPr>
        <w:t xml:space="preserve">sección A.2 </w:t>
      </w:r>
      <w:r w:rsidR="00C60B61" w:rsidRPr="008762D1">
        <w:rPr>
          <w:rFonts w:cs="Arial"/>
          <w:color w:val="000000" w:themeColor="text1"/>
        </w:rPr>
        <w:t>en los siguientes términos:</w:t>
      </w:r>
    </w:p>
    <w:p w14:paraId="0B4FFC46" w14:textId="77777777" w:rsidR="000F0B9F" w:rsidRPr="008762D1" w:rsidRDefault="000458D9"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lastRenderedPageBreak/>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r w:rsidRPr="008762D1">
        <w:rPr>
          <w:rFonts w:ascii="ITC Avant Garde" w:hAnsi="ITC Avant Garde"/>
          <w:strike/>
          <w:color w:val="000000" w:themeColor="text1"/>
          <w:sz w:val="18"/>
          <w:szCs w:val="18"/>
        </w:rPr>
        <w:t>, empleando un enlace físico privado adicional para cada SBC para un mismo Punto de Interconexión</w:t>
      </w:r>
      <w:r w:rsidRPr="008762D1">
        <w:rPr>
          <w:rFonts w:ascii="ITC Avant Garde" w:hAnsi="ITC Avant Garde"/>
          <w:color w:val="000000" w:themeColor="text1"/>
          <w:sz w:val="18"/>
          <w:szCs w:val="18"/>
        </w:rPr>
        <w:t>.”</w:t>
      </w:r>
    </w:p>
    <w:p w14:paraId="4E624A2E" w14:textId="016142E5" w:rsidR="00667D11" w:rsidRPr="008762D1" w:rsidRDefault="00667D1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566F8F23" w14:textId="77777777" w:rsidR="000F0B9F" w:rsidRPr="008762D1" w:rsidRDefault="00C11F11"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el </w:t>
      </w:r>
      <w:r w:rsidR="00CB5D7A" w:rsidRPr="008762D1">
        <w:rPr>
          <w:color w:val="000000" w:themeColor="text1"/>
        </w:rPr>
        <w:t>Tema 1 de</w:t>
      </w:r>
      <w:r w:rsidR="00380201" w:rsidRPr="008762D1">
        <w:rPr>
          <w:color w:val="000000" w:themeColor="text1"/>
        </w:rPr>
        <w:t xml:space="preserve"> </w:t>
      </w:r>
      <w:r w:rsidR="00CB5D7A" w:rsidRPr="008762D1">
        <w:rPr>
          <w:color w:val="000000" w:themeColor="text1"/>
        </w:rPr>
        <w:t>l</w:t>
      </w:r>
      <w:r w:rsidR="00380201" w:rsidRPr="008762D1">
        <w:rPr>
          <w:color w:val="000000" w:themeColor="text1"/>
        </w:rPr>
        <w:t>a</w:t>
      </w:r>
      <w:r w:rsidR="00CB5D7A" w:rsidRPr="008762D1">
        <w:rPr>
          <w:color w:val="000000" w:themeColor="text1"/>
        </w:rPr>
        <w:t xml:space="preserve"> </w:t>
      </w:r>
      <w:r w:rsidR="00380201" w:rsidRPr="008762D1">
        <w:rPr>
          <w:color w:val="000000" w:themeColor="text1"/>
          <w:lang w:eastAsia="es-MX"/>
        </w:rPr>
        <w:t xml:space="preserve">sección </w:t>
      </w:r>
      <w:r w:rsidR="00CB5D7A" w:rsidRPr="008762D1">
        <w:rPr>
          <w:color w:val="000000" w:themeColor="text1"/>
        </w:rPr>
        <w:t>A.2</w:t>
      </w:r>
      <w:r w:rsidRPr="008762D1">
        <w:rPr>
          <w:rFonts w:cs="Arial"/>
          <w:color w:val="000000" w:themeColor="text1"/>
          <w:lang w:eastAsia="es-MX"/>
        </w:rPr>
        <w:t xml:space="preserve"> en los términos señalados en el Acuerdo.</w:t>
      </w:r>
    </w:p>
    <w:p w14:paraId="137CE57C" w14:textId="168DBBEF" w:rsidR="00667D11" w:rsidRPr="008762D1" w:rsidRDefault="00667D1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A1797AE" w14:textId="77777777" w:rsidR="000F0B9F" w:rsidRPr="008762D1" w:rsidRDefault="00996A27" w:rsidP="000F0B9F">
      <w:pPr>
        <w:pStyle w:val="IFT1"/>
        <w:tabs>
          <w:tab w:val="left" w:pos="284"/>
          <w:tab w:val="left" w:pos="567"/>
        </w:tabs>
        <w:spacing w:before="240" w:after="0"/>
        <w:rPr>
          <w:rFonts w:cs="Arial"/>
          <w:color w:val="000000" w:themeColor="text1"/>
        </w:rPr>
      </w:pPr>
      <w:r w:rsidRPr="008762D1">
        <w:rPr>
          <w:rFonts w:cs="Arial"/>
          <w:color w:val="000000" w:themeColor="text1"/>
        </w:rPr>
        <w:t xml:space="preserve">Al respecto, se señala que </w:t>
      </w:r>
      <w:r w:rsidRPr="008762D1">
        <w:rPr>
          <w:rFonts w:cs="Arial"/>
          <w:color w:val="000000" w:themeColor="text1"/>
          <w:lang w:eastAsia="es-MX"/>
        </w:rPr>
        <w:t xml:space="preserve">el </w:t>
      </w:r>
      <w:r w:rsidRPr="008762D1">
        <w:rPr>
          <w:color w:val="000000" w:themeColor="text1"/>
        </w:rPr>
        <w:t>Tema 1 de</w:t>
      </w:r>
      <w:r w:rsidR="00380201" w:rsidRPr="008762D1">
        <w:rPr>
          <w:color w:val="000000" w:themeColor="text1"/>
        </w:rPr>
        <w:t xml:space="preserve"> </w:t>
      </w:r>
      <w:r w:rsidRPr="008762D1">
        <w:rPr>
          <w:color w:val="000000" w:themeColor="text1"/>
        </w:rPr>
        <w:t>l</w:t>
      </w:r>
      <w:r w:rsidR="00380201" w:rsidRPr="008762D1">
        <w:rPr>
          <w:color w:val="000000" w:themeColor="text1"/>
        </w:rPr>
        <w:t>a</w:t>
      </w:r>
      <w:r w:rsidRPr="008762D1">
        <w:rPr>
          <w:color w:val="000000" w:themeColor="text1"/>
        </w:rPr>
        <w:t xml:space="preserve"> </w:t>
      </w:r>
      <w:r w:rsidR="00380201" w:rsidRPr="008762D1">
        <w:rPr>
          <w:color w:val="000000" w:themeColor="text1"/>
          <w:lang w:eastAsia="es-MX"/>
        </w:rPr>
        <w:t xml:space="preserve">sección </w:t>
      </w:r>
      <w:r w:rsidRPr="008762D1">
        <w:rPr>
          <w:color w:val="000000" w:themeColor="text1"/>
        </w:rPr>
        <w:t>A.2</w:t>
      </w:r>
      <w:r w:rsidRPr="008762D1">
        <w:rPr>
          <w:rFonts w:cs="Arial"/>
          <w:color w:val="000000" w:themeColor="text1"/>
          <w:lang w:eastAsia="es-MX"/>
        </w:rPr>
        <w:t xml:space="preserve">  es acorde a lo establecido en </w:t>
      </w:r>
      <w:r w:rsidRPr="008762D1">
        <w:rPr>
          <w:rFonts w:cs="Arial"/>
          <w:color w:val="000000" w:themeColor="text1"/>
        </w:rPr>
        <w:t xml:space="preserve">el Acuerdo de Condiciones Técnicas Mínimas ya que los concesionarios interconectados podrán elegir y acordar los esquemas de redundancia en la interconexión que mejor se adapten a la arquitectura de sus redes, sus intereses de tráfico o cualquier aspecto que consideren procedente, </w:t>
      </w:r>
      <w:r w:rsidR="005712B5" w:rsidRPr="008762D1">
        <w:rPr>
          <w:rFonts w:cs="Arial"/>
          <w:color w:val="000000" w:themeColor="text1"/>
        </w:rPr>
        <w:t xml:space="preserve">sin estar obligados a establecer un esquema de redundancia a través de un enlace físico privado para cada SBC, </w:t>
      </w:r>
      <w:r w:rsidR="00EA3EF4" w:rsidRPr="008762D1">
        <w:rPr>
          <w:rFonts w:cs="Arial"/>
          <w:color w:val="000000" w:themeColor="text1"/>
        </w:rPr>
        <w:t>por lo anterior y toda vez que Telmex no realizó manifestaciones sobre la modificación realizada por el Instituto, se considera procedente su aprobación</w:t>
      </w:r>
      <w:r w:rsidRPr="008762D1">
        <w:rPr>
          <w:rFonts w:cs="Arial"/>
          <w:color w:val="000000" w:themeColor="text1"/>
        </w:rPr>
        <w:t>.</w:t>
      </w:r>
    </w:p>
    <w:p w14:paraId="381AC033" w14:textId="77777777" w:rsidR="000F0B9F" w:rsidRPr="008762D1" w:rsidRDefault="00597E70" w:rsidP="000F0B9F">
      <w:pPr>
        <w:pStyle w:val="IFT1"/>
        <w:numPr>
          <w:ilvl w:val="2"/>
          <w:numId w:val="9"/>
        </w:numPr>
        <w:tabs>
          <w:tab w:val="left" w:pos="284"/>
          <w:tab w:val="left" w:pos="567"/>
        </w:tabs>
        <w:spacing w:before="240" w:after="0"/>
        <w:ind w:left="567" w:hanging="567"/>
        <w:rPr>
          <w:b/>
          <w:color w:val="000000" w:themeColor="text1"/>
        </w:rPr>
      </w:pPr>
      <w:r w:rsidRPr="008762D1">
        <w:rPr>
          <w:b/>
          <w:color w:val="000000" w:themeColor="text1"/>
        </w:rPr>
        <w:t>TRANSCODIFICACIÓN.</w:t>
      </w:r>
    </w:p>
    <w:p w14:paraId="60E3270B" w14:textId="4622977F" w:rsidR="00597E70" w:rsidRPr="008762D1" w:rsidRDefault="00597E70"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06B14877" w14:textId="77777777" w:rsidR="000F0B9F" w:rsidRPr="008762D1" w:rsidRDefault="00597E70" w:rsidP="000F0B9F">
      <w:pPr>
        <w:pStyle w:val="IFT1"/>
        <w:tabs>
          <w:tab w:val="left" w:pos="284"/>
          <w:tab w:val="left" w:pos="567"/>
        </w:tabs>
        <w:spacing w:before="240" w:after="0"/>
        <w:rPr>
          <w:color w:val="000000" w:themeColor="text1"/>
        </w:rPr>
      </w:pPr>
      <w:r w:rsidRPr="008762D1">
        <w:rPr>
          <w:color w:val="000000" w:themeColor="text1"/>
        </w:rPr>
        <w:t xml:space="preserve">Del análisis del inciso 2.1 </w:t>
      </w:r>
      <w:r w:rsidR="00974F30" w:rsidRPr="008762D1">
        <w:rPr>
          <w:color w:val="000000" w:themeColor="text1"/>
        </w:rPr>
        <w:t>del Tema 2 de</w:t>
      </w:r>
      <w:r w:rsidR="00380201" w:rsidRPr="008762D1">
        <w:rPr>
          <w:color w:val="000000" w:themeColor="text1"/>
        </w:rPr>
        <w:t xml:space="preserve"> la sección </w:t>
      </w:r>
      <w:r w:rsidR="00974F30" w:rsidRPr="008762D1">
        <w:rPr>
          <w:color w:val="000000" w:themeColor="text1"/>
        </w:rPr>
        <w:t xml:space="preserve">A.2, </w:t>
      </w:r>
      <w:r w:rsidRPr="008762D1">
        <w:rPr>
          <w:color w:val="000000" w:themeColor="text1"/>
        </w:rPr>
        <w:t xml:space="preserve">se observó que los términos planteados en dicho inciso </w:t>
      </w:r>
      <w:r w:rsidR="00667D11" w:rsidRPr="008762D1">
        <w:rPr>
          <w:color w:val="000000" w:themeColor="text1"/>
        </w:rPr>
        <w:t>no se apegaban</w:t>
      </w:r>
      <w:r w:rsidRPr="008762D1">
        <w:rPr>
          <w:color w:val="000000" w:themeColor="text1"/>
        </w:rPr>
        <w:t xml:space="preserve"> al marco regulatorio vigente ni a los términos y condiciones establecidos en el CMI 2017 autorizado mediante Acuerdo </w:t>
      </w:r>
      <w:r w:rsidR="00F86A43" w:rsidRPr="008762D1">
        <w:rPr>
          <w:rFonts w:cs="Arial"/>
          <w:bCs/>
          <w:color w:val="000000" w:themeColor="text1"/>
          <w:lang w:eastAsia="es-ES"/>
        </w:rPr>
        <w:t>P/IFT/EXT/241116/40</w:t>
      </w:r>
      <w:r w:rsidRPr="008762D1">
        <w:rPr>
          <w:color w:val="000000" w:themeColor="text1"/>
        </w:rPr>
        <w:t xml:space="preserve"> y, toda vez que el propósito de revisar anualmente el instrumento regulatorio es mejorar, o precisar las condiciones, así como ajustarse a la evolución tecnológica del sector, y de ninguna forma se justifica la existencia de retrocesos en la regul</w:t>
      </w:r>
      <w:r w:rsidR="00667D11" w:rsidRPr="008762D1">
        <w:rPr>
          <w:color w:val="000000" w:themeColor="text1"/>
        </w:rPr>
        <w:t>ación; el Instituto no consideró</w:t>
      </w:r>
      <w:r w:rsidRPr="008762D1">
        <w:rPr>
          <w:color w:val="000000" w:themeColor="text1"/>
        </w:rPr>
        <w:t xml:space="preserve"> procedente que en una revisión posterior del convenio ma</w:t>
      </w:r>
      <w:r w:rsidR="00667D11" w:rsidRPr="008762D1">
        <w:rPr>
          <w:color w:val="000000" w:themeColor="text1"/>
        </w:rPr>
        <w:t>rco de interconexión se plantearan</w:t>
      </w:r>
      <w:r w:rsidRPr="008762D1">
        <w:rPr>
          <w:color w:val="000000" w:themeColor="text1"/>
        </w:rPr>
        <w:t xml:space="preserve"> términos y condiciones menos favorables que los ya autorizados por el Instituto.</w:t>
      </w:r>
    </w:p>
    <w:p w14:paraId="597559AA" w14:textId="77777777" w:rsidR="000F0B9F" w:rsidRPr="008762D1" w:rsidRDefault="00597E70" w:rsidP="000F0B9F">
      <w:pPr>
        <w:pStyle w:val="IFT1"/>
        <w:tabs>
          <w:tab w:val="left" w:pos="284"/>
          <w:tab w:val="left" w:pos="567"/>
        </w:tabs>
        <w:spacing w:before="240" w:after="0"/>
        <w:rPr>
          <w:color w:val="000000" w:themeColor="text1"/>
        </w:rPr>
      </w:pPr>
      <w:r w:rsidRPr="008762D1">
        <w:rPr>
          <w:color w:val="000000" w:themeColor="text1"/>
        </w:rPr>
        <w:t xml:space="preserve">Por lo anterior, </w:t>
      </w:r>
      <w:r w:rsidR="00DA38A9" w:rsidRPr="008762D1">
        <w:rPr>
          <w:color w:val="000000" w:themeColor="text1"/>
        </w:rPr>
        <w:t>se modificó el inciso 2.1 del Tema 2 de</w:t>
      </w:r>
      <w:r w:rsidR="00380201" w:rsidRPr="008762D1">
        <w:rPr>
          <w:color w:val="000000" w:themeColor="text1"/>
        </w:rPr>
        <w:t xml:space="preserve"> la </w:t>
      </w:r>
      <w:r w:rsidR="00380201" w:rsidRPr="008762D1">
        <w:rPr>
          <w:color w:val="000000" w:themeColor="text1"/>
          <w:lang w:eastAsia="es-MX"/>
        </w:rPr>
        <w:t xml:space="preserve">sección </w:t>
      </w:r>
      <w:r w:rsidR="00DA38A9" w:rsidRPr="008762D1">
        <w:rPr>
          <w:color w:val="000000" w:themeColor="text1"/>
        </w:rPr>
        <w:t xml:space="preserve">A2, a efecto de señalar que la red de tránsito realizará las </w:t>
      </w:r>
      <w:r w:rsidR="00E65F5A" w:rsidRPr="008762D1">
        <w:rPr>
          <w:color w:val="000000" w:themeColor="text1"/>
        </w:rPr>
        <w:t xml:space="preserve">funciones de </w:t>
      </w:r>
      <w:proofErr w:type="spellStart"/>
      <w:r w:rsidR="00E65F5A" w:rsidRPr="008762D1">
        <w:rPr>
          <w:color w:val="000000" w:themeColor="text1"/>
        </w:rPr>
        <w:t>transcodificación</w:t>
      </w:r>
      <w:proofErr w:type="spellEnd"/>
      <w:r w:rsidR="00E65F5A" w:rsidRPr="008762D1">
        <w:rPr>
          <w:color w:val="000000" w:themeColor="text1"/>
        </w:rPr>
        <w:t>, en el siguiente sentido:</w:t>
      </w:r>
    </w:p>
    <w:p w14:paraId="7258E34C" w14:textId="77777777" w:rsidR="000F0B9F" w:rsidRPr="008762D1" w:rsidRDefault="00E65F5A"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“Si la red origen y destino utilizan señalización IP, la red de tránsito no realizará ningún proceso de </w:t>
      </w:r>
      <w:proofErr w:type="spellStart"/>
      <w:r w:rsidRPr="008762D1">
        <w:rPr>
          <w:rFonts w:ascii="ITC Avant Garde" w:hAnsi="ITC Avant Garde"/>
          <w:color w:val="000000" w:themeColor="text1"/>
          <w:sz w:val="18"/>
          <w:szCs w:val="18"/>
        </w:rPr>
        <w:t>transcodificación</w:t>
      </w:r>
      <w:proofErr w:type="spellEnd"/>
      <w:r w:rsidRPr="008762D1">
        <w:rPr>
          <w:rFonts w:ascii="ITC Avant Garde" w:hAnsi="ITC Avant Garde"/>
          <w:color w:val="000000" w:themeColor="text1"/>
          <w:sz w:val="18"/>
          <w:szCs w:val="18"/>
        </w:rPr>
        <w:t xml:space="preserve"> permitiendo fluir los paquetes de voz, tal como las redes de origen y destino lo hayan negociado.</w:t>
      </w:r>
    </w:p>
    <w:p w14:paraId="63491DBC" w14:textId="05FDBD6E" w:rsidR="00E65F5A" w:rsidRPr="008762D1" w:rsidRDefault="00E65F5A"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lastRenderedPageBreak/>
        <w:t>Si la red origen y la red de destino están interconectadas a la red de tránsito mediante tecnologías diferentes, Telmex en su calidad de red de tránsito deberá realizar la conversión entre protocolos de señalización SS7 y SIP, a fin de permitir la interoperabilidad entre las redes.”</w:t>
      </w:r>
    </w:p>
    <w:p w14:paraId="7ED3C42D" w14:textId="77777777" w:rsidR="000F0B9F" w:rsidRPr="008762D1" w:rsidRDefault="008B62F1"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4519ECB8" w14:textId="16BD7F92" w:rsidR="00667D11" w:rsidRPr="008762D1" w:rsidRDefault="00667D1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2F527888" w14:textId="77777777" w:rsidR="000F0B9F" w:rsidRPr="008762D1" w:rsidRDefault="00016ED1"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el </w:t>
      </w:r>
      <w:r w:rsidR="005E32C2" w:rsidRPr="008762D1">
        <w:rPr>
          <w:rFonts w:cs="Arial"/>
          <w:color w:val="000000" w:themeColor="text1"/>
          <w:lang w:eastAsia="es-MX"/>
        </w:rPr>
        <w:t xml:space="preserve">inciso 2.1 </w:t>
      </w:r>
      <w:r w:rsidR="005E32C2" w:rsidRPr="008762D1">
        <w:rPr>
          <w:color w:val="000000" w:themeColor="text1"/>
        </w:rPr>
        <w:t>del Tema 2 de</w:t>
      </w:r>
      <w:r w:rsidR="00380201" w:rsidRPr="008762D1">
        <w:rPr>
          <w:color w:val="000000" w:themeColor="text1"/>
        </w:rPr>
        <w:t xml:space="preserve"> </w:t>
      </w:r>
      <w:r w:rsidR="005E32C2" w:rsidRPr="008762D1">
        <w:rPr>
          <w:color w:val="000000" w:themeColor="text1"/>
        </w:rPr>
        <w:t>l</w:t>
      </w:r>
      <w:r w:rsidR="00380201" w:rsidRPr="008762D1">
        <w:rPr>
          <w:color w:val="000000" w:themeColor="text1"/>
        </w:rPr>
        <w:t>a</w:t>
      </w:r>
      <w:r w:rsidR="005E32C2" w:rsidRPr="008762D1">
        <w:rPr>
          <w:color w:val="000000" w:themeColor="text1"/>
        </w:rPr>
        <w:t xml:space="preserve"> </w:t>
      </w:r>
      <w:r w:rsidR="00380201" w:rsidRPr="008762D1">
        <w:rPr>
          <w:color w:val="000000" w:themeColor="text1"/>
          <w:lang w:eastAsia="es-MX"/>
        </w:rPr>
        <w:t xml:space="preserve">sección </w:t>
      </w:r>
      <w:r w:rsidR="005E32C2" w:rsidRPr="008762D1">
        <w:rPr>
          <w:color w:val="000000" w:themeColor="text1"/>
        </w:rPr>
        <w:t xml:space="preserve">A2 </w:t>
      </w:r>
      <w:r w:rsidRPr="008762D1">
        <w:rPr>
          <w:rFonts w:cs="Arial"/>
          <w:color w:val="000000" w:themeColor="text1"/>
          <w:lang w:eastAsia="es-MX"/>
        </w:rPr>
        <w:t>en los términos señalados en el Acuerdo.</w:t>
      </w:r>
    </w:p>
    <w:p w14:paraId="4D758C07" w14:textId="7D8D430E" w:rsidR="00667D11" w:rsidRPr="008762D1" w:rsidRDefault="00667D1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75EFB8D1" w14:textId="77777777" w:rsidR="000F0B9F" w:rsidRPr="008762D1" w:rsidRDefault="0072312D" w:rsidP="000F0B9F">
      <w:pPr>
        <w:pStyle w:val="IFT1"/>
        <w:tabs>
          <w:tab w:val="left" w:pos="284"/>
          <w:tab w:val="left" w:pos="567"/>
        </w:tabs>
        <w:spacing w:before="240" w:after="0"/>
        <w:rPr>
          <w:rFonts w:cs="Arial"/>
          <w:color w:val="000000" w:themeColor="text1"/>
        </w:rPr>
      </w:pPr>
      <w:r w:rsidRPr="008762D1">
        <w:rPr>
          <w:color w:val="000000" w:themeColor="text1"/>
        </w:rPr>
        <w:t xml:space="preserve">Al respecto, se señala que el </w:t>
      </w:r>
      <w:r w:rsidRPr="008762D1">
        <w:rPr>
          <w:rFonts w:cs="Arial"/>
          <w:color w:val="000000" w:themeColor="text1"/>
          <w:lang w:eastAsia="es-MX"/>
        </w:rPr>
        <w:t xml:space="preserve">inciso 2.1 </w:t>
      </w:r>
      <w:r w:rsidRPr="008762D1">
        <w:rPr>
          <w:color w:val="000000" w:themeColor="text1"/>
        </w:rPr>
        <w:t>del Tema 2 de</w:t>
      </w:r>
      <w:r w:rsidR="00380201" w:rsidRPr="008762D1">
        <w:rPr>
          <w:color w:val="000000" w:themeColor="text1"/>
        </w:rPr>
        <w:t xml:space="preserve"> </w:t>
      </w:r>
      <w:r w:rsidRPr="008762D1">
        <w:rPr>
          <w:color w:val="000000" w:themeColor="text1"/>
        </w:rPr>
        <w:t>l</w:t>
      </w:r>
      <w:r w:rsidR="00380201" w:rsidRPr="008762D1">
        <w:rPr>
          <w:color w:val="000000" w:themeColor="text1"/>
        </w:rPr>
        <w:t>a</w:t>
      </w:r>
      <w:r w:rsidRPr="008762D1">
        <w:rPr>
          <w:color w:val="000000" w:themeColor="text1"/>
        </w:rPr>
        <w:t xml:space="preserve"> </w:t>
      </w:r>
      <w:r w:rsidR="00380201" w:rsidRPr="008762D1">
        <w:rPr>
          <w:color w:val="000000" w:themeColor="text1"/>
          <w:lang w:eastAsia="es-MX"/>
        </w:rPr>
        <w:t>sección</w:t>
      </w:r>
      <w:r w:rsidRPr="008762D1">
        <w:rPr>
          <w:color w:val="000000" w:themeColor="text1"/>
        </w:rPr>
        <w:t xml:space="preserve"> A2 es acorde a lo establecido en el Acuerdo de Condiciones Técnicas Mínimas al señalar que en la prestación del servicio de tránsito la red que proporciona el servicio realizará la </w:t>
      </w:r>
      <w:proofErr w:type="spellStart"/>
      <w:r w:rsidRPr="008762D1">
        <w:rPr>
          <w:color w:val="000000" w:themeColor="text1"/>
        </w:rPr>
        <w:t>transcodificación</w:t>
      </w:r>
      <w:proofErr w:type="spellEnd"/>
      <w:r w:rsidRPr="008762D1">
        <w:rPr>
          <w:color w:val="000000" w:themeColor="text1"/>
        </w:rPr>
        <w:t xml:space="preserve"> necesaria para permitir la interoperabilidad entre redes que utilicen diferente tecnología, </w:t>
      </w:r>
      <w:r w:rsidR="009A5728" w:rsidRPr="008762D1">
        <w:rPr>
          <w:rFonts w:cs="Arial"/>
          <w:color w:val="000000" w:themeColor="text1"/>
        </w:rPr>
        <w:t>por lo anterior y toda vez que Telmex no realizó manifestaciones sobre la modificación realizada por el Instituto, se considera procedente su aprobación</w:t>
      </w:r>
      <w:r w:rsidRPr="008762D1">
        <w:rPr>
          <w:rFonts w:cs="Arial"/>
          <w:color w:val="000000" w:themeColor="text1"/>
        </w:rPr>
        <w:t>.</w:t>
      </w:r>
    </w:p>
    <w:p w14:paraId="68789BFA" w14:textId="77777777" w:rsidR="000F0B9F" w:rsidRPr="008762D1" w:rsidRDefault="00B62935" w:rsidP="000F0B9F">
      <w:pPr>
        <w:pStyle w:val="IFT1"/>
        <w:numPr>
          <w:ilvl w:val="2"/>
          <w:numId w:val="9"/>
        </w:numPr>
        <w:tabs>
          <w:tab w:val="left" w:pos="284"/>
          <w:tab w:val="left" w:pos="567"/>
        </w:tabs>
        <w:spacing w:before="240" w:after="0"/>
        <w:ind w:left="567" w:hanging="567"/>
        <w:rPr>
          <w:rFonts w:cs="Arial"/>
          <w:b/>
          <w:color w:val="000000" w:themeColor="text1"/>
        </w:rPr>
      </w:pPr>
      <w:r w:rsidRPr="008762D1">
        <w:rPr>
          <w:rFonts w:cs="Arial"/>
          <w:b/>
          <w:color w:val="000000" w:themeColor="text1"/>
        </w:rPr>
        <w:t xml:space="preserve">ACUERDOS TÉCNICOS DE INTERCONEXIÓN PARA SEÑALIZACIÓN </w:t>
      </w:r>
      <w:r w:rsidR="00FA687D" w:rsidRPr="008762D1">
        <w:rPr>
          <w:rFonts w:cs="Arial"/>
          <w:b/>
          <w:color w:val="000000" w:themeColor="text1"/>
        </w:rPr>
        <w:t>IP</w:t>
      </w:r>
      <w:r w:rsidRPr="008762D1">
        <w:rPr>
          <w:rFonts w:cs="Arial"/>
          <w:b/>
          <w:color w:val="000000" w:themeColor="text1"/>
        </w:rPr>
        <w:t>.</w:t>
      </w:r>
    </w:p>
    <w:p w14:paraId="6649C896" w14:textId="08921D3E" w:rsidR="00A048E4" w:rsidRPr="008762D1" w:rsidRDefault="00A048E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2E255D43" w14:textId="77777777" w:rsidR="000F0B9F" w:rsidRPr="008762D1" w:rsidRDefault="00974F30" w:rsidP="000F0B9F">
      <w:pPr>
        <w:pStyle w:val="IFT1"/>
        <w:tabs>
          <w:tab w:val="left" w:pos="284"/>
          <w:tab w:val="left" w:pos="567"/>
        </w:tabs>
        <w:spacing w:before="240" w:after="0"/>
        <w:rPr>
          <w:color w:val="000000" w:themeColor="text1"/>
        </w:rPr>
      </w:pPr>
      <w:r w:rsidRPr="008762D1">
        <w:rPr>
          <w:color w:val="000000" w:themeColor="text1"/>
        </w:rPr>
        <w:t>Del análisis del inciso 2.1 del Tema 2 de</w:t>
      </w:r>
      <w:r w:rsidR="00380201" w:rsidRPr="008762D1">
        <w:rPr>
          <w:color w:val="000000" w:themeColor="text1"/>
        </w:rPr>
        <w:t xml:space="preserve"> </w:t>
      </w:r>
      <w:r w:rsidRPr="008762D1">
        <w:rPr>
          <w:color w:val="000000" w:themeColor="text1"/>
        </w:rPr>
        <w:t>l</w:t>
      </w:r>
      <w:r w:rsidR="00380201" w:rsidRPr="008762D1">
        <w:rPr>
          <w:color w:val="000000" w:themeColor="text1"/>
        </w:rPr>
        <w:t>a</w:t>
      </w:r>
      <w:r w:rsidRPr="008762D1">
        <w:rPr>
          <w:color w:val="000000" w:themeColor="text1"/>
        </w:rPr>
        <w:t xml:space="preserve"> </w:t>
      </w:r>
      <w:r w:rsidR="00380201" w:rsidRPr="008762D1">
        <w:rPr>
          <w:color w:val="000000" w:themeColor="text1"/>
        </w:rPr>
        <w:t>sección</w:t>
      </w:r>
      <w:r w:rsidRPr="008762D1">
        <w:rPr>
          <w:color w:val="000000" w:themeColor="text1"/>
        </w:rPr>
        <w:t xml:space="preserve"> A.2, se observó que los términos planteados en dicho inciso no se apega</w:t>
      </w:r>
      <w:r w:rsidR="00847D1A" w:rsidRPr="008762D1">
        <w:rPr>
          <w:color w:val="000000" w:themeColor="text1"/>
        </w:rPr>
        <w:t>ba</w:t>
      </w:r>
      <w:r w:rsidRPr="008762D1">
        <w:rPr>
          <w:color w:val="000000" w:themeColor="text1"/>
        </w:rPr>
        <w:t xml:space="preserve">n al marco regulatorio vigente ni a los términos y condiciones establecidos en el CMI 2017 autorizado mediante Acuerdo </w:t>
      </w:r>
      <w:r w:rsidR="00F86A43" w:rsidRPr="008762D1">
        <w:rPr>
          <w:rFonts w:cs="Arial"/>
          <w:bCs/>
          <w:color w:val="000000" w:themeColor="text1"/>
          <w:lang w:eastAsia="es-ES"/>
        </w:rPr>
        <w:t>P/IFT/EXT/241116/40</w:t>
      </w:r>
      <w:r w:rsidRPr="008762D1">
        <w:rPr>
          <w:color w:val="000000" w:themeColor="text1"/>
        </w:rPr>
        <w:t xml:space="preserve"> y, toda vez que el propósito de revisar anualmente el instrumento regulatorio es mejorar, o precisar las condiciones, así como ajustarse a la evolución tecnológica del sector, y de ninguna forma se justifica la existencia de retrocesos en la regul</w:t>
      </w:r>
      <w:r w:rsidR="00847D1A" w:rsidRPr="008762D1">
        <w:rPr>
          <w:color w:val="000000" w:themeColor="text1"/>
        </w:rPr>
        <w:t>ación; el Instituto no consideró</w:t>
      </w:r>
      <w:r w:rsidRPr="008762D1">
        <w:rPr>
          <w:color w:val="000000" w:themeColor="text1"/>
        </w:rPr>
        <w:t xml:space="preserve"> procedente que en una revisión posterior del convenio ma</w:t>
      </w:r>
      <w:r w:rsidR="00847D1A" w:rsidRPr="008762D1">
        <w:rPr>
          <w:color w:val="000000" w:themeColor="text1"/>
        </w:rPr>
        <w:t>rco de interconexión se plante</w:t>
      </w:r>
      <w:r w:rsidR="00E65F5A" w:rsidRPr="008762D1">
        <w:rPr>
          <w:color w:val="000000" w:themeColor="text1"/>
        </w:rPr>
        <w:t>a</w:t>
      </w:r>
      <w:r w:rsidR="00847D1A" w:rsidRPr="008762D1">
        <w:rPr>
          <w:color w:val="000000" w:themeColor="text1"/>
        </w:rPr>
        <w:t>ran</w:t>
      </w:r>
      <w:r w:rsidRPr="008762D1">
        <w:rPr>
          <w:color w:val="000000" w:themeColor="text1"/>
        </w:rPr>
        <w:t xml:space="preserve"> términos y condiciones menos favorables que los ya autorizados por el Instituto.</w:t>
      </w:r>
    </w:p>
    <w:p w14:paraId="08F9F4E4" w14:textId="77777777" w:rsidR="000F0B9F" w:rsidRPr="008762D1" w:rsidRDefault="00974F30" w:rsidP="000F0B9F">
      <w:pPr>
        <w:spacing w:before="240" w:after="0" w:line="276" w:lineRule="auto"/>
        <w:jc w:val="both"/>
        <w:rPr>
          <w:rFonts w:ascii="ITC Avant Garde" w:hAnsi="ITC Avant Garde" w:cs="Arial"/>
          <w:bCs/>
          <w:color w:val="000000" w:themeColor="text1"/>
          <w:lang w:val="es-ES"/>
        </w:rPr>
      </w:pPr>
      <w:r w:rsidRPr="008762D1">
        <w:rPr>
          <w:rFonts w:ascii="ITC Avant Garde" w:hAnsi="ITC Avant Garde" w:cs="Arial"/>
          <w:bCs/>
          <w:color w:val="000000" w:themeColor="text1"/>
          <w:lang w:val="es-ES"/>
        </w:rPr>
        <w:t xml:space="preserve">Lo anterior, dado que en dicho numeral </w:t>
      </w:r>
      <w:r w:rsidR="00EB25DE" w:rsidRPr="008762D1">
        <w:rPr>
          <w:rFonts w:ascii="ITC Avant Garde" w:hAnsi="ITC Avant Garde" w:cs="Arial"/>
          <w:bCs/>
          <w:color w:val="000000" w:themeColor="text1"/>
          <w:lang w:val="es-ES"/>
        </w:rPr>
        <w:t xml:space="preserve">Telmex </w:t>
      </w:r>
      <w:r w:rsidRPr="008762D1">
        <w:rPr>
          <w:rFonts w:ascii="ITC Avant Garde" w:hAnsi="ITC Avant Garde" w:cs="Arial"/>
          <w:bCs/>
          <w:color w:val="000000" w:themeColor="text1"/>
          <w:lang w:val="es-ES"/>
        </w:rPr>
        <w:t>solicita la utilización del campo P-</w:t>
      </w:r>
      <w:proofErr w:type="spellStart"/>
      <w:r w:rsidRPr="008762D1">
        <w:rPr>
          <w:rFonts w:ascii="ITC Avant Garde" w:hAnsi="ITC Avant Garde" w:cs="Arial"/>
          <w:bCs/>
          <w:color w:val="000000" w:themeColor="text1"/>
          <w:lang w:val="es-ES"/>
        </w:rPr>
        <w:t>Early</w:t>
      </w:r>
      <w:proofErr w:type="spellEnd"/>
      <w:r w:rsidRPr="008762D1">
        <w:rPr>
          <w:rFonts w:ascii="ITC Avant Garde" w:hAnsi="ITC Avant Garde" w:cs="Arial"/>
          <w:bCs/>
          <w:color w:val="000000" w:themeColor="text1"/>
          <w:lang w:val="es-ES"/>
        </w:rPr>
        <w:t xml:space="preserve">-Media </w:t>
      </w:r>
      <w:r w:rsidR="00EB25DE" w:rsidRPr="008762D1">
        <w:rPr>
          <w:rFonts w:ascii="ITC Avant Garde" w:hAnsi="ITC Avant Garde" w:cs="Arial"/>
          <w:bCs/>
          <w:color w:val="000000" w:themeColor="text1"/>
          <w:lang w:val="es-ES"/>
        </w:rPr>
        <w:t xml:space="preserve">para el envío de medio prematuro para el tono de llamada normal y </w:t>
      </w:r>
      <w:r w:rsidRPr="008762D1">
        <w:rPr>
          <w:rFonts w:ascii="ITC Avant Garde" w:hAnsi="ITC Avant Garde" w:cs="Arial"/>
          <w:bCs/>
          <w:color w:val="000000" w:themeColor="text1"/>
          <w:lang w:val="es-ES"/>
        </w:rPr>
        <w:t xml:space="preserve">la reproducción </w:t>
      </w:r>
      <w:r w:rsidR="00A31B65" w:rsidRPr="008762D1">
        <w:rPr>
          <w:rFonts w:ascii="ITC Avant Garde" w:hAnsi="ITC Avant Garde" w:cs="Arial"/>
          <w:bCs/>
          <w:color w:val="000000" w:themeColor="text1"/>
          <w:lang w:val="es-ES"/>
        </w:rPr>
        <w:t xml:space="preserve">de anuncios, </w:t>
      </w:r>
      <w:r w:rsidR="006E00F2" w:rsidRPr="008762D1">
        <w:rPr>
          <w:rFonts w:ascii="ITC Avant Garde" w:hAnsi="ITC Avant Garde" w:cs="Arial"/>
          <w:bCs/>
          <w:color w:val="000000" w:themeColor="text1"/>
          <w:lang w:val="es-ES"/>
        </w:rPr>
        <w:t>así como el uso del encabezado P-</w:t>
      </w:r>
      <w:proofErr w:type="spellStart"/>
      <w:r w:rsidR="006E00F2" w:rsidRPr="008762D1">
        <w:rPr>
          <w:rFonts w:ascii="ITC Avant Garde" w:hAnsi="ITC Avant Garde" w:cs="Arial"/>
          <w:bCs/>
          <w:color w:val="000000" w:themeColor="text1"/>
          <w:lang w:val="es-ES"/>
        </w:rPr>
        <w:t>Asserted</w:t>
      </w:r>
      <w:proofErr w:type="spellEnd"/>
      <w:r w:rsidR="006E00F2" w:rsidRPr="008762D1">
        <w:rPr>
          <w:rFonts w:ascii="ITC Avant Garde" w:hAnsi="ITC Avant Garde" w:cs="Arial"/>
          <w:bCs/>
          <w:color w:val="000000" w:themeColor="text1"/>
          <w:lang w:val="es-ES"/>
        </w:rPr>
        <w:t>-Id.</w:t>
      </w:r>
      <w:r w:rsidR="009868FD" w:rsidRPr="008762D1">
        <w:rPr>
          <w:rFonts w:ascii="ITC Avant Garde" w:hAnsi="ITC Avant Garde" w:cs="Arial"/>
          <w:bCs/>
          <w:color w:val="000000" w:themeColor="text1"/>
          <w:lang w:val="es-ES"/>
        </w:rPr>
        <w:t xml:space="preserve"> Asimismo, se agregó el perfil de codificación y compresión de voz AMR-WB.</w:t>
      </w:r>
    </w:p>
    <w:p w14:paraId="1246B2B3" w14:textId="77777777" w:rsidR="000F0B9F" w:rsidRPr="008762D1" w:rsidRDefault="00847D1A"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Es así que se modificó</w:t>
      </w:r>
      <w:r w:rsidR="00A31B65" w:rsidRPr="008762D1">
        <w:rPr>
          <w:rFonts w:ascii="ITC Avant Garde" w:hAnsi="ITC Avant Garde"/>
          <w:color w:val="000000" w:themeColor="text1"/>
        </w:rPr>
        <w:t xml:space="preserve"> el Tema 2 </w:t>
      </w:r>
      <w:r w:rsidR="00380201" w:rsidRPr="008762D1">
        <w:rPr>
          <w:rFonts w:ascii="ITC Avant Garde" w:hAnsi="ITC Avant Garde"/>
          <w:color w:val="000000" w:themeColor="text1"/>
        </w:rPr>
        <w:t>sección</w:t>
      </w:r>
      <w:r w:rsidR="00A31B65" w:rsidRPr="008762D1">
        <w:rPr>
          <w:rFonts w:ascii="ITC Avant Garde" w:hAnsi="ITC Avant Garde"/>
          <w:color w:val="000000" w:themeColor="text1"/>
        </w:rPr>
        <w:t xml:space="preserve"> A.2,</w:t>
      </w:r>
      <w:r w:rsidRPr="008762D1">
        <w:rPr>
          <w:rFonts w:ascii="ITC Avant Garde" w:hAnsi="ITC Avant Garde"/>
          <w:color w:val="000000" w:themeColor="text1"/>
        </w:rPr>
        <w:t xml:space="preserve"> de conformidad con lo establecido en el Acuerdo de Condiciones Técnicas Mínimas</w:t>
      </w:r>
      <w:r w:rsidR="00CC41FC" w:rsidRPr="008762D1">
        <w:rPr>
          <w:rFonts w:ascii="ITC Avant Garde" w:hAnsi="ITC Avant Garde"/>
          <w:color w:val="000000" w:themeColor="text1"/>
        </w:rPr>
        <w:t>, en el siguiente sentido:</w:t>
      </w:r>
    </w:p>
    <w:p w14:paraId="425D4B08" w14:textId="783487B2" w:rsidR="006E00F2"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lastRenderedPageBreak/>
        <w:t>“</w:t>
      </w:r>
      <w:r w:rsidR="006E00F2" w:rsidRPr="008762D1">
        <w:rPr>
          <w:rFonts w:ascii="ITC Avant Garde" w:hAnsi="ITC Avant Garde"/>
          <w:color w:val="000000" w:themeColor="text1"/>
          <w:sz w:val="18"/>
          <w:szCs w:val="18"/>
        </w:rPr>
        <w:t>(…)</w:t>
      </w:r>
    </w:p>
    <w:p w14:paraId="30C70577" w14:textId="77777777" w:rsidR="000F0B9F" w:rsidRPr="008762D1" w:rsidRDefault="009868FD"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Dentro de la negociación inicial SDP, se deberán enviar los perfiles de codificación y compresión de voz:</w:t>
      </w:r>
    </w:p>
    <w:p w14:paraId="7B3B73B2" w14:textId="3D423A65" w:rsidR="009868FD" w:rsidRPr="008762D1" w:rsidRDefault="009868FD" w:rsidP="000F0B9F">
      <w:pPr>
        <w:pStyle w:val="Prrafodelista"/>
        <w:numPr>
          <w:ilvl w:val="0"/>
          <w:numId w:val="16"/>
        </w:numPr>
        <w:spacing w:before="240" w:after="0"/>
        <w:ind w:right="567" w:hanging="15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G.729 </w:t>
      </w:r>
      <w:r w:rsidRPr="008762D1">
        <w:rPr>
          <w:rFonts w:ascii="ITC Avant Garde" w:hAnsi="ITC Avant Garde"/>
          <w:color w:val="000000" w:themeColor="text1"/>
          <w:sz w:val="18"/>
          <w:szCs w:val="18"/>
        </w:rPr>
        <w:tab/>
      </w:r>
      <w:r w:rsidRPr="008762D1">
        <w:rPr>
          <w:rFonts w:ascii="ITC Avant Garde" w:hAnsi="ITC Avant Garde"/>
          <w:color w:val="000000" w:themeColor="text1"/>
          <w:sz w:val="18"/>
          <w:szCs w:val="18"/>
        </w:rPr>
        <w:tab/>
      </w:r>
      <w:proofErr w:type="spellStart"/>
      <w:r w:rsidRPr="008762D1">
        <w:rPr>
          <w:rFonts w:ascii="ITC Avant Garde" w:hAnsi="ITC Avant Garde"/>
          <w:color w:val="000000" w:themeColor="text1"/>
          <w:sz w:val="18"/>
          <w:szCs w:val="18"/>
        </w:rPr>
        <w:t>Payload</w:t>
      </w:r>
      <w:proofErr w:type="spellEnd"/>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Type</w:t>
      </w:r>
      <w:proofErr w:type="spellEnd"/>
      <w:r w:rsidRPr="008762D1">
        <w:rPr>
          <w:rFonts w:ascii="ITC Avant Garde" w:hAnsi="ITC Avant Garde"/>
          <w:color w:val="000000" w:themeColor="text1"/>
          <w:sz w:val="18"/>
          <w:szCs w:val="18"/>
        </w:rPr>
        <w:t xml:space="preserve">: 18 </w:t>
      </w:r>
      <w:proofErr w:type="spellStart"/>
      <w:r w:rsidRPr="008762D1">
        <w:rPr>
          <w:rFonts w:ascii="ITC Avant Garde" w:hAnsi="ITC Avant Garde"/>
          <w:color w:val="000000" w:themeColor="text1"/>
          <w:sz w:val="18"/>
          <w:szCs w:val="18"/>
        </w:rPr>
        <w:t>annexb</w:t>
      </w:r>
      <w:proofErr w:type="spellEnd"/>
      <w:r w:rsidRPr="008762D1">
        <w:rPr>
          <w:rFonts w:ascii="ITC Avant Garde" w:hAnsi="ITC Avant Garde"/>
          <w:color w:val="000000" w:themeColor="text1"/>
          <w:sz w:val="18"/>
          <w:szCs w:val="18"/>
        </w:rPr>
        <w:t>=no</w:t>
      </w:r>
    </w:p>
    <w:p w14:paraId="32D28002" w14:textId="3EEBF4B5" w:rsidR="009868FD" w:rsidRPr="008762D1" w:rsidRDefault="009868FD" w:rsidP="000F0B9F">
      <w:pPr>
        <w:pStyle w:val="Prrafodelista"/>
        <w:numPr>
          <w:ilvl w:val="0"/>
          <w:numId w:val="16"/>
        </w:numPr>
        <w:spacing w:before="240" w:after="0"/>
        <w:ind w:right="567" w:hanging="153"/>
        <w:jc w:val="both"/>
        <w:rPr>
          <w:rFonts w:ascii="ITC Avant Garde" w:hAnsi="ITC Avant Garde"/>
          <w:color w:val="000000" w:themeColor="text1"/>
          <w:sz w:val="18"/>
          <w:szCs w:val="18"/>
          <w:lang w:val="en-US"/>
        </w:rPr>
      </w:pPr>
      <w:r w:rsidRPr="008762D1">
        <w:rPr>
          <w:rFonts w:ascii="ITC Avant Garde" w:hAnsi="ITC Avant Garde"/>
          <w:color w:val="000000" w:themeColor="text1"/>
          <w:sz w:val="18"/>
          <w:szCs w:val="18"/>
          <w:lang w:val="en-US"/>
        </w:rPr>
        <w:t xml:space="preserve">G.729b </w:t>
      </w:r>
      <w:r w:rsidRPr="008762D1">
        <w:rPr>
          <w:rFonts w:ascii="ITC Avant Garde" w:hAnsi="ITC Avant Garde"/>
          <w:color w:val="000000" w:themeColor="text1"/>
          <w:sz w:val="18"/>
          <w:szCs w:val="18"/>
          <w:lang w:val="en-US"/>
        </w:rPr>
        <w:tab/>
      </w:r>
      <w:r w:rsidRPr="008762D1">
        <w:rPr>
          <w:rFonts w:ascii="ITC Avant Garde" w:hAnsi="ITC Avant Garde"/>
          <w:color w:val="000000" w:themeColor="text1"/>
          <w:sz w:val="18"/>
          <w:szCs w:val="18"/>
          <w:lang w:val="en-US"/>
        </w:rPr>
        <w:tab/>
        <w:t xml:space="preserve">Payload Type: 18 </w:t>
      </w:r>
      <w:proofErr w:type="spellStart"/>
      <w:r w:rsidRPr="008762D1">
        <w:rPr>
          <w:rFonts w:ascii="ITC Avant Garde" w:hAnsi="ITC Avant Garde"/>
          <w:color w:val="000000" w:themeColor="text1"/>
          <w:sz w:val="18"/>
          <w:szCs w:val="18"/>
          <w:lang w:val="en-US"/>
        </w:rPr>
        <w:t>annexb</w:t>
      </w:r>
      <w:proofErr w:type="spellEnd"/>
      <w:r w:rsidRPr="008762D1">
        <w:rPr>
          <w:rFonts w:ascii="ITC Avant Garde" w:hAnsi="ITC Avant Garde"/>
          <w:color w:val="000000" w:themeColor="text1"/>
          <w:sz w:val="18"/>
          <w:szCs w:val="18"/>
          <w:lang w:val="en-US"/>
        </w:rPr>
        <w:t>=yes</w:t>
      </w:r>
    </w:p>
    <w:p w14:paraId="50858872" w14:textId="7D1797BF" w:rsidR="009868FD" w:rsidRPr="008762D1" w:rsidRDefault="009868FD" w:rsidP="000F0B9F">
      <w:pPr>
        <w:pStyle w:val="Prrafodelista"/>
        <w:numPr>
          <w:ilvl w:val="0"/>
          <w:numId w:val="16"/>
        </w:numPr>
        <w:spacing w:before="240" w:after="0"/>
        <w:ind w:right="567" w:hanging="153"/>
        <w:jc w:val="both"/>
        <w:rPr>
          <w:rFonts w:ascii="ITC Avant Garde" w:hAnsi="ITC Avant Garde"/>
          <w:color w:val="000000" w:themeColor="text1"/>
          <w:sz w:val="18"/>
          <w:szCs w:val="18"/>
          <w:lang w:val="en-US"/>
        </w:rPr>
      </w:pPr>
      <w:r w:rsidRPr="008762D1">
        <w:rPr>
          <w:rFonts w:ascii="ITC Avant Garde" w:hAnsi="ITC Avant Garde"/>
          <w:color w:val="000000" w:themeColor="text1"/>
          <w:sz w:val="18"/>
          <w:szCs w:val="18"/>
          <w:lang w:val="en-US"/>
        </w:rPr>
        <w:t xml:space="preserve">G.711 Ley A </w:t>
      </w:r>
      <w:r w:rsidRPr="008762D1">
        <w:rPr>
          <w:rFonts w:ascii="ITC Avant Garde" w:hAnsi="ITC Avant Garde"/>
          <w:color w:val="000000" w:themeColor="text1"/>
          <w:sz w:val="18"/>
          <w:szCs w:val="18"/>
          <w:lang w:val="en-US"/>
        </w:rPr>
        <w:tab/>
        <w:t>Payload Type: 8</w:t>
      </w:r>
    </w:p>
    <w:p w14:paraId="2DD04E57" w14:textId="117210CA" w:rsidR="009868FD" w:rsidRPr="008762D1" w:rsidRDefault="009868FD" w:rsidP="000F0B9F">
      <w:pPr>
        <w:pStyle w:val="Prrafodelista"/>
        <w:numPr>
          <w:ilvl w:val="0"/>
          <w:numId w:val="16"/>
        </w:numPr>
        <w:spacing w:before="240" w:after="0"/>
        <w:ind w:right="567" w:hanging="15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AMR-NB </w:t>
      </w:r>
      <w:r w:rsidRPr="008762D1">
        <w:rPr>
          <w:rFonts w:ascii="ITC Avant Garde" w:hAnsi="ITC Avant Garde"/>
          <w:color w:val="000000" w:themeColor="text1"/>
          <w:sz w:val="18"/>
          <w:szCs w:val="18"/>
        </w:rPr>
        <w:tab/>
      </w:r>
      <w:proofErr w:type="spellStart"/>
      <w:r w:rsidRPr="008762D1">
        <w:rPr>
          <w:rFonts w:ascii="ITC Avant Garde" w:hAnsi="ITC Avant Garde"/>
          <w:color w:val="000000" w:themeColor="text1"/>
          <w:sz w:val="18"/>
          <w:szCs w:val="18"/>
        </w:rPr>
        <w:t>Payload</w:t>
      </w:r>
      <w:proofErr w:type="spellEnd"/>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Type</w:t>
      </w:r>
      <w:proofErr w:type="spellEnd"/>
      <w:r w:rsidRPr="008762D1">
        <w:rPr>
          <w:rFonts w:ascii="ITC Avant Garde" w:hAnsi="ITC Avant Garde"/>
          <w:color w:val="000000" w:themeColor="text1"/>
          <w:sz w:val="18"/>
          <w:szCs w:val="18"/>
        </w:rPr>
        <w:t>: 96-127</w:t>
      </w:r>
    </w:p>
    <w:p w14:paraId="3A97D2EC" w14:textId="34E3FB7B" w:rsidR="009868FD" w:rsidRPr="008762D1" w:rsidRDefault="009868FD" w:rsidP="000F0B9F">
      <w:pPr>
        <w:pStyle w:val="Prrafodelista"/>
        <w:numPr>
          <w:ilvl w:val="0"/>
          <w:numId w:val="16"/>
        </w:numPr>
        <w:spacing w:before="240" w:after="0"/>
        <w:ind w:right="567" w:hanging="153"/>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AMR-WB</w:t>
      </w:r>
      <w:r w:rsidRPr="008762D1">
        <w:rPr>
          <w:rFonts w:ascii="ITC Avant Garde" w:hAnsi="ITC Avant Garde"/>
          <w:color w:val="000000" w:themeColor="text1"/>
          <w:sz w:val="18"/>
          <w:szCs w:val="18"/>
          <w:u w:val="single"/>
        </w:rPr>
        <w:tab/>
      </w:r>
      <w:proofErr w:type="spellStart"/>
      <w:r w:rsidRPr="008762D1">
        <w:rPr>
          <w:rFonts w:ascii="ITC Avant Garde" w:hAnsi="ITC Avant Garde"/>
          <w:color w:val="000000" w:themeColor="text1"/>
          <w:sz w:val="18"/>
          <w:szCs w:val="18"/>
          <w:u w:val="single"/>
        </w:rPr>
        <w:t>Payload</w:t>
      </w:r>
      <w:proofErr w:type="spellEnd"/>
      <w:r w:rsidRPr="008762D1">
        <w:rPr>
          <w:rFonts w:ascii="ITC Avant Garde" w:hAnsi="ITC Avant Garde"/>
          <w:color w:val="000000" w:themeColor="text1"/>
          <w:sz w:val="18"/>
          <w:szCs w:val="18"/>
          <w:u w:val="single"/>
        </w:rPr>
        <w:t xml:space="preserve"> Type:98</w:t>
      </w:r>
    </w:p>
    <w:p w14:paraId="780950E2" w14:textId="77777777" w:rsidR="000F0B9F" w:rsidRPr="008762D1" w:rsidRDefault="009868FD"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101455A4" w14:textId="697F8E8D" w:rsidR="006E00F2" w:rsidRPr="008762D1" w:rsidRDefault="009868FD"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6E00F2" w:rsidRPr="008762D1">
        <w:rPr>
          <w:rFonts w:ascii="ITC Avant Garde" w:hAnsi="ITC Avant Garde"/>
          <w:color w:val="000000" w:themeColor="text1"/>
          <w:sz w:val="18"/>
          <w:szCs w:val="18"/>
        </w:rPr>
        <w:t>Origen: Parámetro “</w:t>
      </w:r>
      <w:proofErr w:type="spellStart"/>
      <w:r w:rsidR="006E00F2" w:rsidRPr="008762D1">
        <w:rPr>
          <w:rFonts w:ascii="ITC Avant Garde" w:hAnsi="ITC Avant Garde"/>
          <w:color w:val="000000" w:themeColor="text1"/>
          <w:sz w:val="18"/>
          <w:szCs w:val="18"/>
        </w:rPr>
        <w:t>user</w:t>
      </w:r>
      <w:proofErr w:type="spellEnd"/>
      <w:r w:rsidR="006E00F2" w:rsidRPr="008762D1">
        <w:rPr>
          <w:rFonts w:ascii="ITC Avant Garde" w:hAnsi="ITC Avant Garde"/>
          <w:color w:val="000000" w:themeColor="text1"/>
          <w:sz w:val="18"/>
          <w:szCs w:val="18"/>
        </w:rPr>
        <w:t xml:space="preserve">” contenido en el </w:t>
      </w:r>
      <w:proofErr w:type="spellStart"/>
      <w:r w:rsidR="006E00F2" w:rsidRPr="008762D1">
        <w:rPr>
          <w:rFonts w:ascii="ITC Avant Garde" w:hAnsi="ITC Avant Garde"/>
          <w:color w:val="000000" w:themeColor="text1"/>
          <w:sz w:val="18"/>
          <w:szCs w:val="18"/>
        </w:rPr>
        <w:t>header</w:t>
      </w:r>
      <w:proofErr w:type="spellEnd"/>
      <w:r w:rsidR="006E00F2" w:rsidRPr="008762D1">
        <w:rPr>
          <w:rFonts w:ascii="ITC Avant Garde" w:hAnsi="ITC Avant Garde"/>
          <w:color w:val="000000" w:themeColor="text1"/>
          <w:sz w:val="18"/>
          <w:szCs w:val="18"/>
        </w:rPr>
        <w:t xml:space="preserve"> </w:t>
      </w:r>
      <w:proofErr w:type="spellStart"/>
      <w:r w:rsidR="006E00F2" w:rsidRPr="008762D1">
        <w:rPr>
          <w:rFonts w:ascii="ITC Avant Garde" w:hAnsi="ITC Avant Garde"/>
          <w:color w:val="000000" w:themeColor="text1"/>
          <w:sz w:val="18"/>
          <w:szCs w:val="18"/>
        </w:rPr>
        <w:t>From</w:t>
      </w:r>
      <w:proofErr w:type="spellEnd"/>
      <w:r w:rsidR="006E00F2" w:rsidRPr="008762D1">
        <w:rPr>
          <w:rFonts w:ascii="ITC Avant Garde" w:hAnsi="ITC Avant Garde"/>
          <w:color w:val="000000" w:themeColor="text1"/>
          <w:sz w:val="18"/>
          <w:szCs w:val="18"/>
        </w:rPr>
        <w:t xml:space="preserve"> y para los casos de uso del encabezado </w:t>
      </w:r>
      <w:proofErr w:type="spellStart"/>
      <w:r w:rsidR="006E00F2" w:rsidRPr="008762D1">
        <w:rPr>
          <w:rFonts w:ascii="ITC Avant Garde" w:hAnsi="ITC Avant Garde"/>
          <w:color w:val="000000" w:themeColor="text1"/>
          <w:sz w:val="18"/>
          <w:szCs w:val="18"/>
        </w:rPr>
        <w:t>Privacy</w:t>
      </w:r>
      <w:proofErr w:type="spellEnd"/>
      <w:r w:rsidR="006E00F2" w:rsidRPr="008762D1">
        <w:rPr>
          <w:rFonts w:ascii="ITC Avant Garde" w:hAnsi="ITC Avant Garde"/>
          <w:color w:val="000000" w:themeColor="text1"/>
          <w:sz w:val="18"/>
          <w:szCs w:val="18"/>
        </w:rPr>
        <w:t xml:space="preserve"> se utilizará el </w:t>
      </w:r>
      <w:proofErr w:type="spellStart"/>
      <w:r w:rsidR="006E00F2" w:rsidRPr="008762D1">
        <w:rPr>
          <w:rFonts w:ascii="ITC Avant Garde" w:hAnsi="ITC Avant Garde"/>
          <w:color w:val="000000" w:themeColor="text1"/>
          <w:sz w:val="18"/>
          <w:szCs w:val="18"/>
        </w:rPr>
        <w:t>header</w:t>
      </w:r>
      <w:proofErr w:type="spellEnd"/>
      <w:r w:rsidR="006E00F2" w:rsidRPr="008762D1">
        <w:rPr>
          <w:rFonts w:ascii="ITC Avant Garde" w:hAnsi="ITC Avant Garde"/>
          <w:color w:val="000000" w:themeColor="text1"/>
          <w:sz w:val="18"/>
          <w:szCs w:val="18"/>
        </w:rPr>
        <w:t xml:space="preserve"> P-</w:t>
      </w:r>
      <w:proofErr w:type="spellStart"/>
      <w:r w:rsidR="006E00F2" w:rsidRPr="008762D1">
        <w:rPr>
          <w:rFonts w:ascii="ITC Avant Garde" w:hAnsi="ITC Avant Garde"/>
          <w:color w:val="000000" w:themeColor="text1"/>
          <w:sz w:val="18"/>
          <w:szCs w:val="18"/>
        </w:rPr>
        <w:t>Aserted</w:t>
      </w:r>
      <w:proofErr w:type="spellEnd"/>
      <w:r w:rsidR="006E00F2" w:rsidRPr="008762D1">
        <w:rPr>
          <w:rFonts w:ascii="ITC Avant Garde" w:hAnsi="ITC Avant Garde"/>
          <w:color w:val="000000" w:themeColor="text1"/>
          <w:sz w:val="18"/>
          <w:szCs w:val="18"/>
        </w:rPr>
        <w:t xml:space="preserve">-Id. En caso de discrepancia entre ellos, se utilizará el FROM para facturación. Solo para el intercambio de tráfico entre Telmex y </w:t>
      </w:r>
      <w:r w:rsidR="00A04FEF" w:rsidRPr="008762D1">
        <w:rPr>
          <w:rFonts w:cs="Arial"/>
          <w:b/>
          <w:color w:val="0000FF"/>
        </w:rPr>
        <w:t>(…)</w:t>
      </w:r>
      <w:r w:rsidR="006E00F2" w:rsidRPr="008762D1">
        <w:rPr>
          <w:rFonts w:ascii="ITC Avant Garde" w:hAnsi="ITC Avant Garde"/>
          <w:color w:val="000000" w:themeColor="text1"/>
          <w:sz w:val="18"/>
          <w:szCs w:val="18"/>
        </w:rPr>
        <w:t>, Telmex no es responsable del formato que utilicen otras redes que hag</w:t>
      </w:r>
      <w:r w:rsidR="00A04FEF">
        <w:rPr>
          <w:rFonts w:ascii="ITC Avant Garde" w:hAnsi="ITC Avant Garde"/>
          <w:color w:val="000000" w:themeColor="text1"/>
          <w:sz w:val="18"/>
          <w:szCs w:val="18"/>
        </w:rPr>
        <w:t xml:space="preserve">an tránsito hacia </w:t>
      </w:r>
      <w:r w:rsidR="00A04FEF" w:rsidRPr="008762D1">
        <w:rPr>
          <w:rFonts w:cs="Arial"/>
          <w:b/>
          <w:color w:val="0000FF"/>
        </w:rPr>
        <w:t>(…)</w:t>
      </w:r>
      <w:r w:rsidR="006E00F2" w:rsidRPr="008762D1">
        <w:rPr>
          <w:rFonts w:ascii="ITC Avant Garde" w:hAnsi="ITC Avant Garde"/>
          <w:color w:val="000000" w:themeColor="text1"/>
          <w:sz w:val="18"/>
          <w:szCs w:val="18"/>
        </w:rPr>
        <w:t>.</w:t>
      </w:r>
    </w:p>
    <w:p w14:paraId="3CAA1828" w14:textId="77777777" w:rsidR="000F0B9F" w:rsidRPr="008762D1" w:rsidRDefault="006E00F2"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59318ABA" w14:textId="77777777" w:rsidR="000F0B9F" w:rsidRPr="008762D1" w:rsidRDefault="006E00F2" w:rsidP="000F0B9F">
      <w:pPr>
        <w:spacing w:before="240" w:after="0" w:line="276" w:lineRule="auto"/>
        <w:ind w:left="567" w:right="567"/>
        <w:jc w:val="both"/>
        <w:rPr>
          <w:rFonts w:ascii="ITC Avant Garde" w:hAnsi="ITC Avant Garde"/>
          <w:b/>
          <w:color w:val="000000" w:themeColor="text1"/>
          <w:sz w:val="18"/>
          <w:szCs w:val="18"/>
        </w:rPr>
      </w:pPr>
      <w:r w:rsidRPr="008762D1">
        <w:rPr>
          <w:rFonts w:ascii="ITC Avant Garde" w:hAnsi="ITC Avant Garde"/>
          <w:b/>
          <w:color w:val="000000" w:themeColor="text1"/>
          <w:sz w:val="18"/>
          <w:szCs w:val="18"/>
        </w:rPr>
        <w:t>“</w:t>
      </w:r>
      <w:r w:rsidR="00CC41FC" w:rsidRPr="008762D1">
        <w:rPr>
          <w:rFonts w:ascii="ITC Avant Garde" w:hAnsi="ITC Avant Garde"/>
          <w:b/>
          <w:color w:val="000000" w:themeColor="text1"/>
          <w:sz w:val="18"/>
          <w:szCs w:val="18"/>
        </w:rPr>
        <w:t>Envío de Medio prematuro para el Tono de Llamada Normal  y Anuncios</w:t>
      </w:r>
    </w:p>
    <w:p w14:paraId="177DE1CA" w14:textId="77777777" w:rsidR="000F0B9F"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El medio temprano hacia atrás le permite a la red terminante proporcionar información a la parte llamante estrictamente para propósitos de progreso de la llamada y no involucra intercambio de datos entre los usuarios terminales.</w:t>
      </w:r>
    </w:p>
    <w:p w14:paraId="2030564B" w14:textId="5CA3EB11" w:rsidR="00CC41FC"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Para propósitos de autorización de medio temprano se </w:t>
      </w:r>
      <w:r w:rsidRPr="008762D1">
        <w:rPr>
          <w:rFonts w:ascii="ITC Avant Garde" w:hAnsi="ITC Avant Garde"/>
          <w:strike/>
          <w:color w:val="000000" w:themeColor="text1"/>
          <w:sz w:val="18"/>
          <w:szCs w:val="18"/>
        </w:rPr>
        <w:t>enviarán los campos de</w:t>
      </w:r>
      <w:r w:rsidRPr="008762D1">
        <w:rPr>
          <w:rFonts w:ascii="ITC Avant Garde" w:hAnsi="ITC Avant Garde"/>
          <w:color w:val="000000" w:themeColor="text1"/>
          <w:sz w:val="18"/>
          <w:szCs w:val="18"/>
        </w:rPr>
        <w:t xml:space="preserve">  </w:t>
      </w:r>
      <w:r w:rsidRPr="008762D1">
        <w:rPr>
          <w:rFonts w:ascii="ITC Avant Garde" w:hAnsi="ITC Avant Garde"/>
          <w:color w:val="000000" w:themeColor="text1"/>
          <w:sz w:val="18"/>
          <w:szCs w:val="18"/>
          <w:u w:val="single"/>
        </w:rPr>
        <w:t xml:space="preserve">podrá utilizar el </w:t>
      </w:r>
      <w:r w:rsidRPr="008762D1">
        <w:rPr>
          <w:rFonts w:ascii="ITC Avant Garde" w:hAnsi="ITC Avant Garde"/>
          <w:color w:val="000000" w:themeColor="text1"/>
          <w:sz w:val="18"/>
          <w:szCs w:val="18"/>
        </w:rPr>
        <w:t>encabezado P-</w:t>
      </w:r>
      <w:proofErr w:type="spellStart"/>
      <w:r w:rsidRPr="008762D1">
        <w:rPr>
          <w:rFonts w:ascii="ITC Avant Garde" w:hAnsi="ITC Avant Garde"/>
          <w:color w:val="000000" w:themeColor="text1"/>
          <w:sz w:val="18"/>
          <w:szCs w:val="18"/>
        </w:rPr>
        <w:t>Early</w:t>
      </w:r>
      <w:proofErr w:type="spellEnd"/>
      <w:r w:rsidRPr="008762D1">
        <w:rPr>
          <w:rFonts w:ascii="ITC Avant Garde" w:hAnsi="ITC Avant Garde"/>
          <w:color w:val="000000" w:themeColor="text1"/>
          <w:sz w:val="18"/>
          <w:szCs w:val="18"/>
        </w:rPr>
        <w:t xml:space="preserve">-Media (con valor </w:t>
      </w:r>
      <w:proofErr w:type="spellStart"/>
      <w:r w:rsidRPr="008762D1">
        <w:rPr>
          <w:rFonts w:ascii="ITC Avant Garde" w:hAnsi="ITC Avant Garde"/>
          <w:color w:val="000000" w:themeColor="text1"/>
          <w:sz w:val="18"/>
          <w:szCs w:val="18"/>
        </w:rPr>
        <w:t>sendonly</w:t>
      </w:r>
      <w:proofErr w:type="spellEnd"/>
      <w:r w:rsidRPr="008762D1">
        <w:rPr>
          <w:rFonts w:ascii="ITC Avant Garde" w:hAnsi="ITC Avant Garde"/>
          <w:color w:val="000000" w:themeColor="text1"/>
          <w:sz w:val="18"/>
          <w:szCs w:val="18"/>
        </w:rPr>
        <w:t xml:space="preserve">) y </w:t>
      </w:r>
      <w:proofErr w:type="spellStart"/>
      <w:r w:rsidRPr="008762D1">
        <w:rPr>
          <w:rFonts w:ascii="ITC Avant Garde" w:hAnsi="ITC Avant Garde"/>
          <w:color w:val="000000" w:themeColor="text1"/>
          <w:sz w:val="18"/>
          <w:szCs w:val="18"/>
        </w:rPr>
        <w:t>Require</w:t>
      </w:r>
      <w:proofErr w:type="spellEnd"/>
      <w:r w:rsidRPr="008762D1">
        <w:rPr>
          <w:rFonts w:ascii="ITC Avant Garde" w:hAnsi="ITC Avant Garde"/>
          <w:color w:val="000000" w:themeColor="text1"/>
          <w:sz w:val="18"/>
          <w:szCs w:val="18"/>
        </w:rPr>
        <w:t xml:space="preserve">: 100 </w:t>
      </w:r>
      <w:proofErr w:type="spellStart"/>
      <w:r w:rsidRPr="008762D1">
        <w:rPr>
          <w:rFonts w:ascii="ITC Avant Garde" w:hAnsi="ITC Avant Garde"/>
          <w:color w:val="000000" w:themeColor="text1"/>
          <w:sz w:val="18"/>
          <w:szCs w:val="18"/>
        </w:rPr>
        <w:t>rel</w:t>
      </w:r>
      <w:proofErr w:type="spellEnd"/>
      <w:r w:rsidRPr="008762D1">
        <w:rPr>
          <w:rFonts w:ascii="ITC Avant Garde" w:hAnsi="ITC Avant Garde"/>
          <w:color w:val="000000" w:themeColor="text1"/>
          <w:sz w:val="18"/>
          <w:szCs w:val="18"/>
        </w:rPr>
        <w:t xml:space="preserve"> en una respuesta 18x hacia la red </w:t>
      </w:r>
      <w:proofErr w:type="spellStart"/>
      <w:r w:rsidRPr="008762D1">
        <w:rPr>
          <w:rFonts w:ascii="ITC Avant Garde" w:hAnsi="ITC Avant Garde"/>
          <w:color w:val="000000" w:themeColor="text1"/>
          <w:sz w:val="18"/>
          <w:szCs w:val="18"/>
        </w:rPr>
        <w:t>originante</w:t>
      </w:r>
      <w:proofErr w:type="spellEnd"/>
      <w:r w:rsidRPr="008762D1">
        <w:rPr>
          <w:rFonts w:ascii="ITC Avant Garde" w:hAnsi="ITC Avant Garde"/>
          <w:color w:val="000000" w:themeColor="text1"/>
          <w:sz w:val="18"/>
          <w:szCs w:val="18"/>
        </w:rPr>
        <w:t>.</w:t>
      </w:r>
    </w:p>
    <w:p w14:paraId="1DA30708" w14:textId="77777777" w:rsidR="000F0B9F"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5C09D0A8" w14:textId="77777777" w:rsidR="000F0B9F" w:rsidRPr="008762D1" w:rsidRDefault="00D23ED1" w:rsidP="000F0B9F">
      <w:pPr>
        <w:spacing w:before="240" w:after="0" w:line="276" w:lineRule="auto"/>
        <w:ind w:left="567" w:right="567"/>
        <w:jc w:val="both"/>
        <w:rPr>
          <w:rFonts w:ascii="ITC Avant Garde" w:hAnsi="ITC Avant Garde"/>
          <w:b/>
          <w:strik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strike/>
          <w:color w:val="000000" w:themeColor="text1"/>
          <w:sz w:val="18"/>
          <w:szCs w:val="18"/>
        </w:rPr>
        <w:t xml:space="preserve">El método inseguro para el envío de medio temprano </w:t>
      </w:r>
    </w:p>
    <w:p w14:paraId="459B4E5A" w14:textId="1251828B" w:rsidR="00D23ED1" w:rsidRPr="008762D1" w:rsidRDefault="00D23ED1"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rPr>
        <w:t xml:space="preserve">Se podrá utilizar </w:t>
      </w:r>
      <w:r w:rsidRPr="008762D1">
        <w:rPr>
          <w:rFonts w:ascii="ITC Avant Garde" w:hAnsi="ITC Avant Garde"/>
          <w:strike/>
          <w:color w:val="000000" w:themeColor="text1"/>
          <w:sz w:val="18"/>
          <w:szCs w:val="18"/>
        </w:rPr>
        <w:t xml:space="preserve">Utiliza </w:t>
      </w:r>
      <w:proofErr w:type="spellStart"/>
      <w:r w:rsidRPr="008762D1">
        <w:rPr>
          <w:rFonts w:ascii="ITC Avant Garde" w:hAnsi="ITC Avant Garde"/>
          <w:strike/>
          <w:color w:val="000000" w:themeColor="text1"/>
          <w:sz w:val="18"/>
          <w:szCs w:val="18"/>
        </w:rPr>
        <w:t>L</w:t>
      </w:r>
      <w:r w:rsidRPr="008762D1">
        <w:rPr>
          <w:rFonts w:ascii="ITC Avant Garde" w:hAnsi="ITC Avant Garde"/>
          <w:color w:val="000000" w:themeColor="text1"/>
          <w:sz w:val="18"/>
          <w:szCs w:val="18"/>
        </w:rPr>
        <w:t>la</w:t>
      </w:r>
      <w:proofErr w:type="spellEnd"/>
      <w:r w:rsidRPr="008762D1">
        <w:rPr>
          <w:rFonts w:ascii="ITC Avant Garde" w:hAnsi="ITC Avant Garde"/>
          <w:color w:val="000000" w:themeColor="text1"/>
          <w:sz w:val="18"/>
          <w:szCs w:val="18"/>
        </w:rPr>
        <w:t xml:space="preserve"> Respuesta SIP 183 (</w:t>
      </w:r>
      <w:proofErr w:type="spellStart"/>
      <w:r w:rsidRPr="008762D1">
        <w:rPr>
          <w:rFonts w:ascii="ITC Avant Garde" w:hAnsi="ITC Avant Garde"/>
          <w:color w:val="000000" w:themeColor="text1"/>
          <w:sz w:val="18"/>
          <w:szCs w:val="18"/>
        </w:rPr>
        <w:t>Progress</w:t>
      </w:r>
      <w:proofErr w:type="spellEnd"/>
      <w:r w:rsidRPr="008762D1">
        <w:rPr>
          <w:rFonts w:ascii="ITC Avant Garde" w:hAnsi="ITC Avant Garde"/>
          <w:color w:val="000000" w:themeColor="text1"/>
          <w:sz w:val="18"/>
          <w:szCs w:val="18"/>
        </w:rPr>
        <w:t>), incluyendo “</w:t>
      </w:r>
      <w:proofErr w:type="spellStart"/>
      <w:r w:rsidRPr="008762D1">
        <w:rPr>
          <w:rFonts w:ascii="ITC Avant Garde" w:hAnsi="ITC Avant Garde"/>
          <w:color w:val="000000" w:themeColor="text1"/>
          <w:sz w:val="18"/>
          <w:szCs w:val="18"/>
        </w:rPr>
        <w:t>SDP”</w:t>
      </w:r>
      <w:proofErr w:type="gramStart"/>
      <w:r w:rsidRPr="008762D1">
        <w:rPr>
          <w:rFonts w:ascii="ITC Avant Garde" w:hAnsi="ITC Avant Garde"/>
          <w:color w:val="000000" w:themeColor="text1"/>
          <w:sz w:val="18"/>
          <w:szCs w:val="18"/>
        </w:rPr>
        <w:t>,de</w:t>
      </w:r>
      <w:proofErr w:type="spellEnd"/>
      <w:proofErr w:type="gramEnd"/>
      <w:r w:rsidRPr="008762D1">
        <w:rPr>
          <w:rFonts w:ascii="ITC Avant Garde" w:hAnsi="ITC Avant Garde"/>
          <w:color w:val="000000" w:themeColor="text1"/>
          <w:sz w:val="18"/>
          <w:szCs w:val="18"/>
        </w:rPr>
        <w:t xml:space="preserve"> tal manera que la Red </w:t>
      </w:r>
      <w:proofErr w:type="spellStart"/>
      <w:r w:rsidRPr="008762D1">
        <w:rPr>
          <w:rFonts w:ascii="ITC Avant Garde" w:hAnsi="ITC Avant Garde"/>
          <w:color w:val="000000" w:themeColor="text1"/>
          <w:sz w:val="18"/>
          <w:szCs w:val="18"/>
        </w:rPr>
        <w:t>originante</w:t>
      </w:r>
      <w:proofErr w:type="spellEnd"/>
      <w:r w:rsidRPr="008762D1">
        <w:rPr>
          <w:rFonts w:ascii="ITC Avant Garde" w:hAnsi="ITC Avant Garde"/>
          <w:color w:val="000000" w:themeColor="text1"/>
          <w:sz w:val="18"/>
          <w:szCs w:val="18"/>
        </w:rPr>
        <w:t xml:space="preserve"> que reciba este mensaje abrirá el canal de audio, </w:t>
      </w:r>
      <w:r w:rsidRPr="008762D1">
        <w:rPr>
          <w:rFonts w:ascii="ITC Avant Garde" w:hAnsi="ITC Avant Garde"/>
          <w:color w:val="000000" w:themeColor="text1"/>
          <w:sz w:val="18"/>
          <w:szCs w:val="18"/>
          <w:u w:val="single"/>
        </w:rPr>
        <w:t>para la reproducción del medio temprano.</w:t>
      </w:r>
    </w:p>
    <w:p w14:paraId="7219A437" w14:textId="77777777" w:rsidR="00D23ED1" w:rsidRPr="008762D1" w:rsidRDefault="00D23ED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Cuando no exista para la reproducción del medio temprano la recepción de la respuesta 180 permitirá a la red </w:t>
      </w:r>
      <w:proofErr w:type="spellStart"/>
      <w:r w:rsidRPr="008762D1">
        <w:rPr>
          <w:rFonts w:ascii="ITC Avant Garde" w:hAnsi="ITC Avant Garde"/>
          <w:color w:val="000000" w:themeColor="text1"/>
          <w:sz w:val="18"/>
          <w:szCs w:val="18"/>
        </w:rPr>
        <w:t>Originante</w:t>
      </w:r>
      <w:proofErr w:type="spellEnd"/>
      <w:r w:rsidRPr="008762D1">
        <w:rPr>
          <w:rFonts w:ascii="ITC Avant Garde" w:hAnsi="ITC Avant Garde"/>
          <w:color w:val="000000" w:themeColor="text1"/>
          <w:sz w:val="18"/>
          <w:szCs w:val="18"/>
        </w:rPr>
        <w:t xml:space="preserve"> la reproducción de tono de llamada normal localmente conforme a la RFC 3960.</w:t>
      </w:r>
    </w:p>
    <w:p w14:paraId="5162C0F2" w14:textId="77777777" w:rsidR="000F0B9F" w:rsidRPr="008762D1" w:rsidRDefault="00D23ED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581E9E2D" w14:textId="77777777" w:rsidR="000F0B9F" w:rsidRPr="008762D1" w:rsidRDefault="00CC41FC"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06EE592B" w14:textId="5490F548" w:rsidR="00847D1A" w:rsidRPr="008762D1" w:rsidRDefault="00847D1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07EDB80B" w14:textId="77777777" w:rsidR="000F0B9F" w:rsidRPr="008762D1" w:rsidRDefault="009F6275"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lastRenderedPageBreak/>
        <w:t xml:space="preserve">Telmex propone en el Escrito de Respuesta </w:t>
      </w:r>
      <w:r w:rsidR="009C2059" w:rsidRPr="008762D1">
        <w:rPr>
          <w:rFonts w:ascii="ITC Avant Garde" w:hAnsi="ITC Avant Garde"/>
          <w:color w:val="000000" w:themeColor="text1"/>
        </w:rPr>
        <w:t>el uso del parámetro P-</w:t>
      </w:r>
      <w:proofErr w:type="spellStart"/>
      <w:r w:rsidR="002C211B" w:rsidRPr="008762D1">
        <w:rPr>
          <w:rFonts w:ascii="ITC Avant Garde" w:hAnsi="ITC Avant Garde"/>
          <w:color w:val="000000" w:themeColor="text1"/>
        </w:rPr>
        <w:t>A</w:t>
      </w:r>
      <w:r w:rsidR="009C2059" w:rsidRPr="008762D1">
        <w:rPr>
          <w:rFonts w:ascii="ITC Avant Garde" w:hAnsi="ITC Avant Garde"/>
          <w:color w:val="000000" w:themeColor="text1"/>
        </w:rPr>
        <w:t>sserted</w:t>
      </w:r>
      <w:proofErr w:type="spellEnd"/>
      <w:r w:rsidR="009C2059" w:rsidRPr="008762D1">
        <w:rPr>
          <w:rFonts w:ascii="ITC Avant Garde" w:hAnsi="ITC Avant Garde"/>
          <w:color w:val="000000" w:themeColor="text1"/>
        </w:rPr>
        <w:t xml:space="preserve">-Id para la facturación, debido a que es un parámetro que permite asegurar la identidad real del usuario que origina la llamada. </w:t>
      </w:r>
      <w:r w:rsidR="004C0108" w:rsidRPr="008762D1">
        <w:rPr>
          <w:rFonts w:ascii="ITC Avant Garde" w:hAnsi="ITC Avant Garde"/>
          <w:color w:val="000000" w:themeColor="text1"/>
        </w:rPr>
        <w:t>Señala que a</w:t>
      </w:r>
      <w:r w:rsidR="009C2059" w:rsidRPr="008762D1">
        <w:rPr>
          <w:rFonts w:ascii="ITC Avant Garde" w:hAnsi="ITC Avant Garde"/>
          <w:color w:val="000000" w:themeColor="text1"/>
        </w:rPr>
        <w:t>l no implementarse</w:t>
      </w:r>
      <w:r w:rsidR="004C0108" w:rsidRPr="008762D1">
        <w:rPr>
          <w:rFonts w:ascii="ITC Avant Garde" w:hAnsi="ITC Avant Garde"/>
          <w:color w:val="000000" w:themeColor="text1"/>
        </w:rPr>
        <w:t xml:space="preserve"> el uso de P-</w:t>
      </w:r>
      <w:proofErr w:type="spellStart"/>
      <w:r w:rsidR="002C211B" w:rsidRPr="008762D1">
        <w:rPr>
          <w:rFonts w:ascii="ITC Avant Garde" w:hAnsi="ITC Avant Garde"/>
          <w:color w:val="000000" w:themeColor="text1"/>
        </w:rPr>
        <w:t>A</w:t>
      </w:r>
      <w:r w:rsidR="004C0108" w:rsidRPr="008762D1">
        <w:rPr>
          <w:rFonts w:ascii="ITC Avant Garde" w:hAnsi="ITC Avant Garde"/>
          <w:color w:val="000000" w:themeColor="text1"/>
        </w:rPr>
        <w:t>sserted</w:t>
      </w:r>
      <w:proofErr w:type="spellEnd"/>
      <w:r w:rsidR="004C0108" w:rsidRPr="008762D1">
        <w:rPr>
          <w:rFonts w:ascii="ITC Avant Garde" w:hAnsi="ITC Avant Garde"/>
          <w:color w:val="000000" w:themeColor="text1"/>
        </w:rPr>
        <w:t>-ID en la interfaz de i</w:t>
      </w:r>
      <w:r w:rsidR="009C2059" w:rsidRPr="008762D1">
        <w:rPr>
          <w:rFonts w:ascii="ITC Avant Garde" w:hAnsi="ITC Avant Garde"/>
          <w:color w:val="000000" w:themeColor="text1"/>
        </w:rPr>
        <w:t xml:space="preserve">nterconexión SIP entre concesionarios, se corre el riesgo de no poder rastrear el origen real de la llamada en el caso de llamadas maliciosas, por lo que se requiere que la redacción se establezca de la siguiente manera: </w:t>
      </w:r>
    </w:p>
    <w:p w14:paraId="11EF0D4E" w14:textId="77777777" w:rsidR="000F0B9F"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“TEMA 2. Señalización</w:t>
      </w:r>
    </w:p>
    <w:p w14:paraId="79452490" w14:textId="45BA2A21" w:rsidR="00CC41FC"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INCISO 2.1 Protocolo de señalización</w:t>
      </w:r>
    </w:p>
    <w:p w14:paraId="6C989089" w14:textId="77777777" w:rsidR="00CC41FC"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58FB0717" w14:textId="77777777" w:rsidR="000F0B9F"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Los valores de los números Origen (A) y destino (B), se enviarán en método SIP  INVITE como sigue:</w:t>
      </w:r>
    </w:p>
    <w:p w14:paraId="49290131" w14:textId="602470B1" w:rsidR="000F0B9F" w:rsidRPr="008762D1" w:rsidRDefault="00CC41F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Origen: Parámetro “</w:t>
      </w:r>
      <w:proofErr w:type="spellStart"/>
      <w:r w:rsidRPr="008762D1">
        <w:rPr>
          <w:rFonts w:ascii="ITC Avant Garde" w:hAnsi="ITC Avant Garde"/>
          <w:color w:val="000000" w:themeColor="text1"/>
          <w:sz w:val="18"/>
          <w:szCs w:val="18"/>
        </w:rPr>
        <w:t>user</w:t>
      </w:r>
      <w:proofErr w:type="spellEnd"/>
      <w:r w:rsidRPr="008762D1">
        <w:rPr>
          <w:rFonts w:ascii="ITC Avant Garde" w:hAnsi="ITC Avant Garde"/>
          <w:color w:val="000000" w:themeColor="text1"/>
          <w:sz w:val="18"/>
          <w:szCs w:val="18"/>
        </w:rPr>
        <w:t xml:space="preserve">” contenido en el </w:t>
      </w:r>
      <w:proofErr w:type="spellStart"/>
      <w:r w:rsidRPr="008762D1">
        <w:rPr>
          <w:rFonts w:ascii="ITC Avant Garde" w:hAnsi="ITC Avant Garde"/>
          <w:color w:val="000000" w:themeColor="text1"/>
          <w:sz w:val="18"/>
          <w:szCs w:val="18"/>
        </w:rPr>
        <w:t>header</w:t>
      </w:r>
      <w:proofErr w:type="spellEnd"/>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From</w:t>
      </w:r>
      <w:proofErr w:type="spellEnd"/>
      <w:r w:rsidRPr="008762D1">
        <w:rPr>
          <w:rFonts w:ascii="ITC Avant Garde" w:hAnsi="ITC Avant Garde"/>
          <w:color w:val="000000" w:themeColor="text1"/>
          <w:sz w:val="18"/>
          <w:szCs w:val="18"/>
        </w:rPr>
        <w:t xml:space="preserve"> y </w:t>
      </w:r>
      <w:proofErr w:type="spellStart"/>
      <w:r w:rsidRPr="008762D1">
        <w:rPr>
          <w:rFonts w:ascii="ITC Avant Garde" w:hAnsi="ITC Avant Garde"/>
          <w:color w:val="000000" w:themeColor="text1"/>
          <w:sz w:val="18"/>
          <w:szCs w:val="18"/>
          <w:u w:val="single"/>
        </w:rPr>
        <w:t>header</w:t>
      </w:r>
      <w:proofErr w:type="spellEnd"/>
      <w:r w:rsidRPr="008762D1">
        <w:rPr>
          <w:rFonts w:ascii="ITC Avant Garde" w:hAnsi="ITC Avant Garde"/>
          <w:color w:val="000000" w:themeColor="text1"/>
          <w:sz w:val="18"/>
          <w:szCs w:val="18"/>
          <w:u w:val="single"/>
        </w:rPr>
        <w:t xml:space="preserve"> P-</w:t>
      </w:r>
      <w:proofErr w:type="spellStart"/>
      <w:r w:rsidRPr="008762D1">
        <w:rPr>
          <w:rFonts w:ascii="ITC Avant Garde" w:hAnsi="ITC Avant Garde"/>
          <w:color w:val="000000" w:themeColor="text1"/>
          <w:sz w:val="18"/>
          <w:szCs w:val="18"/>
          <w:u w:val="single"/>
        </w:rPr>
        <w:t>Aserted</w:t>
      </w:r>
      <w:proofErr w:type="spellEnd"/>
      <w:r w:rsidRPr="008762D1">
        <w:rPr>
          <w:rFonts w:ascii="ITC Avant Garde" w:hAnsi="ITC Avant Garde"/>
          <w:color w:val="000000" w:themeColor="text1"/>
          <w:sz w:val="18"/>
          <w:szCs w:val="18"/>
          <w:u w:val="single"/>
        </w:rPr>
        <w:t>-Id</w:t>
      </w:r>
      <w:r w:rsidR="00FA687D" w:rsidRPr="008762D1">
        <w:rPr>
          <w:rFonts w:ascii="ITC Avant Garde" w:hAnsi="ITC Avant Garde"/>
          <w:color w:val="000000" w:themeColor="text1"/>
          <w:sz w:val="18"/>
          <w:szCs w:val="18"/>
        </w:rPr>
        <w:t xml:space="preserve"> </w:t>
      </w:r>
      <w:r w:rsidRPr="008762D1">
        <w:rPr>
          <w:rFonts w:ascii="ITC Avant Garde" w:hAnsi="ITC Avant Garde"/>
          <w:color w:val="000000" w:themeColor="text1"/>
          <w:sz w:val="18"/>
          <w:szCs w:val="18"/>
        </w:rPr>
        <w:t xml:space="preserve">para los casos de uso del encabezado </w:t>
      </w:r>
      <w:proofErr w:type="spellStart"/>
      <w:r w:rsidRPr="008762D1">
        <w:rPr>
          <w:rFonts w:ascii="ITC Avant Garde" w:hAnsi="ITC Avant Garde"/>
          <w:color w:val="000000" w:themeColor="text1"/>
          <w:sz w:val="18"/>
          <w:szCs w:val="18"/>
        </w:rPr>
        <w:t>Privacy</w:t>
      </w:r>
      <w:proofErr w:type="spellEnd"/>
      <w:r w:rsidRPr="008762D1">
        <w:rPr>
          <w:rFonts w:ascii="ITC Avant Garde" w:hAnsi="ITC Avant Garde"/>
          <w:color w:val="000000" w:themeColor="text1"/>
          <w:sz w:val="18"/>
          <w:szCs w:val="18"/>
        </w:rPr>
        <w:t xml:space="preserve"> se utilizará el </w:t>
      </w:r>
      <w:proofErr w:type="spellStart"/>
      <w:r w:rsidRPr="008762D1">
        <w:rPr>
          <w:rFonts w:ascii="ITC Avant Garde" w:hAnsi="ITC Avant Garde"/>
          <w:color w:val="000000" w:themeColor="text1"/>
          <w:sz w:val="18"/>
          <w:szCs w:val="18"/>
        </w:rPr>
        <w:t>header</w:t>
      </w:r>
      <w:proofErr w:type="spellEnd"/>
      <w:r w:rsidRPr="008762D1">
        <w:rPr>
          <w:rFonts w:ascii="ITC Avant Garde" w:hAnsi="ITC Avant Garde"/>
          <w:color w:val="000000" w:themeColor="text1"/>
          <w:sz w:val="18"/>
          <w:szCs w:val="18"/>
        </w:rPr>
        <w:t xml:space="preserve"> P-</w:t>
      </w:r>
      <w:proofErr w:type="spellStart"/>
      <w:r w:rsidRPr="008762D1">
        <w:rPr>
          <w:rFonts w:ascii="ITC Avant Garde" w:hAnsi="ITC Avant Garde"/>
          <w:color w:val="000000" w:themeColor="text1"/>
          <w:sz w:val="18"/>
          <w:szCs w:val="18"/>
        </w:rPr>
        <w:t>Asserted</w:t>
      </w:r>
      <w:proofErr w:type="spellEnd"/>
      <w:r w:rsidRPr="008762D1">
        <w:rPr>
          <w:rFonts w:ascii="ITC Avant Garde" w:hAnsi="ITC Avant Garde"/>
          <w:color w:val="000000" w:themeColor="text1"/>
          <w:sz w:val="18"/>
          <w:szCs w:val="18"/>
        </w:rPr>
        <w:t>-</w:t>
      </w:r>
      <w:proofErr w:type="spellStart"/>
      <w:r w:rsidRPr="008762D1">
        <w:rPr>
          <w:rFonts w:ascii="ITC Avant Garde" w:hAnsi="ITC Avant Garde"/>
          <w:color w:val="000000" w:themeColor="text1"/>
          <w:sz w:val="18"/>
          <w:szCs w:val="18"/>
        </w:rPr>
        <w:t>ld</w:t>
      </w:r>
      <w:proofErr w:type="spellEnd"/>
      <w:r w:rsidRPr="008762D1">
        <w:rPr>
          <w:rFonts w:ascii="ITC Avant Garde" w:hAnsi="ITC Avant Garde"/>
          <w:color w:val="000000" w:themeColor="text1"/>
          <w:sz w:val="18"/>
          <w:szCs w:val="18"/>
        </w:rPr>
        <w:t xml:space="preserve">. En caso de discrepancia entre ellos, se utilizará el </w:t>
      </w:r>
      <w:r w:rsidR="006E00F2" w:rsidRPr="008762D1">
        <w:rPr>
          <w:rFonts w:ascii="ITC Avant Garde" w:hAnsi="ITC Avant Garde"/>
          <w:color w:val="000000" w:themeColor="text1"/>
          <w:sz w:val="18"/>
          <w:szCs w:val="18"/>
          <w:u w:val="single"/>
        </w:rPr>
        <w:t>P-</w:t>
      </w:r>
      <w:proofErr w:type="spellStart"/>
      <w:r w:rsidR="006E00F2" w:rsidRPr="008762D1">
        <w:rPr>
          <w:rFonts w:ascii="ITC Avant Garde" w:hAnsi="ITC Avant Garde"/>
          <w:color w:val="000000" w:themeColor="text1"/>
          <w:sz w:val="18"/>
          <w:szCs w:val="18"/>
          <w:u w:val="single"/>
        </w:rPr>
        <w:t>Asserted</w:t>
      </w:r>
      <w:proofErr w:type="spellEnd"/>
      <w:r w:rsidR="006E00F2" w:rsidRPr="008762D1">
        <w:rPr>
          <w:rFonts w:ascii="ITC Avant Garde" w:hAnsi="ITC Avant Garde"/>
          <w:color w:val="000000" w:themeColor="text1"/>
          <w:sz w:val="18"/>
          <w:szCs w:val="18"/>
          <w:u w:val="single"/>
        </w:rPr>
        <w:t>-Id</w:t>
      </w:r>
      <w:r w:rsidR="006E00F2" w:rsidRPr="008762D1">
        <w:rPr>
          <w:rFonts w:ascii="ITC Avant Garde" w:hAnsi="ITC Avant Garde"/>
          <w:color w:val="000000" w:themeColor="text1"/>
          <w:sz w:val="18"/>
          <w:szCs w:val="18"/>
        </w:rPr>
        <w:t xml:space="preserve"> </w:t>
      </w:r>
      <w:r w:rsidRPr="008762D1">
        <w:rPr>
          <w:rFonts w:ascii="ITC Avant Garde" w:hAnsi="ITC Avant Garde"/>
          <w:color w:val="000000" w:themeColor="text1"/>
          <w:sz w:val="18"/>
          <w:szCs w:val="18"/>
        </w:rPr>
        <w:t xml:space="preserve">para facturación. Solo para el intercambio de tráfico entre Telmex y </w:t>
      </w:r>
      <w:r w:rsidR="00A04FEF" w:rsidRPr="008762D1">
        <w:rPr>
          <w:rFonts w:cs="Arial"/>
          <w:b/>
          <w:color w:val="0000FF"/>
        </w:rPr>
        <w:t>(…)</w:t>
      </w:r>
      <w:r w:rsidRPr="008762D1">
        <w:rPr>
          <w:rFonts w:ascii="ITC Avant Garde" w:hAnsi="ITC Avant Garde"/>
          <w:color w:val="000000" w:themeColor="text1"/>
          <w:sz w:val="18"/>
          <w:szCs w:val="18"/>
        </w:rPr>
        <w:t xml:space="preserve">, Telmex no es responsable del formato que utilicen otras redes que hagan tránsito hacia </w:t>
      </w:r>
      <w:r w:rsidR="00A04FEF" w:rsidRPr="008762D1">
        <w:rPr>
          <w:rFonts w:cs="Arial"/>
          <w:b/>
          <w:color w:val="0000FF"/>
        </w:rPr>
        <w:t>(…)</w:t>
      </w:r>
      <w:r w:rsidRPr="008762D1">
        <w:rPr>
          <w:rFonts w:ascii="ITC Avant Garde" w:hAnsi="ITC Avant Garde"/>
          <w:color w:val="000000" w:themeColor="text1"/>
          <w:sz w:val="18"/>
          <w:szCs w:val="18"/>
        </w:rPr>
        <w:t>.”</w:t>
      </w:r>
    </w:p>
    <w:p w14:paraId="68FA60DE" w14:textId="77777777" w:rsidR="000F0B9F" w:rsidRPr="008762D1" w:rsidRDefault="005260F8"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Respecto a la utilización del encabezado P-</w:t>
      </w:r>
      <w:proofErr w:type="spellStart"/>
      <w:r w:rsidRPr="008762D1">
        <w:rPr>
          <w:rFonts w:ascii="ITC Avant Garde" w:hAnsi="ITC Avant Garde"/>
          <w:color w:val="000000" w:themeColor="text1"/>
        </w:rPr>
        <w:t>Early</w:t>
      </w:r>
      <w:proofErr w:type="spellEnd"/>
      <w:r w:rsidRPr="008762D1">
        <w:rPr>
          <w:rFonts w:ascii="ITC Avant Garde" w:hAnsi="ITC Avant Garde"/>
          <w:color w:val="000000" w:themeColor="text1"/>
        </w:rPr>
        <w:t>-Media</w:t>
      </w:r>
      <w:r w:rsidR="009868FD" w:rsidRPr="008762D1">
        <w:rPr>
          <w:rFonts w:ascii="ITC Avant Garde" w:hAnsi="ITC Avant Garde"/>
          <w:color w:val="000000" w:themeColor="text1"/>
        </w:rPr>
        <w:t xml:space="preserve"> y el códec AMR-WB, </w:t>
      </w:r>
      <w:r w:rsidRPr="008762D1">
        <w:rPr>
          <w:rFonts w:ascii="ITC Avant Garde" w:hAnsi="ITC Avant Garde"/>
          <w:color w:val="000000" w:themeColor="text1"/>
        </w:rPr>
        <w:t>Telmex presentó la utilización de dicho encabezado en los términos señalados en el Acuerdo.</w:t>
      </w:r>
    </w:p>
    <w:p w14:paraId="345997E7" w14:textId="451F9DED" w:rsidR="00847D1A" w:rsidRPr="008762D1" w:rsidRDefault="00847D1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9370E2B" w14:textId="77777777" w:rsidR="000F0B9F" w:rsidRPr="008762D1" w:rsidRDefault="009A5728" w:rsidP="000F0B9F">
      <w:pPr>
        <w:spacing w:before="240" w:after="0" w:line="276" w:lineRule="auto"/>
        <w:jc w:val="both"/>
        <w:rPr>
          <w:rFonts w:ascii="ITC Avant Garde" w:hAnsi="ITC Avant Garde"/>
          <w:color w:val="000000" w:themeColor="text1"/>
        </w:rPr>
      </w:pPr>
      <w:r w:rsidRPr="008762D1">
        <w:rPr>
          <w:rFonts w:ascii="ITC Avant Garde" w:hAnsi="ITC Avant Garde" w:cs="Arial"/>
          <w:bCs/>
          <w:color w:val="000000" w:themeColor="text1"/>
          <w:lang w:val="es-ES"/>
        </w:rPr>
        <w:t xml:space="preserve">Sobre </w:t>
      </w:r>
      <w:r w:rsidR="004C0108" w:rsidRPr="008762D1">
        <w:rPr>
          <w:rFonts w:ascii="ITC Avant Garde" w:hAnsi="ITC Avant Garde" w:cs="Arial"/>
          <w:bCs/>
          <w:color w:val="000000" w:themeColor="text1"/>
          <w:lang w:val="es-ES"/>
        </w:rPr>
        <w:t xml:space="preserve">la utilización del encabezado </w:t>
      </w:r>
      <w:r w:rsidR="008A3445" w:rsidRPr="008762D1">
        <w:rPr>
          <w:rFonts w:ascii="ITC Avant Garde" w:hAnsi="ITC Avant Garde" w:cs="Arial"/>
          <w:bCs/>
          <w:color w:val="000000" w:themeColor="text1"/>
          <w:lang w:val="es-ES"/>
        </w:rPr>
        <w:t>P-</w:t>
      </w:r>
      <w:proofErr w:type="spellStart"/>
      <w:r w:rsidR="008A3445" w:rsidRPr="008762D1">
        <w:rPr>
          <w:rFonts w:ascii="ITC Avant Garde" w:hAnsi="ITC Avant Garde" w:cs="Arial"/>
          <w:bCs/>
          <w:color w:val="000000" w:themeColor="text1"/>
          <w:lang w:val="es-ES"/>
        </w:rPr>
        <w:t>Early</w:t>
      </w:r>
      <w:proofErr w:type="spellEnd"/>
      <w:r w:rsidR="008A3445" w:rsidRPr="008762D1">
        <w:rPr>
          <w:rFonts w:ascii="ITC Avant Garde" w:hAnsi="ITC Avant Garde" w:cs="Arial"/>
          <w:bCs/>
          <w:color w:val="000000" w:themeColor="text1"/>
          <w:lang w:val="es-ES"/>
        </w:rPr>
        <w:t>-Media para el envío de medio prematuro para el tono de llamada normal y la reproducción de anuncios</w:t>
      </w:r>
      <w:r w:rsidR="004C0108" w:rsidRPr="008762D1">
        <w:rPr>
          <w:rFonts w:ascii="ITC Avant Garde" w:hAnsi="ITC Avant Garde" w:cs="Arial"/>
          <w:bCs/>
          <w:color w:val="000000" w:themeColor="text1"/>
          <w:lang w:val="es-ES"/>
        </w:rPr>
        <w:t xml:space="preserve">, se señala que </w:t>
      </w:r>
      <w:r w:rsidRPr="008762D1">
        <w:rPr>
          <w:rFonts w:ascii="ITC Avant Garde" w:hAnsi="ITC Avant Garde" w:cs="Arial"/>
          <w:bCs/>
          <w:color w:val="000000" w:themeColor="text1"/>
          <w:lang w:val="es-ES"/>
        </w:rPr>
        <w:t>la</w:t>
      </w:r>
      <w:r w:rsidR="004C0108" w:rsidRPr="008762D1">
        <w:rPr>
          <w:rFonts w:ascii="ITC Avant Garde" w:hAnsi="ITC Avant Garde" w:cs="Arial"/>
          <w:bCs/>
          <w:color w:val="000000" w:themeColor="text1"/>
          <w:lang w:val="es-ES"/>
        </w:rPr>
        <w:t xml:space="preserve"> mism</w:t>
      </w:r>
      <w:r w:rsidRPr="008762D1">
        <w:rPr>
          <w:rFonts w:ascii="ITC Avant Garde" w:hAnsi="ITC Avant Garde" w:cs="Arial"/>
          <w:bCs/>
          <w:color w:val="000000" w:themeColor="text1"/>
          <w:lang w:val="es-ES"/>
        </w:rPr>
        <w:t>a</w:t>
      </w:r>
      <w:r w:rsidR="004C0108" w:rsidRPr="008762D1">
        <w:rPr>
          <w:rFonts w:ascii="ITC Avant Garde" w:hAnsi="ITC Avant Garde" w:cs="Arial"/>
          <w:bCs/>
          <w:color w:val="000000" w:themeColor="text1"/>
          <w:lang w:val="es-ES"/>
        </w:rPr>
        <w:t xml:space="preserve"> es acorde a </w:t>
      </w:r>
      <w:r w:rsidR="008A3445" w:rsidRPr="008762D1">
        <w:rPr>
          <w:rFonts w:ascii="ITC Avant Garde" w:hAnsi="ITC Avant Garde" w:cs="Arial"/>
          <w:bCs/>
          <w:color w:val="000000" w:themeColor="text1"/>
          <w:lang w:val="es-ES"/>
        </w:rPr>
        <w:t>lo establecido en el Acuerdo de Condiciones Técnicas Mínimas</w:t>
      </w:r>
      <w:r w:rsidR="008A3445" w:rsidRPr="008762D1">
        <w:rPr>
          <w:rFonts w:ascii="ITC Avant Garde" w:hAnsi="ITC Avant Garde"/>
          <w:color w:val="000000" w:themeColor="text1"/>
        </w:rPr>
        <w:t>,</w:t>
      </w:r>
      <w:r w:rsidR="004C0108" w:rsidRPr="008762D1">
        <w:rPr>
          <w:rFonts w:ascii="ITC Avant Garde" w:hAnsi="ITC Avant Garde"/>
          <w:color w:val="000000" w:themeColor="text1"/>
        </w:rPr>
        <w:t xml:space="preserve"> al señalarse que la utilización de</w:t>
      </w:r>
      <w:r w:rsidRPr="008762D1">
        <w:rPr>
          <w:rFonts w:ascii="ITC Avant Garde" w:hAnsi="ITC Avant Garde"/>
          <w:color w:val="000000" w:themeColor="text1"/>
        </w:rPr>
        <w:t xml:space="preserve"> dicho encabezado</w:t>
      </w:r>
      <w:r w:rsidR="004C0108" w:rsidRPr="008762D1">
        <w:rPr>
          <w:rFonts w:ascii="ITC Avant Garde" w:hAnsi="ITC Avant Garde"/>
          <w:color w:val="000000" w:themeColor="text1"/>
        </w:rPr>
        <w:t xml:space="preserve"> es opcional.</w:t>
      </w:r>
    </w:p>
    <w:p w14:paraId="5148C3BF" w14:textId="77777777" w:rsidR="000F0B9F" w:rsidRPr="008762D1" w:rsidRDefault="004C0108" w:rsidP="000F0B9F">
      <w:pPr>
        <w:spacing w:before="240" w:after="0" w:line="276" w:lineRule="auto"/>
        <w:jc w:val="both"/>
        <w:rPr>
          <w:rFonts w:cs="Arial"/>
          <w:iCs/>
          <w:color w:val="000000" w:themeColor="text1"/>
          <w:sz w:val="18"/>
          <w:szCs w:val="18"/>
        </w:rPr>
      </w:pPr>
      <w:r w:rsidRPr="008762D1">
        <w:rPr>
          <w:rFonts w:ascii="ITC Avant Garde" w:hAnsi="ITC Avant Garde"/>
          <w:color w:val="000000" w:themeColor="text1"/>
        </w:rPr>
        <w:t xml:space="preserve">Por otra parte, respecto a la modificación propuesta por Telmex en el sentido de que en caso de discrepancia entre los encabezados </w:t>
      </w:r>
      <w:proofErr w:type="spellStart"/>
      <w:r w:rsidRPr="008762D1">
        <w:rPr>
          <w:rFonts w:ascii="ITC Avant Garde" w:hAnsi="ITC Avant Garde"/>
          <w:color w:val="000000" w:themeColor="text1"/>
        </w:rPr>
        <w:t>From</w:t>
      </w:r>
      <w:proofErr w:type="spellEnd"/>
      <w:r w:rsidRPr="008762D1">
        <w:rPr>
          <w:rFonts w:ascii="ITC Avant Garde" w:hAnsi="ITC Avant Garde"/>
          <w:color w:val="000000" w:themeColor="text1"/>
        </w:rPr>
        <w:t xml:space="preserve"> y P-</w:t>
      </w:r>
      <w:proofErr w:type="spellStart"/>
      <w:r w:rsidRPr="008762D1">
        <w:rPr>
          <w:rFonts w:ascii="ITC Avant Garde" w:hAnsi="ITC Avant Garde"/>
          <w:color w:val="000000" w:themeColor="text1"/>
        </w:rPr>
        <w:t>Asserted</w:t>
      </w:r>
      <w:proofErr w:type="spellEnd"/>
      <w:r w:rsidRPr="008762D1">
        <w:rPr>
          <w:rFonts w:ascii="ITC Avant Garde" w:hAnsi="ITC Avant Garde"/>
          <w:color w:val="000000" w:themeColor="text1"/>
        </w:rPr>
        <w:t>-Id se utilizará el segundo para la facturación, se señala que lo anterior</w:t>
      </w:r>
      <w:r w:rsidR="00884AB4" w:rsidRPr="008762D1">
        <w:rPr>
          <w:rFonts w:ascii="ITC Avant Garde" w:hAnsi="ITC Avant Garde"/>
          <w:color w:val="000000" w:themeColor="text1"/>
        </w:rPr>
        <w:t xml:space="preserve"> proporciona certeza sobre la identidad del usuario que origina la llamada, ya que la inserción del número A en el encabezado P-</w:t>
      </w:r>
      <w:proofErr w:type="spellStart"/>
      <w:r w:rsidR="00884AB4" w:rsidRPr="008762D1">
        <w:rPr>
          <w:rFonts w:ascii="ITC Avant Garde" w:hAnsi="ITC Avant Garde"/>
          <w:color w:val="000000" w:themeColor="text1"/>
        </w:rPr>
        <w:t>Asserted</w:t>
      </w:r>
      <w:proofErr w:type="spellEnd"/>
      <w:r w:rsidR="00884AB4" w:rsidRPr="008762D1">
        <w:rPr>
          <w:rFonts w:ascii="ITC Avant Garde" w:hAnsi="ITC Avant Garde"/>
          <w:color w:val="000000" w:themeColor="text1"/>
        </w:rPr>
        <w:t xml:space="preserve">-Id se realiza por parte del concesionario que presta el servicio, mientras que en el caso del encabezado </w:t>
      </w:r>
      <w:proofErr w:type="spellStart"/>
      <w:r w:rsidR="00884AB4" w:rsidRPr="008762D1">
        <w:rPr>
          <w:rFonts w:ascii="ITC Avant Garde" w:hAnsi="ITC Avant Garde"/>
          <w:color w:val="000000" w:themeColor="text1"/>
        </w:rPr>
        <w:t>From</w:t>
      </w:r>
      <w:proofErr w:type="spellEnd"/>
      <w:r w:rsidR="00884AB4" w:rsidRPr="008762D1">
        <w:rPr>
          <w:rFonts w:ascii="ITC Avant Garde" w:hAnsi="ITC Avant Garde"/>
          <w:color w:val="000000" w:themeColor="text1"/>
        </w:rPr>
        <w:t xml:space="preserve"> dicha identidad es enviada por la terminal del usuario.</w:t>
      </w:r>
    </w:p>
    <w:p w14:paraId="2909492C" w14:textId="77777777" w:rsidR="000F0B9F" w:rsidRPr="008762D1" w:rsidRDefault="004C0108"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Por lo anterior, </w:t>
      </w:r>
      <w:r w:rsidR="00884AB4" w:rsidRPr="008762D1">
        <w:rPr>
          <w:rFonts w:ascii="ITC Avant Garde" w:hAnsi="ITC Avant Garde"/>
          <w:color w:val="000000" w:themeColor="text1"/>
        </w:rPr>
        <w:t>se acepta la propuesta realizada por Telmex en el siguiente sentido:</w:t>
      </w:r>
    </w:p>
    <w:p w14:paraId="5E6B4BBC" w14:textId="77777777" w:rsidR="000F0B9F" w:rsidRPr="008762D1" w:rsidRDefault="00884AB4"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“TEMA 2. Señalización</w:t>
      </w:r>
    </w:p>
    <w:p w14:paraId="776012D8" w14:textId="6448F852" w:rsidR="00884AB4" w:rsidRPr="008762D1" w:rsidRDefault="00884AB4"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lastRenderedPageBreak/>
        <w:t>INCISO 2.1 Protocolo de señalización</w:t>
      </w:r>
    </w:p>
    <w:p w14:paraId="3BBFE0F4" w14:textId="77777777" w:rsidR="00884AB4" w:rsidRPr="008762D1" w:rsidRDefault="00884AB4"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624E29C6" w14:textId="77777777" w:rsidR="000F0B9F" w:rsidRPr="008762D1" w:rsidRDefault="00884AB4"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Los valores de los números Origen (A) y destino (B), se enviarán en método SIP  INVITE como sigue:</w:t>
      </w:r>
    </w:p>
    <w:p w14:paraId="4892A479" w14:textId="6E0FFEFE" w:rsidR="000F0B9F" w:rsidRPr="008762D1" w:rsidRDefault="00884AB4"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Origen: Parámetro “</w:t>
      </w:r>
      <w:proofErr w:type="spellStart"/>
      <w:r w:rsidRPr="008762D1">
        <w:rPr>
          <w:rFonts w:ascii="ITC Avant Garde" w:hAnsi="ITC Avant Garde"/>
          <w:color w:val="000000" w:themeColor="text1"/>
          <w:sz w:val="18"/>
          <w:szCs w:val="18"/>
        </w:rPr>
        <w:t>user</w:t>
      </w:r>
      <w:proofErr w:type="spellEnd"/>
      <w:r w:rsidRPr="008762D1">
        <w:rPr>
          <w:rFonts w:ascii="ITC Avant Garde" w:hAnsi="ITC Avant Garde"/>
          <w:color w:val="000000" w:themeColor="text1"/>
          <w:sz w:val="18"/>
          <w:szCs w:val="18"/>
        </w:rPr>
        <w:t xml:space="preserve">” contenido en el </w:t>
      </w:r>
      <w:proofErr w:type="spellStart"/>
      <w:r w:rsidRPr="008762D1">
        <w:rPr>
          <w:rFonts w:ascii="ITC Avant Garde" w:hAnsi="ITC Avant Garde"/>
          <w:color w:val="000000" w:themeColor="text1"/>
          <w:sz w:val="18"/>
          <w:szCs w:val="18"/>
        </w:rPr>
        <w:t>header</w:t>
      </w:r>
      <w:proofErr w:type="spellEnd"/>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From</w:t>
      </w:r>
      <w:proofErr w:type="spellEnd"/>
      <w:r w:rsidRPr="008762D1">
        <w:rPr>
          <w:rFonts w:ascii="ITC Avant Garde" w:hAnsi="ITC Avant Garde"/>
          <w:color w:val="000000" w:themeColor="text1"/>
          <w:sz w:val="18"/>
          <w:szCs w:val="18"/>
        </w:rPr>
        <w:t xml:space="preserve"> y </w:t>
      </w:r>
      <w:proofErr w:type="spellStart"/>
      <w:r w:rsidRPr="008762D1">
        <w:rPr>
          <w:rFonts w:ascii="ITC Avant Garde" w:hAnsi="ITC Avant Garde"/>
          <w:color w:val="000000" w:themeColor="text1"/>
          <w:sz w:val="18"/>
          <w:szCs w:val="18"/>
          <w:u w:val="single"/>
        </w:rPr>
        <w:t>header</w:t>
      </w:r>
      <w:proofErr w:type="spellEnd"/>
      <w:r w:rsidRPr="008762D1">
        <w:rPr>
          <w:rFonts w:ascii="ITC Avant Garde" w:hAnsi="ITC Avant Garde"/>
          <w:color w:val="000000" w:themeColor="text1"/>
          <w:sz w:val="18"/>
          <w:szCs w:val="18"/>
          <w:u w:val="single"/>
        </w:rPr>
        <w:t xml:space="preserve"> P-</w:t>
      </w:r>
      <w:proofErr w:type="spellStart"/>
      <w:r w:rsidRPr="008762D1">
        <w:rPr>
          <w:rFonts w:ascii="ITC Avant Garde" w:hAnsi="ITC Avant Garde"/>
          <w:color w:val="000000" w:themeColor="text1"/>
          <w:sz w:val="18"/>
          <w:szCs w:val="18"/>
          <w:u w:val="single"/>
        </w:rPr>
        <w:t>Aserted</w:t>
      </w:r>
      <w:proofErr w:type="spellEnd"/>
      <w:r w:rsidRPr="008762D1">
        <w:rPr>
          <w:rFonts w:ascii="ITC Avant Garde" w:hAnsi="ITC Avant Garde"/>
          <w:color w:val="000000" w:themeColor="text1"/>
          <w:sz w:val="18"/>
          <w:szCs w:val="18"/>
          <w:u w:val="single"/>
        </w:rPr>
        <w:t>-Id</w:t>
      </w:r>
      <w:r w:rsidRPr="008762D1">
        <w:rPr>
          <w:rFonts w:ascii="ITC Avant Garde" w:hAnsi="ITC Avant Garde"/>
          <w:color w:val="000000" w:themeColor="text1"/>
          <w:sz w:val="18"/>
          <w:szCs w:val="18"/>
        </w:rPr>
        <w:t xml:space="preserve"> para los casos de uso del encabezado </w:t>
      </w:r>
      <w:proofErr w:type="spellStart"/>
      <w:r w:rsidRPr="008762D1">
        <w:rPr>
          <w:rFonts w:ascii="ITC Avant Garde" w:hAnsi="ITC Avant Garde"/>
          <w:color w:val="000000" w:themeColor="text1"/>
          <w:sz w:val="18"/>
          <w:szCs w:val="18"/>
        </w:rPr>
        <w:t>Privacy</w:t>
      </w:r>
      <w:proofErr w:type="spellEnd"/>
      <w:r w:rsidRPr="008762D1">
        <w:rPr>
          <w:rFonts w:ascii="ITC Avant Garde" w:hAnsi="ITC Avant Garde"/>
          <w:color w:val="000000" w:themeColor="text1"/>
          <w:sz w:val="18"/>
          <w:szCs w:val="18"/>
        </w:rPr>
        <w:t xml:space="preserve"> se utilizará el </w:t>
      </w:r>
      <w:proofErr w:type="spellStart"/>
      <w:r w:rsidRPr="008762D1">
        <w:rPr>
          <w:rFonts w:ascii="ITC Avant Garde" w:hAnsi="ITC Avant Garde"/>
          <w:color w:val="000000" w:themeColor="text1"/>
          <w:sz w:val="18"/>
          <w:szCs w:val="18"/>
        </w:rPr>
        <w:t>header</w:t>
      </w:r>
      <w:proofErr w:type="spellEnd"/>
      <w:r w:rsidRPr="008762D1">
        <w:rPr>
          <w:rFonts w:ascii="ITC Avant Garde" w:hAnsi="ITC Avant Garde"/>
          <w:color w:val="000000" w:themeColor="text1"/>
          <w:sz w:val="18"/>
          <w:szCs w:val="18"/>
        </w:rPr>
        <w:t xml:space="preserve"> P-</w:t>
      </w:r>
      <w:proofErr w:type="spellStart"/>
      <w:r w:rsidRPr="008762D1">
        <w:rPr>
          <w:rFonts w:ascii="ITC Avant Garde" w:hAnsi="ITC Avant Garde"/>
          <w:color w:val="000000" w:themeColor="text1"/>
          <w:sz w:val="18"/>
          <w:szCs w:val="18"/>
        </w:rPr>
        <w:t>Asserted</w:t>
      </w:r>
      <w:proofErr w:type="spellEnd"/>
      <w:r w:rsidRPr="008762D1">
        <w:rPr>
          <w:rFonts w:ascii="ITC Avant Garde" w:hAnsi="ITC Avant Garde"/>
          <w:color w:val="000000" w:themeColor="text1"/>
          <w:sz w:val="18"/>
          <w:szCs w:val="18"/>
        </w:rPr>
        <w:t>-</w:t>
      </w:r>
      <w:proofErr w:type="spellStart"/>
      <w:r w:rsidRPr="008762D1">
        <w:rPr>
          <w:rFonts w:ascii="ITC Avant Garde" w:hAnsi="ITC Avant Garde"/>
          <w:color w:val="000000" w:themeColor="text1"/>
          <w:sz w:val="18"/>
          <w:szCs w:val="18"/>
        </w:rPr>
        <w:t>ld</w:t>
      </w:r>
      <w:proofErr w:type="spellEnd"/>
      <w:r w:rsidRPr="008762D1">
        <w:rPr>
          <w:rFonts w:ascii="ITC Avant Garde" w:hAnsi="ITC Avant Garde"/>
          <w:color w:val="000000" w:themeColor="text1"/>
          <w:sz w:val="18"/>
          <w:szCs w:val="18"/>
        </w:rPr>
        <w:t xml:space="preserve">. En caso de discrepancia entre ellos, se utilizará el </w:t>
      </w:r>
      <w:r w:rsidRPr="008762D1">
        <w:rPr>
          <w:rFonts w:ascii="ITC Avant Garde" w:hAnsi="ITC Avant Garde"/>
          <w:color w:val="000000" w:themeColor="text1"/>
          <w:sz w:val="18"/>
          <w:szCs w:val="18"/>
          <w:u w:val="single"/>
        </w:rPr>
        <w:t>P-</w:t>
      </w:r>
      <w:proofErr w:type="spellStart"/>
      <w:r w:rsidRPr="008762D1">
        <w:rPr>
          <w:rFonts w:ascii="ITC Avant Garde" w:hAnsi="ITC Avant Garde"/>
          <w:color w:val="000000" w:themeColor="text1"/>
          <w:sz w:val="18"/>
          <w:szCs w:val="18"/>
          <w:u w:val="single"/>
        </w:rPr>
        <w:t>Asserted</w:t>
      </w:r>
      <w:proofErr w:type="spellEnd"/>
      <w:r w:rsidRPr="008762D1">
        <w:rPr>
          <w:rFonts w:ascii="ITC Avant Garde" w:hAnsi="ITC Avant Garde"/>
          <w:color w:val="000000" w:themeColor="text1"/>
          <w:sz w:val="18"/>
          <w:szCs w:val="18"/>
          <w:u w:val="single"/>
        </w:rPr>
        <w:t>-Id</w:t>
      </w:r>
      <w:r w:rsidRPr="008762D1">
        <w:rPr>
          <w:rFonts w:ascii="ITC Avant Garde" w:hAnsi="ITC Avant Garde"/>
          <w:color w:val="000000" w:themeColor="text1"/>
          <w:sz w:val="18"/>
          <w:szCs w:val="18"/>
        </w:rPr>
        <w:t xml:space="preserve"> para facturación. Solo para el intercambio de tráfico entre Telmex y </w:t>
      </w:r>
      <w:r w:rsidR="00A04FEF" w:rsidRPr="008762D1">
        <w:rPr>
          <w:rFonts w:cs="Arial"/>
          <w:b/>
          <w:color w:val="0000FF"/>
        </w:rPr>
        <w:t>(…)</w:t>
      </w:r>
      <w:r w:rsidRPr="008762D1">
        <w:rPr>
          <w:rFonts w:ascii="ITC Avant Garde" w:hAnsi="ITC Avant Garde"/>
          <w:color w:val="000000" w:themeColor="text1"/>
          <w:sz w:val="18"/>
          <w:szCs w:val="18"/>
        </w:rPr>
        <w:t xml:space="preserve">, Telmex no es responsable del formato que utilicen otras redes que hagan tránsito hacia </w:t>
      </w:r>
      <w:r w:rsidR="00A04FEF" w:rsidRPr="008762D1">
        <w:rPr>
          <w:rFonts w:cs="Arial"/>
          <w:b/>
          <w:color w:val="0000FF"/>
        </w:rPr>
        <w:t>(…)</w:t>
      </w:r>
      <w:r w:rsidRPr="008762D1">
        <w:rPr>
          <w:rFonts w:ascii="ITC Avant Garde" w:hAnsi="ITC Avant Garde"/>
          <w:color w:val="000000" w:themeColor="text1"/>
          <w:sz w:val="18"/>
          <w:szCs w:val="18"/>
        </w:rPr>
        <w:t>.”</w:t>
      </w:r>
    </w:p>
    <w:p w14:paraId="29D6CBEB" w14:textId="77777777" w:rsidR="000F0B9F" w:rsidRPr="008762D1" w:rsidRDefault="00FA687D"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0061BB9F" w14:textId="77777777" w:rsidR="000F0B9F" w:rsidRPr="008762D1" w:rsidRDefault="000906BB" w:rsidP="000F0B9F">
      <w:pPr>
        <w:pStyle w:val="IFT1"/>
        <w:numPr>
          <w:ilvl w:val="2"/>
          <w:numId w:val="9"/>
        </w:numPr>
        <w:tabs>
          <w:tab w:val="left" w:pos="284"/>
          <w:tab w:val="left" w:pos="567"/>
        </w:tabs>
        <w:spacing w:before="240" w:after="0"/>
        <w:ind w:left="567" w:hanging="567"/>
        <w:rPr>
          <w:b/>
          <w:color w:val="000000" w:themeColor="text1"/>
        </w:rPr>
      </w:pPr>
      <w:r w:rsidRPr="008762D1">
        <w:rPr>
          <w:b/>
          <w:color w:val="000000" w:themeColor="text1"/>
        </w:rPr>
        <w:t>CAPACIDAD DE LOS PUERTOS DE ACCESO</w:t>
      </w:r>
      <w:r w:rsidR="00261C96" w:rsidRPr="008762D1">
        <w:rPr>
          <w:b/>
          <w:color w:val="000000" w:themeColor="text1"/>
        </w:rPr>
        <w:t>.</w:t>
      </w:r>
    </w:p>
    <w:p w14:paraId="13389941" w14:textId="3059CEDD" w:rsidR="00A048E4" w:rsidRPr="008762D1" w:rsidRDefault="00A048E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5BBCD901" w14:textId="77777777" w:rsidR="000F0B9F" w:rsidRPr="008762D1" w:rsidRDefault="005F32C8"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Respecto del Tema 3 </w:t>
      </w:r>
      <w:r w:rsidR="00C36302" w:rsidRPr="008762D1">
        <w:rPr>
          <w:rFonts w:ascii="ITC Avant Garde" w:hAnsi="ITC Avant Garde"/>
          <w:color w:val="000000" w:themeColor="text1"/>
        </w:rPr>
        <w:t>Interconexión de</w:t>
      </w:r>
      <w:r w:rsidR="00380201" w:rsidRPr="008762D1">
        <w:rPr>
          <w:rFonts w:ascii="ITC Avant Garde" w:hAnsi="ITC Avant Garde"/>
          <w:color w:val="000000" w:themeColor="text1"/>
        </w:rPr>
        <w:t xml:space="preserve"> la sección </w:t>
      </w:r>
      <w:r w:rsidR="00C36302" w:rsidRPr="008762D1">
        <w:rPr>
          <w:rFonts w:ascii="ITC Avant Garde" w:hAnsi="ITC Avant Garde"/>
          <w:color w:val="000000" w:themeColor="text1"/>
        </w:rPr>
        <w:t xml:space="preserve">A.2 </w:t>
      </w:r>
      <w:r w:rsidRPr="008762D1">
        <w:rPr>
          <w:rFonts w:ascii="ITC Avant Garde" w:hAnsi="ITC Avant Garde"/>
          <w:color w:val="000000" w:themeColor="text1"/>
        </w:rPr>
        <w:t xml:space="preserve">se observó que los términos establecidos en dicho Tema </w:t>
      </w:r>
      <w:r w:rsidRPr="008762D1">
        <w:rPr>
          <w:rFonts w:ascii="ITC Avant Garde" w:eastAsia="Times New Roman" w:hAnsi="ITC Avant Garde" w:cs="Arial"/>
          <w:iCs/>
          <w:color w:val="000000" w:themeColor="text1"/>
        </w:rPr>
        <w:t>no se apega</w:t>
      </w:r>
      <w:r w:rsidR="00847D1A"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2F1091"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w:t>
      </w:r>
      <w:r w:rsidR="002F1091"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3B1491DA" w14:textId="77777777" w:rsidR="000F0B9F" w:rsidRPr="008762D1" w:rsidRDefault="002F1091"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Lo anterior dado que</w:t>
      </w:r>
      <w:r w:rsidR="005F32C8" w:rsidRPr="008762D1">
        <w:rPr>
          <w:rFonts w:ascii="ITC Avant Garde" w:hAnsi="ITC Avant Garde"/>
          <w:color w:val="000000" w:themeColor="text1"/>
        </w:rPr>
        <w:t xml:space="preserve"> </w:t>
      </w:r>
      <w:r w:rsidR="00747975" w:rsidRPr="008762D1">
        <w:rPr>
          <w:rFonts w:ascii="ITC Avant Garde" w:hAnsi="ITC Avant Garde"/>
          <w:color w:val="000000" w:themeColor="text1"/>
        </w:rPr>
        <w:t xml:space="preserve">no </w:t>
      </w:r>
      <w:r w:rsidR="00C36302" w:rsidRPr="008762D1">
        <w:rPr>
          <w:rFonts w:ascii="ITC Avant Garde" w:hAnsi="ITC Avant Garde"/>
          <w:color w:val="000000" w:themeColor="text1"/>
        </w:rPr>
        <w:t>s</w:t>
      </w:r>
      <w:r w:rsidR="00747975" w:rsidRPr="008762D1">
        <w:rPr>
          <w:rFonts w:ascii="ITC Avant Garde" w:hAnsi="ITC Avant Garde"/>
          <w:color w:val="000000" w:themeColor="text1"/>
        </w:rPr>
        <w:t>e</w:t>
      </w:r>
      <w:r w:rsidR="00D153CF" w:rsidRPr="008762D1">
        <w:rPr>
          <w:rFonts w:ascii="ITC Avant Garde" w:hAnsi="ITC Avant Garde"/>
          <w:color w:val="000000" w:themeColor="text1"/>
        </w:rPr>
        <w:t xml:space="preserve"> estableció</w:t>
      </w:r>
      <w:r w:rsidR="00C36302" w:rsidRPr="008762D1">
        <w:rPr>
          <w:rFonts w:ascii="ITC Avant Garde" w:hAnsi="ITC Avant Garde"/>
          <w:color w:val="000000" w:themeColor="text1"/>
        </w:rPr>
        <w:t xml:space="preserve"> la capacidad de los puertos de acceso asociad</w:t>
      </w:r>
      <w:r w:rsidR="005F32C8" w:rsidRPr="008762D1">
        <w:rPr>
          <w:rFonts w:ascii="ITC Avant Garde" w:hAnsi="ITC Avant Garde"/>
          <w:color w:val="000000" w:themeColor="text1"/>
        </w:rPr>
        <w:t>os a los enlaces de transmisión, por lo que</w:t>
      </w:r>
      <w:r w:rsidR="007B771E" w:rsidRPr="008762D1">
        <w:rPr>
          <w:rFonts w:ascii="ITC Avant Garde" w:hAnsi="ITC Avant Garde"/>
          <w:color w:val="000000" w:themeColor="text1"/>
        </w:rPr>
        <w:t xml:space="preserve">, </w:t>
      </w:r>
      <w:r w:rsidR="007C5FC0" w:rsidRPr="008762D1">
        <w:rPr>
          <w:rFonts w:ascii="ITC Avant Garde" w:hAnsi="ITC Avant Garde"/>
          <w:color w:val="000000" w:themeColor="text1"/>
        </w:rPr>
        <w:t xml:space="preserve">a efecto de que exista una correspondencia entre las capacidades </w:t>
      </w:r>
      <w:r w:rsidR="002759A6" w:rsidRPr="008762D1">
        <w:rPr>
          <w:rFonts w:ascii="ITC Avant Garde" w:hAnsi="ITC Avant Garde"/>
          <w:color w:val="000000" w:themeColor="text1"/>
        </w:rPr>
        <w:t>de dichos elementos</w:t>
      </w:r>
      <w:r w:rsidR="007C5FC0" w:rsidRPr="008762D1">
        <w:rPr>
          <w:rFonts w:ascii="ITC Avant Garde" w:hAnsi="ITC Avant Garde"/>
          <w:color w:val="000000" w:themeColor="text1"/>
        </w:rPr>
        <w:t xml:space="preserve"> </w:t>
      </w:r>
      <w:r w:rsidRPr="008762D1">
        <w:rPr>
          <w:rFonts w:ascii="ITC Avant Garde" w:hAnsi="ITC Avant Garde"/>
          <w:color w:val="000000" w:themeColor="text1"/>
        </w:rPr>
        <w:t>se modificó</w:t>
      </w:r>
      <w:r w:rsidR="007C5FC0" w:rsidRPr="008762D1">
        <w:rPr>
          <w:rFonts w:ascii="ITC Avant Garde" w:hAnsi="ITC Avant Garde"/>
          <w:color w:val="000000" w:themeColor="text1"/>
        </w:rPr>
        <w:t xml:space="preserve"> el Tema 3 del Anexo A.2</w:t>
      </w:r>
      <w:r w:rsidR="00492EE3" w:rsidRPr="008762D1">
        <w:rPr>
          <w:rFonts w:ascii="ITC Avant Garde" w:hAnsi="ITC Avant Garde"/>
          <w:color w:val="000000" w:themeColor="text1"/>
        </w:rPr>
        <w:t>, en el siguiente sentido:</w:t>
      </w:r>
    </w:p>
    <w:p w14:paraId="7BB0EA26" w14:textId="77777777" w:rsidR="000F0B9F" w:rsidRPr="008762D1" w:rsidRDefault="00492EE3" w:rsidP="000F0B9F">
      <w:pPr>
        <w:spacing w:before="240" w:after="0" w:line="276" w:lineRule="auto"/>
        <w:ind w:left="567" w:right="567"/>
        <w:jc w:val="both"/>
        <w:rPr>
          <w:rFonts w:ascii="ITC Avant Garde" w:hAnsi="ITC Avant Garde"/>
          <w:b/>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color w:val="000000" w:themeColor="text1"/>
          <w:sz w:val="18"/>
          <w:szCs w:val="18"/>
        </w:rPr>
        <w:t>TEMA 3. Interconexión</w:t>
      </w:r>
    </w:p>
    <w:p w14:paraId="57960251" w14:textId="1F2C25C0" w:rsidR="00492EE3" w:rsidRPr="008762D1" w:rsidRDefault="00492EE3" w:rsidP="000F0B9F">
      <w:pPr>
        <w:spacing w:before="240" w:after="0" w:line="276" w:lineRule="auto"/>
        <w:ind w:left="567" w:right="567"/>
        <w:jc w:val="both"/>
        <w:rPr>
          <w:rFonts w:ascii="ITC Avant Garde" w:hAnsi="ITC Avant Garde"/>
          <w:b/>
          <w:color w:val="000000" w:themeColor="text1"/>
          <w:sz w:val="18"/>
          <w:szCs w:val="18"/>
        </w:rPr>
      </w:pPr>
      <w:r w:rsidRPr="008762D1">
        <w:rPr>
          <w:rFonts w:ascii="ITC Avant Garde" w:hAnsi="ITC Avant Garde"/>
          <w:b/>
          <w:color w:val="000000" w:themeColor="text1"/>
          <w:sz w:val="18"/>
          <w:szCs w:val="18"/>
        </w:rPr>
        <w:t>INCISO 3.1 Realización física</w:t>
      </w:r>
    </w:p>
    <w:p w14:paraId="30E3CE92" w14:textId="77777777" w:rsidR="00492EE3" w:rsidRPr="008762D1" w:rsidRDefault="00492EE3"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Cada Concesionario proveerá un enlace de fibra óptica tipo </w:t>
      </w:r>
      <w:proofErr w:type="spellStart"/>
      <w:r w:rsidRPr="008762D1">
        <w:rPr>
          <w:rFonts w:ascii="ITC Avant Garde" w:hAnsi="ITC Avant Garde"/>
          <w:color w:val="000000" w:themeColor="text1"/>
          <w:sz w:val="18"/>
          <w:szCs w:val="18"/>
        </w:rPr>
        <w:t>monomodo</w:t>
      </w:r>
      <w:proofErr w:type="spellEnd"/>
      <w:r w:rsidRPr="008762D1">
        <w:rPr>
          <w:rFonts w:ascii="ITC Avant Garde" w:hAnsi="ITC Avant Garde"/>
          <w:color w:val="000000" w:themeColor="text1"/>
          <w:sz w:val="18"/>
          <w:szCs w:val="18"/>
        </w:rPr>
        <w:t xml:space="preserve"> que podrá ser propio o arrendado y un Puerto de Acceso óptico para que se conecte el enlace de la otra parte.</w:t>
      </w:r>
    </w:p>
    <w:p w14:paraId="2E787528" w14:textId="77777777" w:rsidR="00492EE3" w:rsidRPr="008762D1" w:rsidRDefault="00492EE3"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El enlace será tipo Ethernet dedicado con el estándar lEEE.802.3 versión 2012, con una interfaz activa 1000  Base - LX con un conector LC y un tamaño de trama de 1536 bytes.</w:t>
      </w:r>
    </w:p>
    <w:p w14:paraId="26D379F6" w14:textId="77777777" w:rsidR="00FA687D" w:rsidRPr="008762D1" w:rsidRDefault="00FA687D"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lastRenderedPageBreak/>
        <w:t>Dentro de la interfaz activa se crecerá la capacidad de manejo de tráfico con incrementos de 10 Mbps o 100 Mbps. Los crecimientos se realizarán al llegar al 85% de ocupación</w:t>
      </w:r>
    </w:p>
    <w:p w14:paraId="05A8DC9A" w14:textId="77777777" w:rsidR="000F0B9F" w:rsidRPr="008762D1" w:rsidRDefault="00492EE3"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u w:val="single"/>
        </w:rPr>
        <w:t>Los puertos de acceso que proporcione el Concesionario Solicitado serán de capacidades acordes a la capacidad del enlace de transmisión de interconexión</w:t>
      </w:r>
      <w:r w:rsidRPr="008762D1">
        <w:rPr>
          <w:rFonts w:ascii="ITC Avant Garde" w:hAnsi="ITC Avant Garde"/>
          <w:color w:val="000000" w:themeColor="text1"/>
          <w:sz w:val="18"/>
          <w:szCs w:val="18"/>
        </w:rPr>
        <w:t>.”</w:t>
      </w:r>
    </w:p>
    <w:p w14:paraId="05E67093" w14:textId="77777777" w:rsidR="000F0B9F" w:rsidRPr="008762D1" w:rsidRDefault="00492EE3"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34C418DA" w14:textId="3A23AE67" w:rsidR="00847D1A" w:rsidRPr="008762D1" w:rsidRDefault="00847D1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72171F1F" w14:textId="77777777" w:rsidR="000F0B9F" w:rsidRPr="008762D1" w:rsidRDefault="00007271"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el </w:t>
      </w:r>
      <w:r w:rsidR="00A212EC" w:rsidRPr="008762D1">
        <w:rPr>
          <w:rFonts w:cs="Arial"/>
          <w:color w:val="000000" w:themeColor="text1"/>
          <w:lang w:eastAsia="es-MX"/>
        </w:rPr>
        <w:t>Tema 3. Interconexión</w:t>
      </w:r>
      <w:r w:rsidRPr="008762D1">
        <w:rPr>
          <w:rFonts w:cs="Arial"/>
          <w:color w:val="000000" w:themeColor="text1"/>
          <w:lang w:eastAsia="es-MX"/>
        </w:rPr>
        <w:t xml:space="preserve"> en los términos señalados en el Acuerdo.</w:t>
      </w:r>
    </w:p>
    <w:p w14:paraId="5A08DE48" w14:textId="747971FE" w:rsidR="00847D1A" w:rsidRPr="008762D1" w:rsidRDefault="00847D1A"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54D3BD34" w14:textId="77777777" w:rsidR="000F0B9F" w:rsidRPr="008762D1" w:rsidRDefault="00D153CF"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El Tema 3 de</w:t>
      </w:r>
      <w:r w:rsidR="00380201" w:rsidRPr="008762D1">
        <w:rPr>
          <w:rFonts w:ascii="ITC Avant Garde" w:hAnsi="ITC Avant Garde"/>
          <w:color w:val="000000" w:themeColor="text1"/>
        </w:rPr>
        <w:t xml:space="preserve"> la sección </w:t>
      </w:r>
      <w:r w:rsidRPr="008762D1">
        <w:rPr>
          <w:rFonts w:ascii="ITC Avant Garde" w:hAnsi="ITC Avant Garde"/>
          <w:color w:val="000000" w:themeColor="text1"/>
        </w:rPr>
        <w:t>A.2 es acorde a lo establecido en el Acuerdo de Condiciones Técnicas Mínimas respecto a que los puertos de acceso que proporcione el Concesionario Solicitado serán de capacidades acordes a la capacidad del enlace de transmisión de interconexión</w:t>
      </w:r>
      <w:r w:rsidR="00DA69AB" w:rsidRPr="008762D1">
        <w:rPr>
          <w:rFonts w:ascii="ITC Avant Garde" w:hAnsi="ITC Avant Garde"/>
          <w:color w:val="000000" w:themeColor="text1"/>
        </w:rPr>
        <w:t xml:space="preserve"> </w:t>
      </w:r>
      <w:r w:rsidR="009A5728" w:rsidRPr="008762D1">
        <w:rPr>
          <w:rFonts w:ascii="ITC Avant Garde" w:hAnsi="ITC Avant Garde"/>
          <w:color w:val="000000" w:themeColor="text1"/>
        </w:rPr>
        <w:t>por lo anterior y toda vez que Telmex no realizó manifestaciones sobre la modificación realizada por el Instituto, se considera procedente su aprobación</w:t>
      </w:r>
      <w:r w:rsidRPr="008762D1">
        <w:rPr>
          <w:rFonts w:ascii="ITC Avant Garde" w:hAnsi="ITC Avant Garde"/>
          <w:color w:val="000000" w:themeColor="text1"/>
        </w:rPr>
        <w:t>.</w:t>
      </w:r>
      <w:r w:rsidR="004F09BE" w:rsidRPr="008762D1">
        <w:rPr>
          <w:rFonts w:ascii="ITC Avant Garde" w:hAnsi="ITC Avant Garde"/>
          <w:color w:val="000000" w:themeColor="text1"/>
        </w:rPr>
        <w:t xml:space="preserve"> </w:t>
      </w:r>
    </w:p>
    <w:p w14:paraId="71B79161" w14:textId="77777777" w:rsidR="000F0B9F" w:rsidRPr="008762D1" w:rsidRDefault="004F09BE" w:rsidP="000F0B9F">
      <w:pPr>
        <w:spacing w:before="240" w:after="0" w:line="276" w:lineRule="auto"/>
        <w:jc w:val="both"/>
        <w:rPr>
          <w:rFonts w:ascii="ITC Avant Garde" w:hAnsi="ITC Avant Garde"/>
          <w:strike/>
          <w:color w:val="000000" w:themeColor="text1"/>
          <w:sz w:val="18"/>
          <w:szCs w:val="18"/>
        </w:rPr>
      </w:pPr>
      <w:r w:rsidRPr="008762D1">
        <w:rPr>
          <w:rFonts w:ascii="ITC Avant Garde" w:hAnsi="ITC Avant Garde"/>
          <w:color w:val="000000" w:themeColor="text1"/>
        </w:rPr>
        <w:t>Asimismo, respecto a que dentro de la interfaz activa se crecerá la capacidad con incrementos de 10 Mbps o 100 Mbps al llegar al 85% de la ocupación téngase por reproducido como si a la letra se insertase lo establecido en el numeral 5.5.5 Calidad de los Servicios de Interconexión.</w:t>
      </w:r>
    </w:p>
    <w:p w14:paraId="0685F71D" w14:textId="77777777" w:rsidR="000F0B9F" w:rsidRPr="008762D1" w:rsidRDefault="00DA69AB" w:rsidP="000F0B9F">
      <w:pPr>
        <w:pStyle w:val="IFT1"/>
        <w:numPr>
          <w:ilvl w:val="2"/>
          <w:numId w:val="9"/>
        </w:numPr>
        <w:tabs>
          <w:tab w:val="left" w:pos="284"/>
          <w:tab w:val="left" w:pos="567"/>
        </w:tabs>
        <w:spacing w:before="240" w:after="0"/>
        <w:ind w:left="567" w:hanging="567"/>
        <w:rPr>
          <w:b/>
          <w:color w:val="000000" w:themeColor="text1"/>
        </w:rPr>
      </w:pPr>
      <w:r w:rsidRPr="008762D1">
        <w:rPr>
          <w:b/>
          <w:color w:val="000000" w:themeColor="text1"/>
        </w:rPr>
        <w:t>UTILIZACIÓN ANEXO B.</w:t>
      </w:r>
    </w:p>
    <w:p w14:paraId="0901AB5C" w14:textId="2A51285B" w:rsidR="000206D3" w:rsidRPr="008762D1" w:rsidRDefault="000206D3"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49AA1794" w14:textId="77777777" w:rsidR="000F0B9F" w:rsidRPr="008762D1" w:rsidRDefault="00DA69AB"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Respecto </w:t>
      </w:r>
      <w:r w:rsidR="000206D3" w:rsidRPr="008762D1">
        <w:rPr>
          <w:rFonts w:ascii="ITC Avant Garde" w:hAnsi="ITC Avant Garde"/>
          <w:color w:val="000000" w:themeColor="text1"/>
        </w:rPr>
        <w:t>al Inciso 2.1 Protocolo de señalización del</w:t>
      </w:r>
      <w:r w:rsidRPr="008762D1">
        <w:rPr>
          <w:rFonts w:ascii="ITC Avant Garde" w:hAnsi="ITC Avant Garde"/>
          <w:color w:val="000000" w:themeColor="text1"/>
        </w:rPr>
        <w:t xml:space="preserve"> </w:t>
      </w:r>
      <w:r w:rsidR="000206D3" w:rsidRPr="008762D1">
        <w:rPr>
          <w:rFonts w:ascii="ITC Avant Garde" w:hAnsi="ITC Avant Garde"/>
          <w:color w:val="000000" w:themeColor="text1"/>
        </w:rPr>
        <w:t xml:space="preserve">Tema 2 Señalización se observó que la utilización del Anexo B no era consistente con </w:t>
      </w:r>
      <w:r w:rsidR="009E1C92" w:rsidRPr="008762D1">
        <w:rPr>
          <w:rFonts w:ascii="ITC Avant Garde" w:hAnsi="ITC Avant Garde"/>
          <w:color w:val="000000" w:themeColor="text1"/>
        </w:rPr>
        <w:t xml:space="preserve">lo establecido en la recomendación “RFC 7261  </w:t>
      </w:r>
      <w:proofErr w:type="spellStart"/>
      <w:r w:rsidR="009E1C92" w:rsidRPr="008762D1">
        <w:rPr>
          <w:rFonts w:ascii="ITC Avant Garde" w:hAnsi="ITC Avant Garde"/>
          <w:color w:val="000000" w:themeColor="text1"/>
        </w:rPr>
        <w:t>Offer</w:t>
      </w:r>
      <w:proofErr w:type="spellEnd"/>
      <w:r w:rsidR="009E1C92" w:rsidRPr="008762D1">
        <w:rPr>
          <w:rFonts w:ascii="ITC Avant Garde" w:hAnsi="ITC Avant Garde"/>
          <w:color w:val="000000" w:themeColor="text1"/>
        </w:rPr>
        <w:t>/</w:t>
      </w:r>
      <w:proofErr w:type="spellStart"/>
      <w:r w:rsidR="009E1C92" w:rsidRPr="008762D1">
        <w:rPr>
          <w:rFonts w:ascii="ITC Avant Garde" w:hAnsi="ITC Avant Garde"/>
          <w:color w:val="000000" w:themeColor="text1"/>
        </w:rPr>
        <w:t>Answer</w:t>
      </w:r>
      <w:proofErr w:type="spellEnd"/>
      <w:r w:rsidR="009E1C92" w:rsidRPr="008762D1">
        <w:rPr>
          <w:rFonts w:ascii="ITC Avant Garde" w:hAnsi="ITC Avant Garde"/>
          <w:color w:val="000000" w:themeColor="text1"/>
        </w:rPr>
        <w:t xml:space="preserve"> </w:t>
      </w:r>
      <w:proofErr w:type="spellStart"/>
      <w:r w:rsidR="009E1C92" w:rsidRPr="008762D1">
        <w:rPr>
          <w:rFonts w:ascii="ITC Avant Garde" w:hAnsi="ITC Avant Garde"/>
          <w:color w:val="000000" w:themeColor="text1"/>
        </w:rPr>
        <w:t>Considerations</w:t>
      </w:r>
      <w:proofErr w:type="spellEnd"/>
      <w:r w:rsidR="009E1C92" w:rsidRPr="008762D1">
        <w:rPr>
          <w:rFonts w:ascii="ITC Avant Garde" w:hAnsi="ITC Avant Garde"/>
          <w:color w:val="000000" w:themeColor="text1"/>
        </w:rPr>
        <w:t xml:space="preserve"> </w:t>
      </w:r>
      <w:proofErr w:type="spellStart"/>
      <w:r w:rsidR="009E1C92" w:rsidRPr="008762D1">
        <w:rPr>
          <w:rFonts w:ascii="ITC Avant Garde" w:hAnsi="ITC Avant Garde"/>
          <w:color w:val="000000" w:themeColor="text1"/>
        </w:rPr>
        <w:t>for</w:t>
      </w:r>
      <w:proofErr w:type="spellEnd"/>
      <w:r w:rsidR="009E1C92" w:rsidRPr="008762D1">
        <w:rPr>
          <w:rFonts w:ascii="ITC Avant Garde" w:hAnsi="ITC Avant Garde"/>
          <w:color w:val="000000" w:themeColor="text1"/>
        </w:rPr>
        <w:t xml:space="preserve"> G723 </w:t>
      </w:r>
      <w:proofErr w:type="spellStart"/>
      <w:r w:rsidR="009E1C92" w:rsidRPr="008762D1">
        <w:rPr>
          <w:rFonts w:ascii="ITC Avant Garde" w:hAnsi="ITC Avant Garde"/>
          <w:color w:val="000000" w:themeColor="text1"/>
        </w:rPr>
        <w:t>Annex</w:t>
      </w:r>
      <w:proofErr w:type="spellEnd"/>
      <w:r w:rsidR="009E1C92" w:rsidRPr="008762D1">
        <w:rPr>
          <w:rFonts w:ascii="ITC Avant Garde" w:hAnsi="ITC Avant Garde"/>
          <w:color w:val="000000" w:themeColor="text1"/>
        </w:rPr>
        <w:t xml:space="preserve"> A and G729 </w:t>
      </w:r>
      <w:proofErr w:type="spellStart"/>
      <w:r w:rsidR="009E1C92" w:rsidRPr="008762D1">
        <w:rPr>
          <w:rFonts w:ascii="ITC Avant Garde" w:hAnsi="ITC Avant Garde"/>
          <w:color w:val="000000" w:themeColor="text1"/>
        </w:rPr>
        <w:t>Annex</w:t>
      </w:r>
      <w:proofErr w:type="spellEnd"/>
      <w:r w:rsidR="009E1C92" w:rsidRPr="008762D1">
        <w:rPr>
          <w:rFonts w:ascii="ITC Avant Garde" w:hAnsi="ITC Avant Garde"/>
          <w:color w:val="000000" w:themeColor="text1"/>
        </w:rPr>
        <w:t xml:space="preserve"> B</w:t>
      </w:r>
      <w:r w:rsidR="00517155" w:rsidRPr="008762D1">
        <w:rPr>
          <w:rStyle w:val="Refdenotaalpie"/>
          <w:rFonts w:ascii="ITC Avant Garde" w:hAnsi="ITC Avant Garde"/>
          <w:color w:val="000000" w:themeColor="text1"/>
        </w:rPr>
        <w:footnoteReference w:id="4"/>
      </w:r>
      <w:r w:rsidR="009E1C92" w:rsidRPr="008762D1">
        <w:rPr>
          <w:rFonts w:ascii="ITC Avant Garde" w:hAnsi="ITC Avant Garde"/>
          <w:color w:val="000000" w:themeColor="text1"/>
        </w:rPr>
        <w:t>”</w:t>
      </w:r>
      <w:r w:rsidR="000206D3" w:rsidRPr="008762D1">
        <w:rPr>
          <w:rFonts w:ascii="ITC Avant Garde" w:hAnsi="ITC Avant Garde"/>
          <w:color w:val="000000" w:themeColor="text1"/>
        </w:rPr>
        <w:t>.</w:t>
      </w:r>
    </w:p>
    <w:p w14:paraId="1FB6B22E" w14:textId="5C65D505" w:rsidR="00AA237C" w:rsidRPr="008762D1" w:rsidRDefault="00AA237C"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3EDE5033" w14:textId="77777777" w:rsidR="00AA237C" w:rsidRPr="008762D1" w:rsidRDefault="00096FB0" w:rsidP="000F0B9F">
      <w:pPr>
        <w:spacing w:before="240" w:line="276" w:lineRule="auto"/>
        <w:jc w:val="both"/>
        <w:rPr>
          <w:rFonts w:ascii="ITC Avant Garde" w:hAnsi="ITC Avant Garde"/>
          <w:color w:val="000000" w:themeColor="text1"/>
        </w:rPr>
      </w:pPr>
      <w:r w:rsidRPr="008762D1">
        <w:rPr>
          <w:rFonts w:ascii="ITC Avant Garde" w:hAnsi="ITC Avant Garde"/>
          <w:color w:val="000000" w:themeColor="text1"/>
        </w:rPr>
        <w:t xml:space="preserve">Telmex señala en el Escrito de Respuesta </w:t>
      </w:r>
      <w:r w:rsidR="00AA237C" w:rsidRPr="008762D1">
        <w:rPr>
          <w:rFonts w:ascii="ITC Avant Garde" w:hAnsi="ITC Avant Garde"/>
          <w:color w:val="000000" w:themeColor="text1"/>
        </w:rPr>
        <w:t xml:space="preserve">que la modificación realizada por el </w:t>
      </w:r>
      <w:proofErr w:type="spellStart"/>
      <w:r w:rsidR="00AA237C" w:rsidRPr="008762D1">
        <w:rPr>
          <w:rFonts w:ascii="ITC Avant Garde" w:hAnsi="ITC Avant Garde"/>
          <w:color w:val="000000" w:themeColor="text1"/>
        </w:rPr>
        <w:t>lnstituto</w:t>
      </w:r>
      <w:proofErr w:type="spellEnd"/>
      <w:r w:rsidR="00AA237C" w:rsidRPr="008762D1">
        <w:rPr>
          <w:rFonts w:ascii="ITC Avant Garde" w:hAnsi="ITC Avant Garde"/>
          <w:color w:val="000000" w:themeColor="text1"/>
        </w:rPr>
        <w:t xml:space="preserve"> </w:t>
      </w:r>
      <w:r w:rsidRPr="008762D1">
        <w:rPr>
          <w:rFonts w:ascii="ITC Avant Garde" w:hAnsi="ITC Avant Garde"/>
          <w:color w:val="000000" w:themeColor="text1"/>
        </w:rPr>
        <w:t xml:space="preserve">respecto al texto sobre el anexo B </w:t>
      </w:r>
      <w:r w:rsidR="00AA237C" w:rsidRPr="008762D1">
        <w:rPr>
          <w:rFonts w:ascii="ITC Avant Garde" w:hAnsi="ITC Avant Garde"/>
          <w:color w:val="000000" w:themeColor="text1"/>
        </w:rPr>
        <w:t xml:space="preserve">es contraria a lo establecido el modelo de oferta/respuesta definido en el estándar RFC 7261 para el manejo del anexo B </w:t>
      </w:r>
      <w:r w:rsidR="00AA237C" w:rsidRPr="008762D1">
        <w:rPr>
          <w:rFonts w:ascii="ITC Avant Garde" w:hAnsi="ITC Avant Garde"/>
          <w:color w:val="000000" w:themeColor="text1"/>
        </w:rPr>
        <w:lastRenderedPageBreak/>
        <w:t>del códec G.729, el cual indica la utilización del Anexo B por default cuando no esté presente, por lo que en caso de que no se utilice debe ser indicado.</w:t>
      </w:r>
    </w:p>
    <w:p w14:paraId="71B784EC" w14:textId="2879F4A1" w:rsidR="00AA237C" w:rsidRPr="008762D1" w:rsidRDefault="00AA237C" w:rsidP="000F0B9F">
      <w:pPr>
        <w:spacing w:before="240" w:line="276" w:lineRule="auto"/>
        <w:jc w:val="both"/>
        <w:rPr>
          <w:rFonts w:ascii="ITC Avant Garde" w:hAnsi="ITC Avant Garde"/>
          <w:color w:val="000000" w:themeColor="text1"/>
        </w:rPr>
      </w:pPr>
      <w:r w:rsidRPr="008762D1">
        <w:rPr>
          <w:rFonts w:ascii="ITC Avant Garde" w:hAnsi="ITC Avant Garde"/>
          <w:color w:val="000000" w:themeColor="text1"/>
        </w:rPr>
        <w:t xml:space="preserve">En virtud de lo anterior, </w:t>
      </w:r>
      <w:r w:rsidR="00986EFA" w:rsidRPr="008762D1">
        <w:rPr>
          <w:rFonts w:ascii="ITC Avant Garde" w:hAnsi="ITC Avant Garde"/>
          <w:color w:val="000000" w:themeColor="text1"/>
        </w:rPr>
        <w:t xml:space="preserve">Telmex </w:t>
      </w:r>
      <w:r w:rsidRPr="008762D1">
        <w:rPr>
          <w:rFonts w:ascii="ITC Avant Garde" w:hAnsi="ITC Avant Garde"/>
          <w:color w:val="000000" w:themeColor="text1"/>
        </w:rPr>
        <w:t>recomienda la siguiente redacción:</w:t>
      </w:r>
    </w:p>
    <w:p w14:paraId="3BDC0C94" w14:textId="77777777" w:rsidR="000F0B9F" w:rsidRPr="008762D1" w:rsidRDefault="00096FB0"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BD0DD8" w:rsidRPr="008762D1">
        <w:rPr>
          <w:rFonts w:ascii="ITC Avant Garde" w:hAnsi="ITC Avant Garde"/>
          <w:color w:val="000000" w:themeColor="text1"/>
          <w:sz w:val="18"/>
          <w:szCs w:val="18"/>
        </w:rPr>
        <w:t>Si no está</w:t>
      </w:r>
      <w:r w:rsidR="00AA237C" w:rsidRPr="008762D1">
        <w:rPr>
          <w:rFonts w:ascii="ITC Avant Garde" w:hAnsi="ITC Avant Garde"/>
          <w:color w:val="000000" w:themeColor="text1"/>
          <w:sz w:val="18"/>
          <w:szCs w:val="18"/>
        </w:rPr>
        <w:t xml:space="preserve"> presente Anexo B se considera que es soportado y l</w:t>
      </w:r>
      <w:r w:rsidR="00986EFA" w:rsidRPr="008762D1">
        <w:rPr>
          <w:rFonts w:ascii="ITC Avant Garde" w:hAnsi="ITC Avant Garde"/>
          <w:color w:val="000000" w:themeColor="text1"/>
          <w:sz w:val="18"/>
          <w:szCs w:val="18"/>
        </w:rPr>
        <w:t>a</w:t>
      </w:r>
      <w:r w:rsidR="00AA237C" w:rsidRPr="008762D1">
        <w:rPr>
          <w:rFonts w:ascii="ITC Avant Garde" w:hAnsi="ITC Avant Garde"/>
          <w:color w:val="000000" w:themeColor="text1"/>
          <w:sz w:val="18"/>
          <w:szCs w:val="18"/>
        </w:rPr>
        <w:t xml:space="preserve"> llamad</w:t>
      </w:r>
      <w:r w:rsidR="00986EFA" w:rsidRPr="008762D1">
        <w:rPr>
          <w:rFonts w:ascii="ITC Avant Garde" w:hAnsi="ITC Avant Garde"/>
          <w:color w:val="000000" w:themeColor="text1"/>
          <w:sz w:val="18"/>
          <w:szCs w:val="18"/>
        </w:rPr>
        <w:t>a</w:t>
      </w:r>
      <w:r w:rsidR="00AA237C" w:rsidRPr="008762D1">
        <w:rPr>
          <w:rFonts w:ascii="ITC Avant Garde" w:hAnsi="ITC Avant Garde"/>
          <w:color w:val="000000" w:themeColor="text1"/>
          <w:sz w:val="18"/>
          <w:szCs w:val="18"/>
        </w:rPr>
        <w:t xml:space="preserve"> se esta</w:t>
      </w:r>
      <w:r w:rsidR="00BD0DD8" w:rsidRPr="008762D1">
        <w:rPr>
          <w:rFonts w:ascii="ITC Avant Garde" w:hAnsi="ITC Avant Garde"/>
          <w:color w:val="000000" w:themeColor="text1"/>
          <w:sz w:val="18"/>
          <w:szCs w:val="18"/>
        </w:rPr>
        <w:t>blecerá</w:t>
      </w:r>
      <w:r w:rsidR="00AA237C" w:rsidRPr="008762D1">
        <w:rPr>
          <w:rFonts w:ascii="ITC Avant Garde" w:hAnsi="ITC Avant Garde"/>
          <w:color w:val="000000" w:themeColor="text1"/>
          <w:sz w:val="18"/>
          <w:szCs w:val="18"/>
        </w:rPr>
        <w:t xml:space="preserve"> con el Anexo B activa</w:t>
      </w:r>
      <w:r w:rsidRPr="008762D1">
        <w:rPr>
          <w:rFonts w:ascii="ITC Avant Garde" w:hAnsi="ITC Avant Garde"/>
          <w:color w:val="000000" w:themeColor="text1"/>
          <w:sz w:val="18"/>
          <w:szCs w:val="18"/>
        </w:rPr>
        <w:t>do”</w:t>
      </w:r>
      <w:r w:rsidR="00AA237C" w:rsidRPr="008762D1">
        <w:rPr>
          <w:rFonts w:ascii="ITC Avant Garde" w:hAnsi="ITC Avant Garde"/>
          <w:color w:val="000000" w:themeColor="text1"/>
          <w:sz w:val="18"/>
          <w:szCs w:val="18"/>
        </w:rPr>
        <w:t>.</w:t>
      </w:r>
    </w:p>
    <w:p w14:paraId="15E6F9E4" w14:textId="1D575EC9" w:rsidR="003D6818" w:rsidRPr="008762D1" w:rsidRDefault="003D681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F78464A" w14:textId="77777777" w:rsidR="000F0B9F" w:rsidRPr="008762D1" w:rsidRDefault="00842C29"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Al respecto se señala que el numeral 3.3. </w:t>
      </w:r>
      <w:proofErr w:type="gramStart"/>
      <w:r w:rsidRPr="008762D1">
        <w:rPr>
          <w:rFonts w:ascii="ITC Avant Garde" w:hAnsi="ITC Avant Garde"/>
          <w:color w:val="000000" w:themeColor="text1"/>
        </w:rPr>
        <w:t>del</w:t>
      </w:r>
      <w:proofErr w:type="gramEnd"/>
      <w:r w:rsidRPr="008762D1">
        <w:rPr>
          <w:rFonts w:ascii="ITC Avant Garde" w:hAnsi="ITC Avant Garde"/>
          <w:color w:val="000000" w:themeColor="text1"/>
        </w:rPr>
        <w:t xml:space="preserve"> RFC 7261, establece lo siguiente:</w:t>
      </w:r>
    </w:p>
    <w:p w14:paraId="350BBBF7" w14:textId="03DB4F27" w:rsidR="00A53215" w:rsidRPr="008762D1" w:rsidRDefault="00842C29" w:rsidP="000F0B9F">
      <w:pPr>
        <w:autoSpaceDE w:val="0"/>
        <w:autoSpaceDN w:val="0"/>
        <w:adjustRightInd w:val="0"/>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“3.3.</w:t>
      </w:r>
      <w:r w:rsidR="00A53215" w:rsidRPr="008762D1">
        <w:rPr>
          <w:rFonts w:ascii="ITC Avant Garde" w:hAnsi="ITC Avant Garde"/>
          <w:color w:val="000000" w:themeColor="text1"/>
          <w:sz w:val="18"/>
          <w:szCs w:val="18"/>
        </w:rPr>
        <w:t xml:space="preserve"> Consideraciones </w:t>
      </w:r>
      <w:r w:rsidR="00912F7A" w:rsidRPr="008762D1">
        <w:rPr>
          <w:rFonts w:ascii="ITC Avant Garde" w:hAnsi="ITC Avant Garde"/>
          <w:color w:val="000000" w:themeColor="text1"/>
          <w:sz w:val="18"/>
          <w:szCs w:val="18"/>
        </w:rPr>
        <w:t xml:space="preserve">sobre la </w:t>
      </w:r>
      <w:r w:rsidR="00A53215" w:rsidRPr="008762D1">
        <w:rPr>
          <w:rFonts w:ascii="ITC Avant Garde" w:hAnsi="ITC Avant Garde"/>
          <w:color w:val="000000" w:themeColor="text1"/>
          <w:sz w:val="18"/>
          <w:szCs w:val="18"/>
        </w:rPr>
        <w:t>Oferta/</w:t>
      </w:r>
      <w:r w:rsidR="00912F7A" w:rsidRPr="008762D1">
        <w:rPr>
          <w:rFonts w:ascii="ITC Avant Garde" w:hAnsi="ITC Avant Garde"/>
          <w:color w:val="000000" w:themeColor="text1"/>
          <w:sz w:val="18"/>
          <w:szCs w:val="18"/>
        </w:rPr>
        <w:t>Respuesta</w:t>
      </w:r>
      <w:r w:rsidR="00A53215" w:rsidRPr="008762D1">
        <w:rPr>
          <w:rFonts w:ascii="ITC Avant Garde" w:hAnsi="ITC Avant Garde"/>
          <w:color w:val="000000" w:themeColor="text1"/>
          <w:sz w:val="18"/>
          <w:szCs w:val="18"/>
        </w:rPr>
        <w:t xml:space="preserve"> </w:t>
      </w:r>
      <w:r w:rsidR="00912F7A" w:rsidRPr="008762D1">
        <w:rPr>
          <w:rFonts w:ascii="ITC Avant Garde" w:hAnsi="ITC Avant Garde"/>
          <w:color w:val="000000" w:themeColor="text1"/>
          <w:sz w:val="18"/>
          <w:szCs w:val="18"/>
        </w:rPr>
        <w:t>d</w:t>
      </w:r>
      <w:r w:rsidR="00A53215" w:rsidRPr="008762D1">
        <w:rPr>
          <w:rFonts w:ascii="ITC Avant Garde" w:hAnsi="ITC Avant Garde"/>
          <w:color w:val="000000" w:themeColor="text1"/>
          <w:sz w:val="18"/>
          <w:szCs w:val="18"/>
        </w:rPr>
        <w:t>el G729 Anexo B, G729D Anexo B, y G729 E Anexo B</w:t>
      </w:r>
    </w:p>
    <w:p w14:paraId="359262E3" w14:textId="76B64A56" w:rsidR="00A53215" w:rsidRPr="008762D1" w:rsidRDefault="00A53215" w:rsidP="00A04FEF">
      <w:pPr>
        <w:autoSpaceDE w:val="0"/>
        <w:autoSpaceDN w:val="0"/>
        <w:adjustRightInd w:val="0"/>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En esta sección, G729 representa </w:t>
      </w:r>
      <w:r w:rsidR="00912F7A" w:rsidRPr="008762D1">
        <w:rPr>
          <w:rFonts w:ascii="ITC Avant Garde" w:hAnsi="ITC Avant Garde"/>
          <w:color w:val="000000" w:themeColor="text1"/>
          <w:sz w:val="18"/>
          <w:szCs w:val="18"/>
        </w:rPr>
        <w:t xml:space="preserve">cualquier </w:t>
      </w:r>
      <w:r w:rsidRPr="008762D1">
        <w:rPr>
          <w:rFonts w:ascii="ITC Avant Garde" w:hAnsi="ITC Avant Garde"/>
          <w:color w:val="000000" w:themeColor="text1"/>
          <w:sz w:val="18"/>
          <w:szCs w:val="18"/>
        </w:rPr>
        <w:t>G729 o G729 D o G729E.</w:t>
      </w:r>
    </w:p>
    <w:p w14:paraId="27A6BE46" w14:textId="77777777" w:rsidR="000F0B9F" w:rsidRPr="008762D1" w:rsidRDefault="00A53215" w:rsidP="000F0B9F">
      <w:pPr>
        <w:autoSpaceDE w:val="0"/>
        <w:autoSpaceDN w:val="0"/>
        <w:adjustRightInd w:val="0"/>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Cuando la oferta o la respuesta contiene G729 y el par</w:t>
      </w:r>
      <w:r w:rsidR="00912F7A" w:rsidRPr="008762D1">
        <w:rPr>
          <w:rFonts w:ascii="ITC Avant Garde" w:hAnsi="ITC Avant Garde"/>
          <w:color w:val="000000" w:themeColor="text1"/>
          <w:sz w:val="18"/>
          <w:szCs w:val="18"/>
        </w:rPr>
        <w:t xml:space="preserve">ámetro </w:t>
      </w:r>
      <w:proofErr w:type="spellStart"/>
      <w:r w:rsidR="00912F7A" w:rsidRPr="008762D1">
        <w:rPr>
          <w:rFonts w:ascii="ITC Avant Garde" w:hAnsi="ITC Avant Garde"/>
          <w:color w:val="000000" w:themeColor="text1"/>
          <w:sz w:val="18"/>
          <w:szCs w:val="18"/>
        </w:rPr>
        <w:t>annex</w:t>
      </w:r>
      <w:proofErr w:type="spellEnd"/>
      <w:r w:rsidR="00912F7A" w:rsidRPr="008762D1">
        <w:rPr>
          <w:rFonts w:ascii="ITC Avant Garde" w:hAnsi="ITC Avant Garde"/>
          <w:color w:val="000000" w:themeColor="text1"/>
          <w:sz w:val="18"/>
          <w:szCs w:val="18"/>
        </w:rPr>
        <w:t xml:space="preserve"> b</w:t>
      </w:r>
      <w:r w:rsidRPr="008762D1">
        <w:rPr>
          <w:rFonts w:ascii="ITC Avant Garde" w:hAnsi="ITC Avant Garde"/>
          <w:color w:val="000000" w:themeColor="text1"/>
          <w:sz w:val="18"/>
          <w:szCs w:val="18"/>
        </w:rPr>
        <w:t xml:space="preserve"> no est</w:t>
      </w:r>
      <w:r w:rsidR="00912F7A" w:rsidRPr="008762D1">
        <w:rPr>
          <w:rFonts w:ascii="ITC Avant Garde" w:hAnsi="ITC Avant Garde"/>
          <w:color w:val="000000" w:themeColor="text1"/>
          <w:sz w:val="18"/>
          <w:szCs w:val="18"/>
        </w:rPr>
        <w:t>á presente, el oferente o contestador sabe que está implicado el valor predeterminado “</w:t>
      </w:r>
      <w:proofErr w:type="spellStart"/>
      <w:r w:rsidR="00912F7A" w:rsidRPr="008762D1">
        <w:rPr>
          <w:rFonts w:ascii="ITC Avant Garde" w:hAnsi="ITC Avant Garde"/>
          <w:color w:val="000000" w:themeColor="text1"/>
          <w:sz w:val="18"/>
          <w:szCs w:val="18"/>
        </w:rPr>
        <w:t>annexb</w:t>
      </w:r>
      <w:proofErr w:type="spellEnd"/>
      <w:r w:rsidR="00912F7A" w:rsidRPr="008762D1">
        <w:rPr>
          <w:rFonts w:ascii="ITC Avant Garde" w:hAnsi="ITC Avant Garde"/>
          <w:color w:val="000000" w:themeColor="text1"/>
          <w:sz w:val="18"/>
          <w:szCs w:val="18"/>
        </w:rPr>
        <w:t xml:space="preserve">=yes”. Esto se debe a que el atributo Anexo B es parte del registro original de audio /G729 (RFC 4856). Todas las implementaciones que soportan G729, entienden el atributo </w:t>
      </w:r>
      <w:proofErr w:type="spellStart"/>
      <w:r w:rsidR="00912F7A" w:rsidRPr="008762D1">
        <w:rPr>
          <w:rFonts w:ascii="ITC Avant Garde" w:hAnsi="ITC Avant Garde"/>
          <w:color w:val="000000" w:themeColor="text1"/>
          <w:sz w:val="18"/>
          <w:szCs w:val="18"/>
        </w:rPr>
        <w:t>annexb</w:t>
      </w:r>
      <w:proofErr w:type="spellEnd"/>
      <w:r w:rsidR="00912F7A" w:rsidRPr="008762D1">
        <w:rPr>
          <w:rFonts w:ascii="ITC Avant Garde" w:hAnsi="ITC Avant Garde"/>
          <w:color w:val="000000" w:themeColor="text1"/>
          <w:sz w:val="18"/>
          <w:szCs w:val="18"/>
        </w:rPr>
        <w:t xml:space="preserve">. Por lo tanto, este caso </w:t>
      </w:r>
      <w:r w:rsidR="00DC7EF8" w:rsidRPr="008762D1">
        <w:rPr>
          <w:rFonts w:ascii="ITC Avant Garde" w:hAnsi="ITC Avant Garde"/>
          <w:color w:val="000000" w:themeColor="text1"/>
          <w:sz w:val="18"/>
          <w:szCs w:val="18"/>
        </w:rPr>
        <w:t>DEBE SER considerado</w:t>
      </w:r>
      <w:r w:rsidR="00912F7A" w:rsidRPr="008762D1">
        <w:rPr>
          <w:rFonts w:ascii="ITC Avant Garde" w:hAnsi="ITC Avant Garde"/>
          <w:color w:val="000000" w:themeColor="text1"/>
          <w:sz w:val="18"/>
          <w:szCs w:val="18"/>
        </w:rPr>
        <w:t xml:space="preserve"> como si la oferta o la respuesta </w:t>
      </w:r>
      <w:r w:rsidR="00DC7EF8" w:rsidRPr="008762D1">
        <w:rPr>
          <w:rFonts w:ascii="ITC Avant Garde" w:hAnsi="ITC Avant Garde"/>
          <w:color w:val="000000" w:themeColor="text1"/>
          <w:sz w:val="18"/>
          <w:szCs w:val="18"/>
        </w:rPr>
        <w:t>tuvieran</w:t>
      </w:r>
      <w:r w:rsidR="00912F7A" w:rsidRPr="008762D1">
        <w:rPr>
          <w:rFonts w:ascii="ITC Avant Garde" w:hAnsi="ITC Avant Garde"/>
          <w:color w:val="000000" w:themeColor="text1"/>
          <w:sz w:val="18"/>
          <w:szCs w:val="18"/>
        </w:rPr>
        <w:t xml:space="preserve"> G729 con </w:t>
      </w:r>
      <w:proofErr w:type="spellStart"/>
      <w:r w:rsidR="00912F7A" w:rsidRPr="008762D1">
        <w:rPr>
          <w:rFonts w:ascii="ITC Avant Garde" w:hAnsi="ITC Avant Garde"/>
          <w:color w:val="000000" w:themeColor="text1"/>
          <w:sz w:val="18"/>
          <w:szCs w:val="18"/>
        </w:rPr>
        <w:t>annexb</w:t>
      </w:r>
      <w:proofErr w:type="spellEnd"/>
      <w:r w:rsidR="00912F7A" w:rsidRPr="008762D1">
        <w:rPr>
          <w:rFonts w:ascii="ITC Avant Garde" w:hAnsi="ITC Avant Garde"/>
          <w:color w:val="000000" w:themeColor="text1"/>
          <w:sz w:val="18"/>
          <w:szCs w:val="18"/>
        </w:rPr>
        <w:t>=yes”</w:t>
      </w:r>
      <w:r w:rsidR="00912F7A" w:rsidRPr="008762D1">
        <w:rPr>
          <w:rStyle w:val="Refdenotaalpie"/>
          <w:rFonts w:ascii="ITC Avant Garde" w:hAnsi="ITC Avant Garde"/>
          <w:color w:val="000000" w:themeColor="text1"/>
          <w:sz w:val="18"/>
          <w:szCs w:val="18"/>
          <w:lang w:val="en-US"/>
        </w:rPr>
        <w:footnoteReference w:id="5"/>
      </w:r>
    </w:p>
    <w:p w14:paraId="65E9A60A" w14:textId="77777777" w:rsidR="000F0B9F" w:rsidRPr="008762D1" w:rsidRDefault="00842C29"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De lo cual, a efecto de que la utilización del Anexo B sea consistente con la Recomendación correspondiente, se considera procedente la </w:t>
      </w:r>
      <w:r w:rsidR="00C057E2" w:rsidRPr="008762D1">
        <w:rPr>
          <w:rFonts w:ascii="ITC Avant Garde" w:hAnsi="ITC Avant Garde" w:cs="Arial"/>
          <w:color w:val="000000" w:themeColor="text1"/>
          <w:lang w:eastAsia="es-MX"/>
        </w:rPr>
        <w:t xml:space="preserve">aprobación </w:t>
      </w:r>
      <w:r w:rsidRPr="008762D1">
        <w:rPr>
          <w:rFonts w:ascii="ITC Avant Garde" w:hAnsi="ITC Avant Garde"/>
          <w:color w:val="000000" w:themeColor="text1"/>
        </w:rPr>
        <w:t>del CMI Modificado en el sentido señalado por Telmex.</w:t>
      </w:r>
    </w:p>
    <w:p w14:paraId="7374C61C" w14:textId="77777777" w:rsidR="000F0B9F" w:rsidRPr="008762D1" w:rsidRDefault="00842C29"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Adicionalmente sobre el resto de los numerales incluidos en el Anexo A, se señala que el Tema 1 especifica la información de los puntos de interconexión que Telmex entrega a los CS como parte del Convenio  por  lo que se considera que el mismo tiene un carácter meramente informativo, el numeral 2.2 se refiere a la forma en que el Instituto genera los códigos de punto de señalización nacionales por lo que también se considera de carácter informativo, el numeral 2.3 </w:t>
      </w:r>
      <w:proofErr w:type="spellStart"/>
      <w:r w:rsidRPr="008762D1">
        <w:rPr>
          <w:rFonts w:ascii="ITC Avant Garde" w:hAnsi="ITC Avant Garde"/>
          <w:color w:val="000000" w:themeColor="text1"/>
        </w:rPr>
        <w:t>Intecambio</w:t>
      </w:r>
      <w:proofErr w:type="spellEnd"/>
      <w:r w:rsidRPr="008762D1">
        <w:rPr>
          <w:rFonts w:ascii="ITC Avant Garde" w:hAnsi="ITC Avant Garde"/>
          <w:color w:val="000000" w:themeColor="text1"/>
        </w:rPr>
        <w:t xml:space="preserve"> de Dígitos se refiere a los formatos que se utilizarán para el envío de dígitos que deberá enviar el concesionario origen al concesionario destino de la llamada, dependiendo del servicio de que se trate, de lo cual se considera que dicho </w:t>
      </w:r>
      <w:r w:rsidRPr="008762D1">
        <w:rPr>
          <w:rFonts w:ascii="ITC Avant Garde" w:hAnsi="ITC Avant Garde"/>
          <w:color w:val="000000" w:themeColor="text1"/>
        </w:rPr>
        <w:lastRenderedPageBreak/>
        <w:t>formato es acorde a lo establecido en el Plan de Señalización</w:t>
      </w:r>
      <w:r w:rsidR="002067CF" w:rsidRPr="008762D1">
        <w:rPr>
          <w:rStyle w:val="Refdenotaalpie"/>
          <w:rFonts w:ascii="ITC Avant Garde" w:hAnsi="ITC Avant Garde"/>
          <w:color w:val="000000" w:themeColor="text1"/>
        </w:rPr>
        <w:footnoteReference w:id="6"/>
      </w:r>
      <w:r w:rsidRPr="008762D1">
        <w:rPr>
          <w:rFonts w:ascii="ITC Avant Garde" w:hAnsi="ITC Avant Garde"/>
          <w:color w:val="000000" w:themeColor="text1"/>
        </w:rPr>
        <w:t xml:space="preserve"> por lo que se considera procedente su </w:t>
      </w:r>
      <w:r w:rsidR="00032967" w:rsidRPr="008762D1">
        <w:rPr>
          <w:rFonts w:ascii="ITC Avant Garde" w:hAnsi="ITC Avant Garde" w:cs="Arial"/>
          <w:color w:val="000000" w:themeColor="text1"/>
          <w:lang w:eastAsia="es-MX"/>
        </w:rPr>
        <w:t>aprobación</w:t>
      </w:r>
      <w:r w:rsidRPr="008762D1">
        <w:rPr>
          <w:rFonts w:ascii="ITC Avant Garde" w:hAnsi="ITC Avant Garde"/>
          <w:color w:val="000000" w:themeColor="text1"/>
        </w:rPr>
        <w:t>. El Tema 3 versa sobre el suministro de circuitos y puertos en el cual se señala el procedimiento de recepción/entrega de los circuitos y puertos.</w:t>
      </w:r>
    </w:p>
    <w:p w14:paraId="14E5F1BA" w14:textId="77777777" w:rsidR="000F0B9F" w:rsidRPr="008762D1" w:rsidRDefault="00842C29"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Asimismo, el Tema 4 señala el procedimiento para el mantenimiento cuyos temas corresponden a aspectos técnicos necesarios de la interconexión, es así que se considera procedente la </w:t>
      </w:r>
      <w:r w:rsidR="002067CF" w:rsidRPr="008762D1">
        <w:rPr>
          <w:rFonts w:ascii="ITC Avant Garde" w:hAnsi="ITC Avant Garde"/>
          <w:color w:val="000000" w:themeColor="text1"/>
        </w:rPr>
        <w:t xml:space="preserve">aprobación </w:t>
      </w:r>
      <w:r w:rsidRPr="008762D1">
        <w:rPr>
          <w:rFonts w:ascii="ITC Avant Garde" w:hAnsi="ITC Avant Garde"/>
          <w:color w:val="000000" w:themeColor="text1"/>
        </w:rPr>
        <w:t>de los Temas señalados.</w:t>
      </w:r>
    </w:p>
    <w:p w14:paraId="7865E5EB" w14:textId="77777777" w:rsidR="000F0B9F" w:rsidRPr="008762D1" w:rsidRDefault="00FA687D"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También</w:t>
      </w:r>
      <w:r w:rsidR="00842C29" w:rsidRPr="008762D1">
        <w:rPr>
          <w:rFonts w:ascii="ITC Avant Garde" w:hAnsi="ITC Avant Garde"/>
          <w:color w:val="000000" w:themeColor="text1"/>
        </w:rPr>
        <w:t>, se señalan diversas precisiones técnicas como el mecanismo de “</w:t>
      </w:r>
      <w:proofErr w:type="spellStart"/>
      <w:r w:rsidR="00842C29" w:rsidRPr="008762D1">
        <w:rPr>
          <w:rFonts w:ascii="ITC Avant Garde" w:hAnsi="ITC Avant Garde"/>
          <w:color w:val="000000" w:themeColor="text1"/>
        </w:rPr>
        <w:t>keep</w:t>
      </w:r>
      <w:proofErr w:type="spellEnd"/>
      <w:r w:rsidR="00842C29" w:rsidRPr="008762D1">
        <w:rPr>
          <w:rFonts w:ascii="ITC Avant Garde" w:hAnsi="ITC Avant Garde"/>
          <w:color w:val="000000" w:themeColor="text1"/>
        </w:rPr>
        <w:t xml:space="preserve"> </w:t>
      </w:r>
      <w:proofErr w:type="spellStart"/>
      <w:r w:rsidR="00842C29" w:rsidRPr="008762D1">
        <w:rPr>
          <w:rFonts w:ascii="ITC Avant Garde" w:hAnsi="ITC Avant Garde"/>
          <w:color w:val="000000" w:themeColor="text1"/>
        </w:rPr>
        <w:t>alive</w:t>
      </w:r>
      <w:proofErr w:type="spellEnd"/>
      <w:r w:rsidR="00842C29" w:rsidRPr="008762D1">
        <w:rPr>
          <w:rFonts w:ascii="ITC Avant Garde" w:hAnsi="ITC Avant Garde"/>
          <w:color w:val="000000" w:themeColor="text1"/>
        </w:rPr>
        <w:t xml:space="preserve">” a través del encabezado </w:t>
      </w:r>
      <w:proofErr w:type="spellStart"/>
      <w:r w:rsidR="00842C29" w:rsidRPr="008762D1">
        <w:rPr>
          <w:rFonts w:ascii="ITC Avant Garde" w:hAnsi="ITC Avant Garde"/>
          <w:color w:val="000000" w:themeColor="text1"/>
        </w:rPr>
        <w:t>Options</w:t>
      </w:r>
      <w:proofErr w:type="spellEnd"/>
      <w:r w:rsidR="00842C29" w:rsidRPr="008762D1">
        <w:rPr>
          <w:rFonts w:ascii="ITC Avant Garde" w:hAnsi="ITC Avant Garde"/>
          <w:color w:val="000000" w:themeColor="text1"/>
        </w:rPr>
        <w:t xml:space="preserve"> el cual es consistente con lo establecido en el Acuerdo de Condiciones Técnicas Mínimas</w:t>
      </w:r>
      <w:r w:rsidR="00402F93" w:rsidRPr="008762D1">
        <w:rPr>
          <w:rFonts w:ascii="ITC Avant Garde" w:hAnsi="ITC Avant Garde"/>
          <w:color w:val="000000" w:themeColor="text1"/>
        </w:rPr>
        <w:t xml:space="preserve">. De igual forma se incluyeron las especificaciones respecto a la utilización del SDP para poner en espera una llamada, mismas que corresponden a lo establecido en el RFC 3264 </w:t>
      </w:r>
      <w:r w:rsidR="00842C29" w:rsidRPr="008762D1">
        <w:rPr>
          <w:rFonts w:ascii="ITC Avant Garde" w:hAnsi="ITC Avant Garde"/>
          <w:color w:val="000000" w:themeColor="text1"/>
        </w:rPr>
        <w:t xml:space="preserve"> por lo que resulta procedente su </w:t>
      </w:r>
      <w:r w:rsidR="002067CF" w:rsidRPr="008762D1">
        <w:rPr>
          <w:rFonts w:ascii="ITC Avant Garde" w:hAnsi="ITC Avant Garde"/>
          <w:color w:val="000000" w:themeColor="text1"/>
        </w:rPr>
        <w:t>aprobación</w:t>
      </w:r>
      <w:r w:rsidR="00842C29" w:rsidRPr="008762D1">
        <w:rPr>
          <w:rFonts w:ascii="ITC Avant Garde" w:hAnsi="ITC Avant Garde"/>
          <w:color w:val="000000" w:themeColor="text1"/>
        </w:rPr>
        <w:t>.</w:t>
      </w:r>
    </w:p>
    <w:p w14:paraId="3E3F1F77" w14:textId="77777777" w:rsidR="000F0B9F" w:rsidRPr="008762D1" w:rsidRDefault="00207ECE" w:rsidP="000F0B9F">
      <w:pPr>
        <w:pStyle w:val="IFT1"/>
        <w:numPr>
          <w:ilvl w:val="1"/>
          <w:numId w:val="9"/>
        </w:numPr>
        <w:tabs>
          <w:tab w:val="left" w:pos="284"/>
          <w:tab w:val="left" w:pos="567"/>
        </w:tabs>
        <w:spacing w:before="240" w:after="0"/>
        <w:ind w:left="284" w:hanging="284"/>
        <w:rPr>
          <w:rFonts w:cs="Arial"/>
          <w:b/>
          <w:color w:val="000000" w:themeColor="text1"/>
        </w:rPr>
      </w:pPr>
      <w:r w:rsidRPr="008762D1">
        <w:rPr>
          <w:rFonts w:cs="Arial"/>
          <w:b/>
          <w:color w:val="000000" w:themeColor="text1"/>
        </w:rPr>
        <w:t>ANEXO B. PRECIOS Y TARIFAS</w:t>
      </w:r>
    </w:p>
    <w:p w14:paraId="1EFA5EB2" w14:textId="77777777" w:rsidR="000F0B9F" w:rsidRPr="008762D1" w:rsidRDefault="00616B55" w:rsidP="000F0B9F">
      <w:pPr>
        <w:pStyle w:val="IFT1"/>
        <w:numPr>
          <w:ilvl w:val="2"/>
          <w:numId w:val="9"/>
        </w:numPr>
        <w:tabs>
          <w:tab w:val="left" w:pos="284"/>
          <w:tab w:val="left" w:pos="567"/>
        </w:tabs>
        <w:spacing w:before="240" w:after="0"/>
        <w:ind w:left="709" w:hanging="709"/>
        <w:rPr>
          <w:rFonts w:cs="Arial"/>
          <w:b/>
          <w:color w:val="000000" w:themeColor="text1"/>
        </w:rPr>
      </w:pPr>
      <w:r w:rsidRPr="008762D1">
        <w:rPr>
          <w:rFonts w:cs="Arial"/>
          <w:b/>
          <w:color w:val="000000" w:themeColor="text1"/>
        </w:rPr>
        <w:t>TARIFAS DEL AEP</w:t>
      </w:r>
      <w:r w:rsidR="0005687B" w:rsidRPr="008762D1">
        <w:rPr>
          <w:rFonts w:cs="Arial"/>
          <w:b/>
          <w:color w:val="000000" w:themeColor="text1"/>
        </w:rPr>
        <w:t>.</w:t>
      </w:r>
    </w:p>
    <w:p w14:paraId="0D832D7B" w14:textId="16A6FB10" w:rsidR="000B2350" w:rsidRPr="008762D1" w:rsidRDefault="00ED326E"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1D299E49" w14:textId="77777777" w:rsidR="000F0B9F" w:rsidRPr="008762D1" w:rsidRDefault="0062559B"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Se</w:t>
      </w:r>
      <w:r w:rsidR="002B3AC1" w:rsidRPr="008762D1">
        <w:rPr>
          <w:rFonts w:ascii="ITC Avant Garde" w:hAnsi="ITC Avant Garde"/>
          <w:color w:val="000000" w:themeColor="text1"/>
        </w:rPr>
        <w:t xml:space="preserve"> </w:t>
      </w:r>
      <w:r w:rsidR="001A0671" w:rsidRPr="008762D1">
        <w:rPr>
          <w:rFonts w:ascii="ITC Avant Garde" w:hAnsi="ITC Avant Garde"/>
          <w:color w:val="000000" w:themeColor="text1"/>
        </w:rPr>
        <w:t xml:space="preserve">observó que </w:t>
      </w:r>
      <w:r w:rsidR="00DB3944" w:rsidRPr="008762D1">
        <w:rPr>
          <w:rFonts w:ascii="ITC Avant Garde" w:hAnsi="ITC Avant Garde"/>
          <w:color w:val="000000" w:themeColor="text1"/>
        </w:rPr>
        <w:t xml:space="preserve">los términos planteados </w:t>
      </w:r>
      <w:r w:rsidR="001A0671" w:rsidRPr="008762D1">
        <w:rPr>
          <w:rFonts w:ascii="ITC Avant Garde" w:hAnsi="ITC Avant Garde"/>
          <w:color w:val="000000" w:themeColor="text1"/>
        </w:rPr>
        <w:t xml:space="preserve">en el </w:t>
      </w:r>
      <w:r w:rsidR="00BA0CBB" w:rsidRPr="008762D1">
        <w:rPr>
          <w:rFonts w:ascii="ITC Avant Garde" w:hAnsi="ITC Avant Garde"/>
          <w:color w:val="000000" w:themeColor="text1"/>
        </w:rPr>
        <w:t xml:space="preserve">numeral 1.3 del </w:t>
      </w:r>
      <w:r w:rsidR="00E41510" w:rsidRPr="008762D1">
        <w:rPr>
          <w:rFonts w:ascii="ITC Avant Garde" w:hAnsi="ITC Avant Garde"/>
          <w:color w:val="000000" w:themeColor="text1"/>
        </w:rPr>
        <w:t>Anexo B</w:t>
      </w:r>
      <w:r w:rsidR="00F2647E" w:rsidRPr="008762D1">
        <w:rPr>
          <w:rFonts w:ascii="ITC Avant Garde" w:hAnsi="ITC Avant Garde"/>
          <w:color w:val="000000" w:themeColor="text1"/>
        </w:rPr>
        <w:t xml:space="preserve"> </w:t>
      </w:r>
      <w:r w:rsidR="00BA0CBB" w:rsidRPr="008762D1">
        <w:rPr>
          <w:rFonts w:ascii="ITC Avant Garde" w:hAnsi="ITC Avant Garde"/>
          <w:color w:val="000000" w:themeColor="text1"/>
        </w:rPr>
        <w:t xml:space="preserve">de la Propuesta de CMI, </w:t>
      </w:r>
      <w:r w:rsidR="00DB3944" w:rsidRPr="008762D1">
        <w:rPr>
          <w:rFonts w:ascii="ITC Avant Garde" w:eastAsia="Times New Roman" w:hAnsi="ITC Avant Garde" w:cs="Arial"/>
          <w:iCs/>
          <w:color w:val="000000" w:themeColor="text1"/>
        </w:rPr>
        <w:t>no se apega</w:t>
      </w:r>
      <w:r w:rsidR="003C317C" w:rsidRPr="008762D1">
        <w:rPr>
          <w:rFonts w:ascii="ITC Avant Garde" w:eastAsia="Times New Roman" w:hAnsi="ITC Avant Garde" w:cs="Arial"/>
          <w:iCs/>
          <w:color w:val="000000" w:themeColor="text1"/>
        </w:rPr>
        <w:t>ba</w:t>
      </w:r>
      <w:r w:rsidR="00DB3944" w:rsidRPr="008762D1">
        <w:rPr>
          <w:rFonts w:ascii="ITC Avant Garde" w:eastAsia="Times New Roman" w:hAnsi="ITC Avant Garde" w:cs="Arial"/>
          <w:iCs/>
          <w:color w:val="000000" w:themeColor="text1"/>
        </w:rPr>
        <w:t xml:space="preserve">n al marco regulatorio vigente </w:t>
      </w:r>
      <w:r w:rsidR="00DB3944" w:rsidRPr="008762D1">
        <w:rPr>
          <w:rFonts w:ascii="ITC Avant Garde" w:hAnsi="ITC Avant Garde" w:cs="Arial"/>
          <w:color w:val="000000" w:themeColor="text1"/>
        </w:rPr>
        <w:t>ni a</w:t>
      </w:r>
      <w:r w:rsidR="00DB3944" w:rsidRPr="008762D1">
        <w:rPr>
          <w:rFonts w:ascii="ITC Avant Garde" w:hAnsi="ITC Avant Garde"/>
          <w:color w:val="000000" w:themeColor="text1"/>
        </w:rPr>
        <w:t xml:space="preserve"> los términos y condiciones </w:t>
      </w:r>
      <w:r w:rsidR="00DB3944" w:rsidRPr="008762D1">
        <w:rPr>
          <w:rFonts w:ascii="ITC Avant Garde" w:hAnsi="ITC Avant Garde"/>
          <w:bCs/>
          <w:color w:val="000000" w:themeColor="text1"/>
        </w:rPr>
        <w:t xml:space="preserve">establecidos en el CMI 2017 </w:t>
      </w:r>
      <w:r w:rsidR="00DB3944"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P/IFT/EXT/241116/40</w:t>
      </w:r>
      <w:r w:rsidR="00DB3944" w:rsidRPr="008762D1">
        <w:rPr>
          <w:rFonts w:ascii="ITC Avant Garde" w:hAnsi="ITC Avant Garde" w:cs="Arial"/>
          <w:bCs/>
          <w:color w:val="000000" w:themeColor="text1"/>
          <w:lang w:eastAsia="es-ES"/>
        </w:rPr>
        <w:t xml:space="preserve"> </w:t>
      </w:r>
      <w:r w:rsidR="00DB3944"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3C317C" w:rsidRPr="008762D1">
        <w:rPr>
          <w:rFonts w:ascii="ITC Avant Garde" w:hAnsi="ITC Avant Garde"/>
          <w:bCs/>
          <w:color w:val="000000" w:themeColor="text1"/>
        </w:rPr>
        <w:t>ación; el Instituto no consideró</w:t>
      </w:r>
      <w:r w:rsidR="00DB3944" w:rsidRPr="008762D1">
        <w:rPr>
          <w:rFonts w:ascii="ITC Avant Garde" w:hAnsi="ITC Avant Garde"/>
          <w:bCs/>
          <w:color w:val="000000" w:themeColor="text1"/>
        </w:rPr>
        <w:t xml:space="preserve"> procedente que en una revisión posterior del convenio marc</w:t>
      </w:r>
      <w:r w:rsidR="003C317C" w:rsidRPr="008762D1">
        <w:rPr>
          <w:rFonts w:ascii="ITC Avant Garde" w:hAnsi="ITC Avant Garde"/>
          <w:bCs/>
          <w:color w:val="000000" w:themeColor="text1"/>
        </w:rPr>
        <w:t>o de interconexión se plantearan</w:t>
      </w:r>
      <w:r w:rsidR="00DB3944" w:rsidRPr="008762D1">
        <w:rPr>
          <w:rFonts w:ascii="ITC Avant Garde" w:hAnsi="ITC Avant Garde"/>
          <w:bCs/>
          <w:color w:val="000000" w:themeColor="text1"/>
        </w:rPr>
        <w:t xml:space="preserve"> términos y condiciones menos favorables que los ya autorizados por el Instituto.</w:t>
      </w:r>
    </w:p>
    <w:p w14:paraId="79DAA470" w14:textId="77777777" w:rsidR="000F0B9F" w:rsidRPr="008762D1" w:rsidRDefault="00DB3944" w:rsidP="000F0B9F">
      <w:pPr>
        <w:autoSpaceDE w:val="0"/>
        <w:autoSpaceDN w:val="0"/>
        <w:adjustRightInd w:val="0"/>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Lo anterior, dado que </w:t>
      </w:r>
      <w:r w:rsidR="00BA0CBB" w:rsidRPr="008762D1">
        <w:rPr>
          <w:rFonts w:ascii="ITC Avant Garde" w:hAnsi="ITC Avant Garde"/>
          <w:color w:val="000000" w:themeColor="text1"/>
        </w:rPr>
        <w:t>Telmex estableció que en el momento en el que dejase de tener el carácter de AEP el CS se obliga</w:t>
      </w:r>
      <w:r w:rsidR="001F6C81" w:rsidRPr="008762D1">
        <w:rPr>
          <w:rFonts w:ascii="ITC Avant Garde" w:hAnsi="ITC Avant Garde"/>
          <w:color w:val="000000" w:themeColor="text1"/>
        </w:rPr>
        <w:t>ba</w:t>
      </w:r>
      <w:r w:rsidR="00BA0CBB" w:rsidRPr="008762D1">
        <w:rPr>
          <w:rFonts w:ascii="ITC Avant Garde" w:hAnsi="ITC Avant Garde"/>
          <w:color w:val="000000" w:themeColor="text1"/>
        </w:rPr>
        <w:t xml:space="preserve"> a negociar de manera inmediata la tarifa de terminación. </w:t>
      </w:r>
    </w:p>
    <w:p w14:paraId="0483FF1E" w14:textId="77777777" w:rsidR="000F0B9F" w:rsidRPr="008762D1" w:rsidRDefault="00633311" w:rsidP="000F0B9F">
      <w:pPr>
        <w:pStyle w:val="IFT1"/>
        <w:tabs>
          <w:tab w:val="left" w:pos="284"/>
          <w:tab w:val="left" w:pos="567"/>
        </w:tabs>
        <w:spacing w:before="240" w:after="0"/>
        <w:rPr>
          <w:color w:val="000000" w:themeColor="text1"/>
        </w:rPr>
      </w:pPr>
      <w:r w:rsidRPr="008762D1">
        <w:rPr>
          <w:rFonts w:cs="Arial"/>
          <w:color w:val="000000" w:themeColor="text1"/>
        </w:rPr>
        <w:t xml:space="preserve">Por lo anterior, </w:t>
      </w:r>
      <w:r w:rsidR="003C317C" w:rsidRPr="008762D1">
        <w:rPr>
          <w:color w:val="000000" w:themeColor="text1"/>
        </w:rPr>
        <w:t>se modificó</w:t>
      </w:r>
      <w:r w:rsidRPr="008762D1">
        <w:rPr>
          <w:color w:val="000000" w:themeColor="text1"/>
        </w:rPr>
        <w:t xml:space="preserve"> el numeral 1.3 del Anexo B de la Propuesta de CMI, </w:t>
      </w:r>
      <w:r w:rsidRPr="008762D1">
        <w:rPr>
          <w:rFonts w:cs="Arial"/>
          <w:color w:val="000000" w:themeColor="text1"/>
        </w:rPr>
        <w:t xml:space="preserve">a efecto </w:t>
      </w:r>
      <w:r w:rsidR="003B2734" w:rsidRPr="008762D1">
        <w:rPr>
          <w:rFonts w:cs="Arial"/>
          <w:color w:val="000000" w:themeColor="text1"/>
        </w:rPr>
        <w:t>de dar</w:t>
      </w:r>
      <w:r w:rsidRPr="008762D1">
        <w:rPr>
          <w:color w:val="000000" w:themeColor="text1"/>
        </w:rPr>
        <w:t xml:space="preserve"> cumplimiento a lo señalado en el artículo 131 de la LFTR ya que en el momento en que Telmex no cuente con carácter de AEP se debe</w:t>
      </w:r>
      <w:r w:rsidR="003B2734" w:rsidRPr="008762D1">
        <w:rPr>
          <w:color w:val="000000" w:themeColor="text1"/>
        </w:rPr>
        <w:t>rá</w:t>
      </w:r>
      <w:r w:rsidRPr="008762D1">
        <w:rPr>
          <w:color w:val="000000" w:themeColor="text1"/>
        </w:rPr>
        <w:t xml:space="preserve"> determinar </w:t>
      </w:r>
      <w:r w:rsidRPr="008762D1">
        <w:rPr>
          <w:color w:val="000000" w:themeColor="text1"/>
        </w:rPr>
        <w:lastRenderedPageBreak/>
        <w:t xml:space="preserve">si cuenta o no con poder sustancial en el mercado relevante de terminación de llamadas y mensajes cortos, y de ser así el Instituto </w:t>
      </w:r>
      <w:r w:rsidR="003B2734" w:rsidRPr="008762D1">
        <w:rPr>
          <w:color w:val="000000" w:themeColor="text1"/>
        </w:rPr>
        <w:t>resolvería</w:t>
      </w:r>
      <w:r w:rsidRPr="008762D1">
        <w:rPr>
          <w:color w:val="000000" w:themeColor="text1"/>
        </w:rPr>
        <w:t xml:space="preserve"> acerca de la tarifa de interconexión aplicable</w:t>
      </w:r>
      <w:r w:rsidR="003D6818" w:rsidRPr="008762D1">
        <w:rPr>
          <w:color w:val="000000" w:themeColor="text1"/>
        </w:rPr>
        <w:t>, en el siguiente sentido:</w:t>
      </w:r>
    </w:p>
    <w:p w14:paraId="10F17A68" w14:textId="1D19DEC5" w:rsidR="000F0B9F" w:rsidRPr="008762D1" w:rsidRDefault="003D6818" w:rsidP="000F0B9F">
      <w:pPr>
        <w:pStyle w:val="Prrafodelista"/>
        <w:numPr>
          <w:ilvl w:val="0"/>
          <w:numId w:val="17"/>
        </w:numPr>
        <w:spacing w:before="240" w:after="0"/>
        <w:ind w:right="567"/>
        <w:jc w:val="both"/>
        <w:rPr>
          <w:rFonts w:ascii="ITC Avant Garde" w:hAnsi="ITC Avant Garde"/>
          <w:b/>
          <w:color w:val="000000" w:themeColor="text1"/>
          <w:sz w:val="18"/>
          <w:szCs w:val="18"/>
        </w:rPr>
      </w:pPr>
      <w:r w:rsidRPr="008762D1">
        <w:rPr>
          <w:rFonts w:ascii="ITC Avant Garde" w:hAnsi="ITC Avant Garde"/>
          <w:b/>
          <w:color w:val="000000" w:themeColor="text1"/>
          <w:sz w:val="18"/>
          <w:szCs w:val="18"/>
        </w:rPr>
        <w:t>Servicios Conmutados de Interconexión.</w:t>
      </w:r>
    </w:p>
    <w:p w14:paraId="4572FB65" w14:textId="4834780F" w:rsidR="000F0B9F" w:rsidRPr="008762D1" w:rsidRDefault="003D6818" w:rsidP="000F0B9F">
      <w:pPr>
        <w:pStyle w:val="Prrafodelista"/>
        <w:numPr>
          <w:ilvl w:val="1"/>
          <w:numId w:val="17"/>
        </w:numPr>
        <w:spacing w:before="240" w:after="0"/>
        <w:ind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TELMEX pagará a </w:t>
      </w:r>
      <w:r w:rsidR="00A04FEF" w:rsidRPr="008762D1">
        <w:rPr>
          <w:rFonts w:cs="Arial"/>
          <w:b/>
          <w:color w:val="0000FF"/>
        </w:rPr>
        <w:t>(…)</w:t>
      </w:r>
      <w:r w:rsidR="00A04FEF">
        <w:rPr>
          <w:rFonts w:cs="Arial"/>
          <w:b/>
          <w:color w:val="0000FF"/>
        </w:rPr>
        <w:t xml:space="preserve"> </w:t>
      </w:r>
      <w:r w:rsidRPr="008762D1">
        <w:rPr>
          <w:rFonts w:ascii="ITC Avant Garde" w:hAnsi="ITC Avant Garde"/>
          <w:color w:val="000000" w:themeColor="text1"/>
          <w:sz w:val="18"/>
          <w:szCs w:val="18"/>
        </w:rPr>
        <w:t>la cantidad de $XXX (XXXX pesos M.N.), por minuto de interconexión por concepto de servicios de terminación del servicio local en usuarios fijos y móviles.</w:t>
      </w:r>
    </w:p>
    <w:p w14:paraId="49AEC492" w14:textId="08B05B02" w:rsidR="000F0B9F" w:rsidRPr="008762D1" w:rsidRDefault="003D6818" w:rsidP="000F0B9F">
      <w:pPr>
        <w:pStyle w:val="Prrafodelista"/>
        <w:numPr>
          <w:ilvl w:val="1"/>
          <w:numId w:val="17"/>
        </w:numPr>
        <w:spacing w:before="240" w:after="0"/>
        <w:ind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TELMEX pagará a </w:t>
      </w:r>
      <w:r w:rsidR="00A04FEF" w:rsidRPr="008762D1">
        <w:rPr>
          <w:rFonts w:cs="Arial"/>
          <w:b/>
          <w:color w:val="0000FF"/>
        </w:rPr>
        <w:t>(…)</w:t>
      </w:r>
      <w:r w:rsidR="00A04FEF">
        <w:rPr>
          <w:rFonts w:cs="Arial"/>
          <w:b/>
          <w:color w:val="0000FF"/>
        </w:rPr>
        <w:t xml:space="preserve"> </w:t>
      </w:r>
      <w:r w:rsidRPr="008762D1">
        <w:rPr>
          <w:rFonts w:ascii="ITC Avant Garde" w:hAnsi="ITC Avant Garde"/>
          <w:color w:val="000000" w:themeColor="text1"/>
          <w:sz w:val="18"/>
          <w:szCs w:val="18"/>
        </w:rPr>
        <w:t xml:space="preserve">la cantidad de $XXX (XXXX pesos M.N.), por minuto de interconexión por servicios de </w:t>
      </w:r>
      <w:proofErr w:type="spellStart"/>
      <w:r w:rsidRPr="008762D1">
        <w:rPr>
          <w:rFonts w:ascii="ITC Avant Garde" w:hAnsi="ITC Avant Garde"/>
          <w:color w:val="000000" w:themeColor="text1"/>
          <w:sz w:val="18"/>
          <w:szCs w:val="18"/>
        </w:rPr>
        <w:t>originación</w:t>
      </w:r>
      <w:proofErr w:type="spellEnd"/>
      <w:r w:rsidRPr="008762D1">
        <w:rPr>
          <w:rFonts w:ascii="ITC Avant Garde" w:hAnsi="ITC Avant Garde"/>
          <w:color w:val="000000" w:themeColor="text1"/>
          <w:sz w:val="18"/>
          <w:szCs w:val="18"/>
        </w:rPr>
        <w:t xml:space="preserve"> del Servicio Local en usuarios fijos y móviles.</w:t>
      </w:r>
    </w:p>
    <w:p w14:paraId="3D568843" w14:textId="7F7468E3" w:rsidR="000F0B9F" w:rsidRPr="008762D1" w:rsidRDefault="00A04FEF" w:rsidP="000F0B9F">
      <w:pPr>
        <w:pStyle w:val="Prrafodelista"/>
        <w:numPr>
          <w:ilvl w:val="1"/>
          <w:numId w:val="17"/>
        </w:numPr>
        <w:spacing w:before="240" w:after="0"/>
        <w:ind w:right="567"/>
        <w:jc w:val="both"/>
        <w:rPr>
          <w:rFonts w:ascii="ITC Avant Garde" w:hAnsi="ITC Avant Garde"/>
          <w:color w:val="000000" w:themeColor="text1"/>
          <w:sz w:val="18"/>
          <w:szCs w:val="18"/>
        </w:rPr>
      </w:pPr>
      <w:r w:rsidRPr="008762D1">
        <w:rPr>
          <w:rFonts w:cs="Arial"/>
          <w:b/>
          <w:color w:val="0000FF"/>
        </w:rPr>
        <w:t>(…)</w:t>
      </w:r>
      <w:r>
        <w:rPr>
          <w:rFonts w:cs="Arial"/>
          <w:b/>
          <w:color w:val="0000FF"/>
        </w:rPr>
        <w:t xml:space="preserve"> </w:t>
      </w:r>
      <w:r w:rsidR="00FA687D" w:rsidRPr="008762D1">
        <w:rPr>
          <w:rFonts w:ascii="ITC Avant Garde" w:hAnsi="ITC Avant Garde"/>
          <w:color w:val="000000" w:themeColor="text1"/>
          <w:sz w:val="18"/>
          <w:szCs w:val="18"/>
        </w:rPr>
        <w:t>no pagará por servicios de terminación del servicio local en usuarios fijos mientras TELMEX tenga el carácter de agente económico preponderante que le fue determinado por el Instituto</w:t>
      </w:r>
      <w:r w:rsidR="003D6818" w:rsidRPr="008762D1">
        <w:rPr>
          <w:rFonts w:ascii="ITC Avant Garde" w:hAnsi="ITC Avant Garde"/>
          <w:strike/>
          <w:color w:val="000000" w:themeColor="text1"/>
          <w:sz w:val="18"/>
          <w:szCs w:val="18"/>
        </w:rPr>
        <w:t>,</w:t>
      </w:r>
      <w:r w:rsidR="003D6818" w:rsidRPr="008762D1">
        <w:rPr>
          <w:rFonts w:ascii="ITC Avant Garde" w:hAnsi="ITC Avant Garde"/>
          <w:color w:val="000000" w:themeColor="text1"/>
          <w:sz w:val="18"/>
          <w:szCs w:val="18"/>
        </w:rPr>
        <w:t xml:space="preserve"> </w:t>
      </w:r>
      <w:r w:rsidR="003D6818" w:rsidRPr="008762D1">
        <w:rPr>
          <w:rFonts w:ascii="ITC Avant Garde" w:hAnsi="ITC Avant Garde"/>
          <w:strike/>
          <w:color w:val="000000" w:themeColor="text1"/>
          <w:sz w:val="18"/>
          <w:szCs w:val="18"/>
        </w:rPr>
        <w:t>sin embargo, en el momento en que TELMEX deje de tener tal carácter, ya sea porque así le sea notificado por el Instituto o por virtud de una resolución favorable que recaiga a los medios de impugnación interpuestos por ésta en contra de las resoluciones que así la hayan declarado, [ __________ ] se obliga a negociar de manera inmediata la tarifa de terminación.</w:t>
      </w:r>
      <w:r w:rsidR="003D6818" w:rsidRPr="008762D1">
        <w:rPr>
          <w:rFonts w:ascii="ITC Avant Garde" w:hAnsi="ITC Avant Garde"/>
          <w:color w:val="000000" w:themeColor="text1"/>
          <w:sz w:val="18"/>
          <w:szCs w:val="18"/>
        </w:rPr>
        <w:t xml:space="preserve"> </w:t>
      </w:r>
    </w:p>
    <w:p w14:paraId="3AF7D4B7" w14:textId="2413B978" w:rsidR="000F0B9F" w:rsidRPr="008762D1" w:rsidRDefault="00A04FEF" w:rsidP="000F0B9F">
      <w:pPr>
        <w:pStyle w:val="Prrafodelista"/>
        <w:numPr>
          <w:ilvl w:val="1"/>
          <w:numId w:val="17"/>
        </w:numPr>
        <w:spacing w:before="240" w:after="0"/>
        <w:ind w:right="567"/>
        <w:jc w:val="both"/>
        <w:rPr>
          <w:rFonts w:ascii="ITC Avant Garde" w:hAnsi="ITC Avant Garde"/>
          <w:color w:val="000000" w:themeColor="text1"/>
          <w:sz w:val="18"/>
          <w:szCs w:val="18"/>
        </w:rPr>
      </w:pPr>
      <w:r w:rsidRPr="008762D1">
        <w:rPr>
          <w:rFonts w:cs="Arial"/>
          <w:b/>
          <w:color w:val="0000FF"/>
        </w:rPr>
        <w:t>(…)</w:t>
      </w:r>
      <w:r>
        <w:rPr>
          <w:rFonts w:cs="Arial"/>
          <w:b/>
          <w:color w:val="0000FF"/>
        </w:rPr>
        <w:t xml:space="preserve"> </w:t>
      </w:r>
      <w:r w:rsidR="003D6818" w:rsidRPr="008762D1">
        <w:rPr>
          <w:rFonts w:ascii="ITC Avant Garde" w:hAnsi="ITC Avant Garde"/>
          <w:color w:val="000000" w:themeColor="text1"/>
          <w:sz w:val="18"/>
          <w:szCs w:val="18"/>
        </w:rPr>
        <w:t xml:space="preserve">pagará a TELMEX la cantidad de $XXX (XXXX pesos M.N.), por minuto de interconexión por servicios de </w:t>
      </w:r>
      <w:proofErr w:type="spellStart"/>
      <w:r w:rsidR="003D6818" w:rsidRPr="008762D1">
        <w:rPr>
          <w:rFonts w:ascii="ITC Avant Garde" w:hAnsi="ITC Avant Garde"/>
          <w:color w:val="000000" w:themeColor="text1"/>
          <w:sz w:val="18"/>
          <w:szCs w:val="18"/>
        </w:rPr>
        <w:t>originación</w:t>
      </w:r>
      <w:proofErr w:type="spellEnd"/>
      <w:r w:rsidR="003D6818" w:rsidRPr="008762D1">
        <w:rPr>
          <w:rFonts w:ascii="ITC Avant Garde" w:hAnsi="ITC Avant Garde"/>
          <w:color w:val="000000" w:themeColor="text1"/>
          <w:sz w:val="18"/>
          <w:szCs w:val="18"/>
        </w:rPr>
        <w:t xml:space="preserve"> del Servicio Local en usuarios fijos.”</w:t>
      </w:r>
    </w:p>
    <w:p w14:paraId="493DE24E" w14:textId="56DEC351" w:rsidR="005731D4" w:rsidRPr="008762D1" w:rsidRDefault="005731D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6282E59B" w14:textId="77777777" w:rsidR="000F0B9F" w:rsidRPr="008762D1" w:rsidRDefault="00AB1284"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el numeral </w:t>
      </w:r>
      <w:r w:rsidR="003B2734" w:rsidRPr="008762D1">
        <w:rPr>
          <w:color w:val="000000" w:themeColor="text1"/>
        </w:rPr>
        <w:t xml:space="preserve">el numeral 1.3 del Anexo B </w:t>
      </w:r>
      <w:r w:rsidRPr="008762D1">
        <w:rPr>
          <w:rFonts w:cs="Arial"/>
          <w:color w:val="000000" w:themeColor="text1"/>
          <w:lang w:eastAsia="es-MX"/>
        </w:rPr>
        <w:t>en los términos señalados en el Acuerdo.</w:t>
      </w:r>
    </w:p>
    <w:p w14:paraId="314AA503" w14:textId="50A84599" w:rsidR="005731D4" w:rsidRPr="008762D1" w:rsidRDefault="005731D4"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77385D1" w14:textId="77777777" w:rsidR="000F0B9F" w:rsidRPr="008762D1" w:rsidRDefault="00F900C9"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color w:val="000000" w:themeColor="text1"/>
        </w:rPr>
        <w:t>Telmex no realizó manifestaciones</w:t>
      </w:r>
      <w:r w:rsidR="00527D90" w:rsidRPr="008762D1">
        <w:rPr>
          <w:color w:val="000000" w:themeColor="text1"/>
        </w:rPr>
        <w:t xml:space="preserve"> al respecto</w:t>
      </w:r>
      <w:r w:rsidRPr="008762D1">
        <w:rPr>
          <w:color w:val="000000" w:themeColor="text1"/>
        </w:rPr>
        <w:t xml:space="preserve"> </w:t>
      </w:r>
      <w:r w:rsidR="00527D90" w:rsidRPr="008762D1">
        <w:rPr>
          <w:rFonts w:cs="Arial"/>
          <w:color w:val="000000" w:themeColor="text1"/>
          <w:lang w:eastAsia="es-MX"/>
        </w:rPr>
        <w:t>no obstante lo anterior, con el fin de precisar la manera de determinar las tarifas aplicables al Agente Económico Preponderante, se añade la siguiente redacción:</w:t>
      </w:r>
    </w:p>
    <w:p w14:paraId="13997E1D" w14:textId="77777777" w:rsidR="000F0B9F" w:rsidRPr="008762D1" w:rsidRDefault="00527D90" w:rsidP="000F0B9F">
      <w:pPr>
        <w:pStyle w:val="Prrafodelista"/>
        <w:spacing w:before="240" w:after="0"/>
        <w:ind w:left="92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13. De conformidad con la medida Trigésima Sexta de la Resolución de Preponderancia, las tarifas aplicables a los Servicios de Interconexión prestados por Telmex se determinarán de conformidad a lo establecido en el Título V, Capítulo III “Del Acceso y la Interconexión” de la Ley Federal de Telecomunicaciones y Radiodifusión, o con la legislación que la sustituya o modifique</w:t>
      </w:r>
      <w:r w:rsidR="00C363A9" w:rsidRPr="008762D1">
        <w:rPr>
          <w:rFonts w:ascii="ITC Avant Garde" w:hAnsi="ITC Avant Garde"/>
          <w:color w:val="000000" w:themeColor="text1"/>
          <w:sz w:val="18"/>
          <w:szCs w:val="18"/>
        </w:rPr>
        <w:t xml:space="preserve">; por lo que las tarifas que al efecto publique el Instituto de conformidad con el artículo 137 de la LFTR deberán ser </w:t>
      </w:r>
      <w:r w:rsidR="001421E7" w:rsidRPr="008762D1">
        <w:rPr>
          <w:rFonts w:ascii="ITC Avant Garde" w:hAnsi="ITC Avant Garde"/>
          <w:color w:val="000000" w:themeColor="text1"/>
          <w:sz w:val="18"/>
          <w:szCs w:val="18"/>
        </w:rPr>
        <w:t>aplica</w:t>
      </w:r>
      <w:r w:rsidR="00F10549" w:rsidRPr="008762D1">
        <w:rPr>
          <w:rFonts w:ascii="ITC Avant Garde" w:hAnsi="ITC Avant Garde"/>
          <w:color w:val="000000" w:themeColor="text1"/>
          <w:sz w:val="18"/>
          <w:szCs w:val="18"/>
        </w:rPr>
        <w:t>bles</w:t>
      </w:r>
      <w:r w:rsidR="001421E7" w:rsidRPr="008762D1">
        <w:rPr>
          <w:rFonts w:ascii="ITC Avant Garde" w:hAnsi="ITC Avant Garde"/>
          <w:color w:val="000000" w:themeColor="text1"/>
          <w:sz w:val="18"/>
          <w:szCs w:val="18"/>
        </w:rPr>
        <w:t xml:space="preserve"> </w:t>
      </w:r>
      <w:r w:rsidR="004C7B0D" w:rsidRPr="008762D1">
        <w:rPr>
          <w:rFonts w:ascii="ITC Avant Garde" w:hAnsi="ITC Avant Garde"/>
          <w:color w:val="000000" w:themeColor="text1"/>
          <w:sz w:val="18"/>
          <w:szCs w:val="18"/>
        </w:rPr>
        <w:t xml:space="preserve">a </w:t>
      </w:r>
      <w:r w:rsidR="001421E7" w:rsidRPr="008762D1">
        <w:rPr>
          <w:rFonts w:ascii="ITC Avant Garde" w:hAnsi="ITC Avant Garde"/>
          <w:color w:val="000000" w:themeColor="text1"/>
          <w:sz w:val="18"/>
          <w:szCs w:val="18"/>
        </w:rPr>
        <w:t>Telmex</w:t>
      </w:r>
      <w:r w:rsidR="00C363A9" w:rsidRPr="008762D1">
        <w:rPr>
          <w:rFonts w:ascii="ITC Avant Garde" w:hAnsi="ITC Avant Garde"/>
          <w:color w:val="000000" w:themeColor="text1"/>
          <w:sz w:val="18"/>
          <w:szCs w:val="18"/>
        </w:rPr>
        <w:t xml:space="preserve">.” </w:t>
      </w:r>
    </w:p>
    <w:p w14:paraId="32FD4752" w14:textId="77777777" w:rsidR="000F0B9F" w:rsidRPr="008762D1" w:rsidRDefault="00C363A9" w:rsidP="000F0B9F">
      <w:pPr>
        <w:pStyle w:val="IFT1"/>
        <w:tabs>
          <w:tab w:val="left" w:pos="284"/>
          <w:tab w:val="left" w:pos="567"/>
        </w:tabs>
        <w:spacing w:before="240" w:after="0"/>
        <w:rPr>
          <w:rFonts w:eastAsiaTheme="minorHAnsi" w:cstheme="minorBidi"/>
          <w:iCs w:val="0"/>
          <w:color w:val="000000" w:themeColor="text1"/>
        </w:rPr>
      </w:pPr>
      <w:r w:rsidRPr="008762D1">
        <w:rPr>
          <w:rFonts w:eastAsiaTheme="minorHAnsi" w:cstheme="minorBidi"/>
          <w:iCs w:val="0"/>
          <w:color w:val="000000" w:themeColor="text1"/>
        </w:rPr>
        <w:t>En este sentido, el artículo 137 de la LFTR, prevé para éste órgano regulador, la obligación de publicar las tarifas que hayan resultado de las metodologías de costos que estarán vigentes en el año calendario inmediato siguiente y en virtud de la Medida Trigésima Sexta deberán ser aplicables a los servicios de int</w:t>
      </w:r>
      <w:r w:rsidR="00EC23EA" w:rsidRPr="008762D1">
        <w:rPr>
          <w:rFonts w:eastAsiaTheme="minorHAnsi" w:cstheme="minorBidi"/>
          <w:iCs w:val="0"/>
          <w:color w:val="000000" w:themeColor="text1"/>
        </w:rPr>
        <w:t>erconexión provistos por el AEP</w:t>
      </w:r>
      <w:r w:rsidRPr="008762D1">
        <w:rPr>
          <w:rFonts w:eastAsiaTheme="minorHAnsi" w:cstheme="minorBidi"/>
          <w:iCs w:val="0"/>
          <w:color w:val="000000" w:themeColor="text1"/>
        </w:rPr>
        <w:t xml:space="preserve">. </w:t>
      </w:r>
    </w:p>
    <w:p w14:paraId="1B23FFFF" w14:textId="27DE1F23" w:rsidR="00F61231" w:rsidRPr="00A04FEF" w:rsidRDefault="00F61231" w:rsidP="000F0B9F">
      <w:pPr>
        <w:pStyle w:val="IFT1"/>
        <w:numPr>
          <w:ilvl w:val="2"/>
          <w:numId w:val="9"/>
        </w:numPr>
        <w:tabs>
          <w:tab w:val="left" w:pos="284"/>
          <w:tab w:val="left" w:pos="567"/>
        </w:tabs>
        <w:spacing w:before="240" w:after="0"/>
        <w:ind w:left="709" w:hanging="709"/>
        <w:rPr>
          <w:rFonts w:cs="Arial"/>
          <w:b/>
          <w:color w:val="000000" w:themeColor="text1"/>
        </w:rPr>
      </w:pPr>
      <w:r w:rsidRPr="008762D1">
        <w:rPr>
          <w:rFonts w:cs="Arial"/>
          <w:b/>
          <w:color w:val="000000" w:themeColor="text1"/>
        </w:rPr>
        <w:lastRenderedPageBreak/>
        <w:t>PUERTOS DE ACCESO.</w:t>
      </w:r>
    </w:p>
    <w:p w14:paraId="4F20A77D" w14:textId="77777777" w:rsidR="00F61231" w:rsidRPr="008762D1" w:rsidRDefault="00F61231"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294B5282" w14:textId="77777777" w:rsidR="000F0B9F" w:rsidRPr="008762D1" w:rsidRDefault="00F61231"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 xml:space="preserve">En diversos numerales del Anexo B de la Propuesta de CMI se </w:t>
      </w:r>
      <w:r w:rsidRPr="008762D1">
        <w:rPr>
          <w:rFonts w:ascii="ITC Avant Garde" w:hAnsi="ITC Avant Garde" w:cs="Arial"/>
          <w:color w:val="000000" w:themeColor="text1"/>
        </w:rPr>
        <w:t>observó que Telmex consideró el pago de prestaciones por gastos de instalación y renta mensual correspondientes al servicio de puertos de acceso</w:t>
      </w:r>
      <w:r w:rsidRPr="008762D1">
        <w:rPr>
          <w:rFonts w:ascii="ITC Avant Garde" w:eastAsia="Times New Roman" w:hAnsi="ITC Avant Garde" w:cs="Arial"/>
          <w:iCs/>
          <w:color w:val="000000" w:themeColor="text1"/>
        </w:rPr>
        <w:t xml:space="preserve">, lo cual no se apegaba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Pr="008762D1">
        <w:rPr>
          <w:rFonts w:ascii="ITC Avant Garde" w:hAnsi="ITC Avant Garde" w:cs="Arial"/>
          <w:bCs/>
          <w:color w:val="000000" w:themeColor="text1"/>
          <w:lang w:eastAsia="es-ES"/>
        </w:rPr>
        <w:t xml:space="preserve">P/IFT/EXT/241116/40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regulación; el Instituto no consideró procedente que en una revisión posterior del convenio marco de interconexión se plantearan términos y condiciones menos favorables que los ya autorizados por el Instituto.</w:t>
      </w:r>
    </w:p>
    <w:p w14:paraId="2D55026E" w14:textId="77777777" w:rsidR="000F0B9F" w:rsidRPr="008762D1" w:rsidRDefault="00F61231"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Es así que se modificó el numeral 5.4 </w:t>
      </w:r>
      <w:r w:rsidR="00F43CA2" w:rsidRPr="008762D1">
        <w:rPr>
          <w:rFonts w:ascii="ITC Avant Garde" w:hAnsi="ITC Avant Garde"/>
          <w:color w:val="000000" w:themeColor="text1"/>
        </w:rPr>
        <w:t xml:space="preserve">del CMI modificado </w:t>
      </w:r>
      <w:r w:rsidRPr="008762D1">
        <w:rPr>
          <w:rFonts w:ascii="ITC Avant Garde" w:hAnsi="ITC Avant Garde"/>
          <w:color w:val="000000" w:themeColor="text1"/>
        </w:rPr>
        <w:t>y se eliminó cualquier referencia a lo largo del CMI relacionada al cobro de puertos de interconexión, lo anterior de acuerdo a lo establecido en el artículo 131 inciso a) de la LFTR.</w:t>
      </w:r>
    </w:p>
    <w:p w14:paraId="5971E3EB" w14:textId="52AF6225" w:rsidR="00F61231" w:rsidRPr="008762D1" w:rsidRDefault="00F6123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Pr="008762D1">
        <w:rPr>
          <w:rFonts w:ascii="ITC Avant Garde" w:hAnsi="ITC Avant Garde"/>
          <w:b/>
          <w:color w:val="000000" w:themeColor="text1"/>
          <w:sz w:val="18"/>
          <w:szCs w:val="18"/>
        </w:rPr>
        <w:t>5.4 PUERTOS DE ACCESO.</w:t>
      </w:r>
    </w:p>
    <w:p w14:paraId="01419673" w14:textId="77777777" w:rsidR="00F61231" w:rsidRPr="008762D1" w:rsidRDefault="00F6123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u w:val="single"/>
        </w:rPr>
        <w:t>Los Puertos de Acceso no generarán un costo adicional pues éste ya está incluido en la tarifa de los Servicios Conmutados de Interconexión</w:t>
      </w:r>
      <w:r w:rsidRPr="008762D1">
        <w:rPr>
          <w:rFonts w:ascii="ITC Avant Garde" w:hAnsi="ITC Avant Garde"/>
          <w:color w:val="000000" w:themeColor="text1"/>
          <w:sz w:val="18"/>
          <w:szCs w:val="18"/>
        </w:rPr>
        <w:t>.</w:t>
      </w:r>
    </w:p>
    <w:p w14:paraId="580644CC" w14:textId="77777777" w:rsidR="000F0B9F" w:rsidRPr="008762D1" w:rsidRDefault="00F6123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4E04A6A5" w14:textId="55F2A08E" w:rsidR="00F61231" w:rsidRPr="008762D1" w:rsidRDefault="00F61231"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64BF0189" w14:textId="77777777" w:rsidR="000F0B9F" w:rsidRPr="008762D1" w:rsidRDefault="00F61231" w:rsidP="000F0B9F">
      <w:pPr>
        <w:pStyle w:val="IFT1"/>
        <w:spacing w:before="240" w:after="0"/>
        <w:ind w:right="567"/>
        <w:rPr>
          <w:color w:val="000000" w:themeColor="text1"/>
        </w:rPr>
      </w:pPr>
      <w:r w:rsidRPr="008762D1">
        <w:rPr>
          <w:color w:val="000000" w:themeColor="text1"/>
        </w:rPr>
        <w:t>Anexo B</w:t>
      </w:r>
    </w:p>
    <w:p w14:paraId="1A1C12AF" w14:textId="038A1E74" w:rsidR="00F61231" w:rsidRPr="008762D1" w:rsidRDefault="00F6123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420588A9" w14:textId="77777777" w:rsidR="00F61231" w:rsidRPr="008762D1" w:rsidRDefault="00F61231"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5.2 Contraprestaciones por Servicios de Puertos de Interconexión Local.</w:t>
      </w:r>
    </w:p>
    <w:p w14:paraId="69588100" w14:textId="77777777" w:rsidR="00F61231" w:rsidRPr="008762D1" w:rsidRDefault="00F61231"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5.2.1 Cuando una de las Partes solicite a la otra un Puerto de Interconexión (E1),  ésta pagará por cada Puerto de Interconexión (E1) las siguientes tarifas:</w:t>
      </w:r>
    </w:p>
    <w:p w14:paraId="0359D364" w14:textId="77777777" w:rsidR="00F61231" w:rsidRPr="008762D1" w:rsidRDefault="00F61231"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5.2.1.1 Gastos de Instalación: $xxx (xxx  pesos M.N.).</w:t>
      </w:r>
    </w:p>
    <w:p w14:paraId="280F5682" w14:textId="77777777" w:rsidR="00F61231" w:rsidRPr="008762D1" w:rsidRDefault="00F61231"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5.2.1.2 Renta Mensual: $xxx (</w:t>
      </w:r>
      <w:proofErr w:type="spellStart"/>
      <w:r w:rsidRPr="008762D1">
        <w:rPr>
          <w:rFonts w:ascii="ITC Avant Garde" w:hAnsi="ITC Avant Garde"/>
          <w:strike/>
          <w:color w:val="000000" w:themeColor="text1"/>
          <w:sz w:val="18"/>
          <w:szCs w:val="18"/>
        </w:rPr>
        <w:t>xxxxx</w:t>
      </w:r>
      <w:proofErr w:type="spellEnd"/>
      <w:r w:rsidRPr="008762D1">
        <w:rPr>
          <w:rFonts w:ascii="ITC Avant Garde" w:hAnsi="ITC Avant Garde"/>
          <w:strike/>
          <w:color w:val="000000" w:themeColor="text1"/>
          <w:sz w:val="18"/>
          <w:szCs w:val="18"/>
        </w:rPr>
        <w:t xml:space="preserve"> pesos M.N.).</w:t>
      </w:r>
    </w:p>
    <w:p w14:paraId="48286F4A" w14:textId="77777777" w:rsidR="000F0B9F" w:rsidRPr="008762D1" w:rsidRDefault="00F6123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40E39CE3" w14:textId="0EAAC3DB" w:rsidR="00F61231" w:rsidRPr="008762D1" w:rsidRDefault="00F6123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77069145" w14:textId="77777777" w:rsidR="00F61231" w:rsidRPr="008762D1" w:rsidRDefault="00F61231"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lastRenderedPageBreak/>
        <w:t>9.1.4</w:t>
      </w:r>
      <w:r w:rsidRPr="008762D1">
        <w:rPr>
          <w:rFonts w:ascii="ITC Avant Garde" w:hAnsi="ITC Avant Garde"/>
          <w:strike/>
          <w:color w:val="000000" w:themeColor="text1"/>
          <w:sz w:val="18"/>
          <w:szCs w:val="18"/>
        </w:rPr>
        <w:tab/>
        <w:t xml:space="preserve">Contraprestaciones por Servicios de Puertos de Interconexión Local (Ethernet de 1 </w:t>
      </w:r>
      <w:proofErr w:type="spellStart"/>
      <w:r w:rsidRPr="008762D1">
        <w:rPr>
          <w:rFonts w:ascii="ITC Avant Garde" w:hAnsi="ITC Avant Garde"/>
          <w:strike/>
          <w:color w:val="000000" w:themeColor="text1"/>
          <w:sz w:val="18"/>
          <w:szCs w:val="18"/>
        </w:rPr>
        <w:t>Gbps</w:t>
      </w:r>
      <w:proofErr w:type="spellEnd"/>
      <w:r w:rsidRPr="008762D1">
        <w:rPr>
          <w:rFonts w:ascii="ITC Avant Garde" w:hAnsi="ITC Avant Garde"/>
          <w:strike/>
          <w:color w:val="000000" w:themeColor="text1"/>
          <w:sz w:val="18"/>
          <w:szCs w:val="18"/>
        </w:rPr>
        <w:t>).</w:t>
      </w:r>
    </w:p>
    <w:p w14:paraId="51FFF7FB" w14:textId="77777777" w:rsidR="00F61231" w:rsidRPr="008762D1" w:rsidRDefault="00F61231"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9.1.4.1</w:t>
      </w:r>
      <w:r w:rsidRPr="008762D1">
        <w:rPr>
          <w:rFonts w:ascii="ITC Avant Garde" w:hAnsi="ITC Avant Garde"/>
          <w:strike/>
          <w:color w:val="000000" w:themeColor="text1"/>
          <w:sz w:val="18"/>
          <w:szCs w:val="18"/>
        </w:rPr>
        <w:tab/>
        <w:t xml:space="preserve">Cuando una de las Partes solicite a la otra un Puerto de Interconexión (Ethernet de 1 </w:t>
      </w:r>
      <w:proofErr w:type="spellStart"/>
      <w:r w:rsidRPr="008762D1">
        <w:rPr>
          <w:rFonts w:ascii="ITC Avant Garde" w:hAnsi="ITC Avant Garde"/>
          <w:strike/>
          <w:color w:val="000000" w:themeColor="text1"/>
          <w:sz w:val="18"/>
          <w:szCs w:val="18"/>
        </w:rPr>
        <w:t>Gbps</w:t>
      </w:r>
      <w:proofErr w:type="spellEnd"/>
      <w:r w:rsidRPr="008762D1">
        <w:rPr>
          <w:rFonts w:ascii="ITC Avant Garde" w:hAnsi="ITC Avant Garde"/>
          <w:strike/>
          <w:color w:val="000000" w:themeColor="text1"/>
          <w:sz w:val="18"/>
          <w:szCs w:val="18"/>
        </w:rPr>
        <w:t xml:space="preserve">),  ésta pagará por cada Puerto de Interconexión (Ethernet de 1 </w:t>
      </w:r>
      <w:proofErr w:type="spellStart"/>
      <w:r w:rsidRPr="008762D1">
        <w:rPr>
          <w:rFonts w:ascii="ITC Avant Garde" w:hAnsi="ITC Avant Garde"/>
          <w:strike/>
          <w:color w:val="000000" w:themeColor="text1"/>
          <w:sz w:val="18"/>
          <w:szCs w:val="18"/>
        </w:rPr>
        <w:t>Gbps</w:t>
      </w:r>
      <w:proofErr w:type="spellEnd"/>
      <w:r w:rsidRPr="008762D1">
        <w:rPr>
          <w:rFonts w:ascii="ITC Avant Garde" w:hAnsi="ITC Avant Garde"/>
          <w:strike/>
          <w:color w:val="000000" w:themeColor="text1"/>
          <w:sz w:val="18"/>
          <w:szCs w:val="18"/>
        </w:rPr>
        <w:t>) las siguientes tarifas:</w:t>
      </w:r>
    </w:p>
    <w:p w14:paraId="63D93205" w14:textId="77777777" w:rsidR="00F61231" w:rsidRPr="008762D1" w:rsidRDefault="00F61231"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9.1.4.2</w:t>
      </w:r>
      <w:r w:rsidRPr="008762D1">
        <w:rPr>
          <w:rFonts w:ascii="ITC Avant Garde" w:hAnsi="ITC Avant Garde"/>
          <w:strike/>
          <w:color w:val="000000" w:themeColor="text1"/>
          <w:sz w:val="18"/>
          <w:szCs w:val="18"/>
        </w:rPr>
        <w:tab/>
        <w:t>Gastos de Instalación: $xxx (xxx  pesos M.N.).</w:t>
      </w:r>
    </w:p>
    <w:p w14:paraId="1E60E1DB" w14:textId="77777777" w:rsidR="00F61231" w:rsidRPr="008762D1" w:rsidRDefault="00F61231" w:rsidP="000F0B9F">
      <w:pPr>
        <w:spacing w:before="240" w:after="0" w:line="276" w:lineRule="auto"/>
        <w:ind w:left="567" w:right="567"/>
        <w:jc w:val="both"/>
        <w:rPr>
          <w:rFonts w:ascii="ITC Avant Garde" w:hAnsi="ITC Avant Garde"/>
          <w:strike/>
          <w:color w:val="000000" w:themeColor="text1"/>
          <w:sz w:val="18"/>
          <w:szCs w:val="18"/>
        </w:rPr>
      </w:pPr>
      <w:r w:rsidRPr="008762D1">
        <w:rPr>
          <w:rFonts w:ascii="ITC Avant Garde" w:hAnsi="ITC Avant Garde"/>
          <w:strike/>
          <w:color w:val="000000" w:themeColor="text1"/>
          <w:sz w:val="18"/>
          <w:szCs w:val="18"/>
        </w:rPr>
        <w:t>9.1.4.3</w:t>
      </w:r>
      <w:r w:rsidRPr="008762D1">
        <w:rPr>
          <w:rFonts w:ascii="ITC Avant Garde" w:hAnsi="ITC Avant Garde"/>
          <w:strike/>
          <w:color w:val="000000" w:themeColor="text1"/>
          <w:sz w:val="18"/>
          <w:szCs w:val="18"/>
        </w:rPr>
        <w:tab/>
        <w:t>Renta Mensual: $xxx (</w:t>
      </w:r>
      <w:proofErr w:type="spellStart"/>
      <w:r w:rsidRPr="008762D1">
        <w:rPr>
          <w:rFonts w:ascii="ITC Avant Garde" w:hAnsi="ITC Avant Garde"/>
          <w:strike/>
          <w:color w:val="000000" w:themeColor="text1"/>
          <w:sz w:val="18"/>
          <w:szCs w:val="18"/>
        </w:rPr>
        <w:t>xxxxx</w:t>
      </w:r>
      <w:proofErr w:type="spellEnd"/>
      <w:r w:rsidRPr="008762D1">
        <w:rPr>
          <w:rFonts w:ascii="ITC Avant Garde" w:hAnsi="ITC Avant Garde"/>
          <w:strike/>
          <w:color w:val="000000" w:themeColor="text1"/>
          <w:sz w:val="18"/>
          <w:szCs w:val="18"/>
        </w:rPr>
        <w:t xml:space="preserve"> pesos M.N.).</w:t>
      </w:r>
    </w:p>
    <w:p w14:paraId="55DEC2D7" w14:textId="77777777" w:rsidR="000F0B9F" w:rsidRPr="008762D1" w:rsidRDefault="00F61231"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5B868F98" w14:textId="524255B4" w:rsidR="00F61231" w:rsidRPr="008762D1" w:rsidRDefault="00F6123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4B6746E1" w14:textId="77777777" w:rsidR="000F0B9F" w:rsidRPr="008762D1" w:rsidRDefault="00F61231" w:rsidP="000F0B9F">
      <w:pPr>
        <w:spacing w:before="240" w:after="0" w:line="276" w:lineRule="auto"/>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Telmex presentó el </w:t>
      </w:r>
      <w:r w:rsidRPr="008762D1">
        <w:rPr>
          <w:rFonts w:ascii="ITC Avant Garde" w:hAnsi="ITC Avant Garde" w:cs="Arial"/>
          <w:color w:val="000000" w:themeColor="text1"/>
        </w:rPr>
        <w:t>numeral 5.4 de la Cláusula Quinta y el Anexo B en los términos señalados en el Acuerdo.</w:t>
      </w:r>
    </w:p>
    <w:p w14:paraId="78778BC9" w14:textId="5DE593E3" w:rsidR="00F61231" w:rsidRPr="008762D1" w:rsidRDefault="00F61231"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7C734227" w14:textId="2C2DC313" w:rsidR="00F61231" w:rsidRPr="008762D1" w:rsidRDefault="005E31B6"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En virtud de que Telmex no realizó manifestaciones </w:t>
      </w:r>
      <w:r w:rsidR="007B01BF" w:rsidRPr="008762D1">
        <w:rPr>
          <w:rFonts w:ascii="ITC Avant Garde" w:hAnsi="ITC Avant Garde"/>
          <w:color w:val="000000" w:themeColor="text1"/>
        </w:rPr>
        <w:t>sobre la modificación realizada por el Instituto</w:t>
      </w:r>
      <w:r w:rsidRPr="008762D1">
        <w:rPr>
          <w:rFonts w:ascii="ITC Avant Garde" w:hAnsi="ITC Avant Garde"/>
          <w:color w:val="000000" w:themeColor="text1"/>
        </w:rPr>
        <w:t xml:space="preserve"> se considera </w:t>
      </w:r>
      <w:r w:rsidR="00F61231" w:rsidRPr="008762D1">
        <w:rPr>
          <w:rFonts w:ascii="ITC Avant Garde" w:hAnsi="ITC Avant Garde"/>
          <w:color w:val="000000" w:themeColor="text1"/>
        </w:rPr>
        <w:t xml:space="preserve"> procedente </w:t>
      </w:r>
      <w:r w:rsidR="007B01BF" w:rsidRPr="008762D1">
        <w:rPr>
          <w:rFonts w:ascii="ITC Avant Garde" w:hAnsi="ITC Avant Garde"/>
          <w:color w:val="000000" w:themeColor="text1"/>
        </w:rPr>
        <w:t>la</w:t>
      </w:r>
      <w:r w:rsidR="00F61231" w:rsidRPr="008762D1">
        <w:rPr>
          <w:rFonts w:ascii="ITC Avant Garde" w:hAnsi="ITC Avant Garde"/>
          <w:color w:val="000000" w:themeColor="text1"/>
        </w:rPr>
        <w:t xml:space="preserve"> </w:t>
      </w:r>
      <w:r w:rsidR="00032967" w:rsidRPr="008762D1">
        <w:rPr>
          <w:rFonts w:ascii="ITC Avant Garde" w:hAnsi="ITC Avant Garde" w:cs="Arial"/>
          <w:color w:val="000000" w:themeColor="text1"/>
          <w:lang w:eastAsia="es-MX"/>
        </w:rPr>
        <w:t>aprobación</w:t>
      </w:r>
      <w:r w:rsidR="007B01BF" w:rsidRPr="008762D1">
        <w:rPr>
          <w:rFonts w:ascii="ITC Avant Garde" w:hAnsi="ITC Avant Garde" w:cs="Arial"/>
          <w:color w:val="000000" w:themeColor="text1"/>
          <w:lang w:eastAsia="es-MX"/>
        </w:rPr>
        <w:t xml:space="preserve"> del numeral 5.4 de la Cláusula Quinta y el Anexo B en los términos señalados</w:t>
      </w:r>
      <w:r w:rsidR="00F61231" w:rsidRPr="008762D1">
        <w:rPr>
          <w:rFonts w:ascii="ITC Avant Garde" w:hAnsi="ITC Avant Garde"/>
          <w:color w:val="000000" w:themeColor="text1"/>
        </w:rPr>
        <w:t>.</w:t>
      </w:r>
    </w:p>
    <w:p w14:paraId="0F0D3CD3" w14:textId="77777777" w:rsidR="000F0B9F" w:rsidRPr="008762D1" w:rsidRDefault="00C10100" w:rsidP="000F0B9F">
      <w:pPr>
        <w:pStyle w:val="IFT1"/>
        <w:numPr>
          <w:ilvl w:val="1"/>
          <w:numId w:val="9"/>
        </w:numPr>
        <w:tabs>
          <w:tab w:val="left" w:pos="284"/>
          <w:tab w:val="left" w:pos="567"/>
        </w:tabs>
        <w:spacing w:before="240" w:after="0"/>
        <w:ind w:left="284" w:hanging="284"/>
        <w:rPr>
          <w:rFonts w:cs="Arial"/>
          <w:b/>
          <w:color w:val="000000" w:themeColor="text1"/>
        </w:rPr>
      </w:pPr>
      <w:r w:rsidRPr="008762D1">
        <w:rPr>
          <w:rFonts w:cs="Arial"/>
          <w:b/>
          <w:color w:val="000000" w:themeColor="text1"/>
        </w:rPr>
        <w:t>ANEXO C. FOR</w:t>
      </w:r>
      <w:r w:rsidR="0090033D" w:rsidRPr="008762D1">
        <w:rPr>
          <w:rFonts w:cs="Arial"/>
          <w:b/>
          <w:color w:val="000000" w:themeColor="text1"/>
        </w:rPr>
        <w:t>MATO DE SOLICITUDES.</w:t>
      </w:r>
    </w:p>
    <w:p w14:paraId="6877F020" w14:textId="77777777" w:rsidR="000F0B9F" w:rsidRPr="008762D1" w:rsidRDefault="00E91878" w:rsidP="000F0B9F">
      <w:pPr>
        <w:pStyle w:val="IFT1"/>
        <w:tabs>
          <w:tab w:val="left" w:pos="284"/>
          <w:tab w:val="left" w:pos="567"/>
        </w:tabs>
        <w:spacing w:before="240" w:after="0"/>
        <w:rPr>
          <w:rFonts w:cs="Arial"/>
          <w:color w:val="000000" w:themeColor="text1"/>
        </w:rPr>
      </w:pPr>
      <w:r w:rsidRPr="008762D1">
        <w:rPr>
          <w:rFonts w:cs="Arial"/>
          <w:color w:val="000000" w:themeColor="text1"/>
        </w:rPr>
        <w:t>Respecto al Anexo C</w:t>
      </w:r>
      <w:r w:rsidR="00DD3F9B" w:rsidRPr="008762D1">
        <w:rPr>
          <w:rFonts w:cs="Arial"/>
          <w:color w:val="000000" w:themeColor="text1"/>
        </w:rPr>
        <w:t xml:space="preserve"> se observa que dicho anexo versa sobre el formato que se utilizará para rea</w:t>
      </w:r>
      <w:r w:rsidR="00971668" w:rsidRPr="008762D1">
        <w:rPr>
          <w:rFonts w:cs="Arial"/>
          <w:color w:val="000000" w:themeColor="text1"/>
        </w:rPr>
        <w:t>l</w:t>
      </w:r>
      <w:r w:rsidR="00B874EE" w:rsidRPr="008762D1">
        <w:rPr>
          <w:rFonts w:cs="Arial"/>
          <w:color w:val="000000" w:themeColor="text1"/>
        </w:rPr>
        <w:t>izar la solicitud de servicios</w:t>
      </w:r>
      <w:r w:rsidR="00E1216C" w:rsidRPr="008762D1">
        <w:rPr>
          <w:rFonts w:cs="Arial"/>
          <w:color w:val="000000" w:themeColor="text1"/>
        </w:rPr>
        <w:t xml:space="preserve">, de lo cual se observa que </w:t>
      </w:r>
      <w:r w:rsidR="00C64F8E" w:rsidRPr="008762D1">
        <w:rPr>
          <w:rFonts w:cs="Arial"/>
          <w:color w:val="000000" w:themeColor="text1"/>
        </w:rPr>
        <w:t>el mismo no considera lo establecido en la Resolución de módulo de interconexión del SEG</w:t>
      </w:r>
      <w:r w:rsidR="00C64F8E" w:rsidRPr="008762D1">
        <w:rPr>
          <w:rStyle w:val="Refdenotaalpie"/>
          <w:rFonts w:cs="Arial"/>
          <w:color w:val="000000" w:themeColor="text1"/>
        </w:rPr>
        <w:footnoteReference w:id="7"/>
      </w:r>
      <w:r w:rsidR="00C64F8E" w:rsidRPr="008762D1">
        <w:rPr>
          <w:rFonts w:cs="Arial"/>
          <w:color w:val="000000" w:themeColor="text1"/>
        </w:rPr>
        <w:t xml:space="preserve"> al no contener los </w:t>
      </w:r>
      <w:r w:rsidR="00E1216C" w:rsidRPr="008762D1">
        <w:rPr>
          <w:rFonts w:cs="Arial"/>
          <w:color w:val="000000" w:themeColor="text1"/>
        </w:rPr>
        <w:t xml:space="preserve">parámetros necesarios para </w:t>
      </w:r>
      <w:r w:rsidR="00C64F8E" w:rsidRPr="008762D1">
        <w:rPr>
          <w:rFonts w:cs="Arial"/>
          <w:color w:val="000000" w:themeColor="text1"/>
        </w:rPr>
        <w:t xml:space="preserve">cada uno </w:t>
      </w:r>
      <w:r w:rsidR="007D3293" w:rsidRPr="008762D1">
        <w:rPr>
          <w:rFonts w:cs="Arial"/>
          <w:color w:val="000000" w:themeColor="text1"/>
        </w:rPr>
        <w:t>d</w:t>
      </w:r>
      <w:r w:rsidR="00C64F8E" w:rsidRPr="008762D1">
        <w:rPr>
          <w:rFonts w:cs="Arial"/>
          <w:color w:val="000000" w:themeColor="text1"/>
        </w:rPr>
        <w:t>e los servicios de interconexión</w:t>
      </w:r>
      <w:r w:rsidR="00E1216C" w:rsidRPr="008762D1">
        <w:rPr>
          <w:rFonts w:cs="Arial"/>
          <w:color w:val="000000" w:themeColor="text1"/>
        </w:rPr>
        <w:t xml:space="preserve"> </w:t>
      </w:r>
      <w:r w:rsidR="00C64F8E" w:rsidRPr="008762D1">
        <w:rPr>
          <w:rFonts w:cs="Arial"/>
          <w:color w:val="000000" w:themeColor="text1"/>
        </w:rPr>
        <w:t>por lo que a efecto de que los formatos de solicitudes de servicio se apeguen al marco regulatorio se modifican dichos formatos contenidos en el Anexo C, las modificaciones no se transcriben, sin embargo forman parte del Anexo que acompaña al presente documento.</w:t>
      </w:r>
    </w:p>
    <w:p w14:paraId="3371F01C" w14:textId="77777777" w:rsidR="000F0B9F" w:rsidRPr="008762D1" w:rsidRDefault="00C10100" w:rsidP="000F0B9F">
      <w:pPr>
        <w:pStyle w:val="IFT1"/>
        <w:numPr>
          <w:ilvl w:val="1"/>
          <w:numId w:val="9"/>
        </w:numPr>
        <w:tabs>
          <w:tab w:val="left" w:pos="284"/>
          <w:tab w:val="left" w:pos="567"/>
        </w:tabs>
        <w:spacing w:before="240" w:after="0"/>
        <w:ind w:left="284" w:hanging="284"/>
        <w:rPr>
          <w:rFonts w:cs="Arial"/>
          <w:b/>
          <w:color w:val="000000" w:themeColor="text1"/>
        </w:rPr>
      </w:pPr>
      <w:r w:rsidRPr="008762D1">
        <w:rPr>
          <w:rFonts w:cs="Arial"/>
          <w:b/>
          <w:color w:val="000000" w:themeColor="text1"/>
        </w:rPr>
        <w:t>ANEXO D. FORMATO DE FACTURACIÓN.</w:t>
      </w:r>
    </w:p>
    <w:p w14:paraId="0634043D" w14:textId="77777777" w:rsidR="000F0B9F" w:rsidRPr="008762D1" w:rsidRDefault="001A0671" w:rsidP="000F0B9F">
      <w:pPr>
        <w:autoSpaceDE w:val="0"/>
        <w:autoSpaceDN w:val="0"/>
        <w:adjustRightInd w:val="0"/>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Respecto al Anexo D,</w:t>
      </w:r>
      <w:r w:rsidR="00026811" w:rsidRPr="008762D1">
        <w:rPr>
          <w:rFonts w:ascii="ITC Avant Garde" w:hAnsi="ITC Avant Garde" w:cs="Arial"/>
          <w:snapToGrid w:val="0"/>
          <w:color w:val="000000" w:themeColor="text1"/>
        </w:rPr>
        <w:t xml:space="preserve"> se observa que el mismo versa sobre el formato de facturación en el cual se establece la información que debe contener la factura que Telmex proporcionará al CS por los servicios de interconexión proporcionados.</w:t>
      </w:r>
    </w:p>
    <w:p w14:paraId="704E0EF4" w14:textId="77777777" w:rsidR="000F0B9F" w:rsidRPr="008762D1" w:rsidRDefault="00026811" w:rsidP="000F0B9F">
      <w:pPr>
        <w:autoSpaceDE w:val="0"/>
        <w:autoSpaceDN w:val="0"/>
        <w:adjustRightInd w:val="0"/>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lastRenderedPageBreak/>
        <w:t>Adicionalmente, dicho Anexo contiene la metodología para la aclaración de consu</w:t>
      </w:r>
      <w:r w:rsidR="00887720" w:rsidRPr="008762D1">
        <w:rPr>
          <w:rFonts w:ascii="ITC Avant Garde" w:hAnsi="ITC Avant Garde" w:cs="Arial"/>
          <w:snapToGrid w:val="0"/>
          <w:color w:val="000000" w:themeColor="text1"/>
        </w:rPr>
        <w:t>mos no reconocidos (objeciones).</w:t>
      </w:r>
      <w:r w:rsidR="007B5901" w:rsidRPr="008762D1">
        <w:rPr>
          <w:rFonts w:ascii="ITC Avant Garde" w:hAnsi="ITC Avant Garde" w:cs="Arial"/>
          <w:snapToGrid w:val="0"/>
          <w:color w:val="000000" w:themeColor="text1"/>
        </w:rPr>
        <w:t xml:space="preserve">Cabe mencionar que el Anexo D se presenta en </w:t>
      </w:r>
      <w:r w:rsidR="00887720" w:rsidRPr="008762D1">
        <w:rPr>
          <w:rFonts w:ascii="ITC Avant Garde" w:hAnsi="ITC Avant Garde" w:cs="Arial"/>
          <w:snapToGrid w:val="0"/>
          <w:color w:val="000000" w:themeColor="text1"/>
        </w:rPr>
        <w:t>los mismos términos del CMI 2017</w:t>
      </w:r>
      <w:r w:rsidR="00F94C13" w:rsidRPr="008762D1">
        <w:rPr>
          <w:rFonts w:ascii="ITC Avant Garde" w:hAnsi="ITC Avant Garde" w:cs="Arial"/>
          <w:snapToGrid w:val="0"/>
          <w:color w:val="000000" w:themeColor="text1"/>
        </w:rPr>
        <w:t>.</w:t>
      </w:r>
    </w:p>
    <w:p w14:paraId="0F7EE1FD" w14:textId="0A8B73E7" w:rsidR="00C6485C" w:rsidRPr="00A04FEF" w:rsidRDefault="003C26E8" w:rsidP="000F0B9F">
      <w:pPr>
        <w:autoSpaceDE w:val="0"/>
        <w:autoSpaceDN w:val="0"/>
        <w:adjustRightInd w:val="0"/>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snapToGrid w:val="0"/>
          <w:color w:val="000000" w:themeColor="text1"/>
        </w:rPr>
        <w:t xml:space="preserve">De lo anterior, se señala que dicho Anexo otorga certeza a los CS sobre el formato de conciliación de </w:t>
      </w:r>
      <w:r w:rsidR="006E423B" w:rsidRPr="008762D1">
        <w:rPr>
          <w:rFonts w:ascii="ITC Avant Garde" w:hAnsi="ITC Avant Garde" w:cs="Arial"/>
          <w:snapToGrid w:val="0"/>
          <w:color w:val="000000" w:themeColor="text1"/>
        </w:rPr>
        <w:t>facturas</w:t>
      </w:r>
      <w:r w:rsidRPr="008762D1">
        <w:rPr>
          <w:rFonts w:ascii="ITC Avant Garde" w:hAnsi="ITC Avant Garde" w:cs="Arial"/>
          <w:snapToGrid w:val="0"/>
          <w:color w:val="000000" w:themeColor="text1"/>
        </w:rPr>
        <w:t xml:space="preserve"> así como sobre los campos que conforman la factura y el significado de los mismos, por lo que se considera procedente su </w:t>
      </w:r>
      <w:r w:rsidR="00032967" w:rsidRPr="008762D1">
        <w:rPr>
          <w:rFonts w:ascii="ITC Avant Garde" w:hAnsi="ITC Avant Garde" w:cs="Arial"/>
          <w:color w:val="000000" w:themeColor="text1"/>
          <w:lang w:eastAsia="es-MX"/>
        </w:rPr>
        <w:t>aprobación</w:t>
      </w:r>
      <w:r w:rsidRPr="008762D1">
        <w:rPr>
          <w:rFonts w:ascii="ITC Avant Garde" w:hAnsi="ITC Avant Garde" w:cs="Arial"/>
          <w:snapToGrid w:val="0"/>
          <w:color w:val="000000" w:themeColor="text1"/>
        </w:rPr>
        <w:t>.</w:t>
      </w:r>
    </w:p>
    <w:p w14:paraId="1824B319" w14:textId="77777777" w:rsidR="000F0B9F" w:rsidRPr="008762D1" w:rsidRDefault="0097264B" w:rsidP="000F0B9F">
      <w:pPr>
        <w:pStyle w:val="IFT1"/>
        <w:numPr>
          <w:ilvl w:val="1"/>
          <w:numId w:val="9"/>
        </w:numPr>
        <w:tabs>
          <w:tab w:val="left" w:pos="284"/>
          <w:tab w:val="left" w:pos="567"/>
        </w:tabs>
        <w:spacing w:before="240" w:after="0"/>
        <w:ind w:left="284" w:hanging="284"/>
        <w:rPr>
          <w:rFonts w:cs="Arial"/>
          <w:b/>
          <w:color w:val="000000" w:themeColor="text1"/>
        </w:rPr>
      </w:pPr>
      <w:r w:rsidRPr="008762D1">
        <w:rPr>
          <w:rFonts w:cs="Arial"/>
          <w:b/>
          <w:color w:val="000000" w:themeColor="text1"/>
        </w:rPr>
        <w:t>ANEXO E. CALIDAD.</w:t>
      </w:r>
    </w:p>
    <w:p w14:paraId="7A9D7904" w14:textId="77777777" w:rsidR="000F0B9F" w:rsidRPr="008762D1" w:rsidRDefault="0008309F"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Del análisis del numeral 1</w:t>
      </w:r>
      <w:r w:rsidR="00B67337" w:rsidRPr="008762D1">
        <w:rPr>
          <w:rFonts w:ascii="ITC Avant Garde" w:eastAsia="Times New Roman" w:hAnsi="ITC Avant Garde" w:cs="Arial"/>
          <w:iCs/>
          <w:color w:val="000000" w:themeColor="text1"/>
        </w:rPr>
        <w:t>.1.1 Pronóstico de servicios de</w:t>
      </w:r>
      <w:r w:rsidRPr="008762D1">
        <w:rPr>
          <w:rFonts w:ascii="ITC Avant Garde" w:eastAsia="Times New Roman" w:hAnsi="ITC Avant Garde" w:cs="Arial"/>
          <w:iCs/>
          <w:color w:val="000000" w:themeColor="text1"/>
        </w:rPr>
        <w:t>l</w:t>
      </w:r>
      <w:r w:rsidR="00B67337" w:rsidRPr="008762D1">
        <w:rPr>
          <w:rFonts w:ascii="ITC Avant Garde" w:eastAsia="Times New Roman" w:hAnsi="ITC Avant Garde" w:cs="Arial"/>
          <w:iCs/>
          <w:color w:val="000000" w:themeColor="text1"/>
        </w:rPr>
        <w:t xml:space="preserve"> Anexo E de l</w:t>
      </w:r>
      <w:r w:rsidRPr="008762D1">
        <w:rPr>
          <w:rFonts w:ascii="ITC Avant Garde" w:eastAsia="Times New Roman" w:hAnsi="ITC Avant Garde" w:cs="Arial"/>
          <w:iCs/>
          <w:color w:val="000000" w:themeColor="text1"/>
        </w:rPr>
        <w:t>a Propuesta de CMI se observó que los términos planteados no se apega</w:t>
      </w:r>
      <w:r w:rsidR="00FD62AA"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F86A43" w:rsidRPr="008762D1">
        <w:rPr>
          <w:rFonts w:ascii="ITC Avant Garde" w:hAnsi="ITC Avant Garde" w:cs="Arial"/>
          <w:bCs/>
          <w:color w:val="000000" w:themeColor="text1"/>
          <w:lang w:eastAsia="es-ES"/>
        </w:rPr>
        <w:t xml:space="preserve">P/IFT/EXT/241116/40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FD62AA"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mar</w:t>
      </w:r>
      <w:r w:rsidR="00FD62AA" w:rsidRPr="008762D1">
        <w:rPr>
          <w:rFonts w:ascii="ITC Avant Garde" w:hAnsi="ITC Avant Garde"/>
          <w:bCs/>
          <w:color w:val="000000" w:themeColor="text1"/>
        </w:rPr>
        <w:t>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244E83D1" w14:textId="77777777" w:rsidR="000F0B9F" w:rsidRPr="008762D1" w:rsidRDefault="00F31937"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 xml:space="preserve">De lo anterior, </w:t>
      </w:r>
      <w:r w:rsidR="00633311" w:rsidRPr="008762D1">
        <w:rPr>
          <w:rFonts w:ascii="ITC Avant Garde" w:hAnsi="ITC Avant Garde"/>
          <w:color w:val="000000" w:themeColor="text1"/>
        </w:rPr>
        <w:t xml:space="preserve">es necesario que los plazos de entrega, los plazos de atención de fallas, los niveles de disponibilidad del servicio, entre otros, sean consistentes con lo establecido en las Medidas Fijas </w:t>
      </w:r>
      <w:r w:rsidR="00FE3CE0" w:rsidRPr="008762D1">
        <w:rPr>
          <w:rFonts w:ascii="ITC Avant Garde" w:hAnsi="ITC Avant Garde"/>
          <w:color w:val="000000" w:themeColor="text1"/>
        </w:rPr>
        <w:t>se modificó</w:t>
      </w:r>
      <w:r w:rsidR="00633311" w:rsidRPr="008762D1">
        <w:rPr>
          <w:rFonts w:ascii="ITC Avant Garde" w:hAnsi="ITC Avant Garde"/>
          <w:color w:val="000000" w:themeColor="text1"/>
        </w:rPr>
        <w:t xml:space="preserve"> el Anexo E del CMI a efecto de dar estrict</w:t>
      </w:r>
      <w:r w:rsidR="00FE3CE0" w:rsidRPr="008762D1">
        <w:rPr>
          <w:rFonts w:ascii="ITC Avant Garde" w:hAnsi="ITC Avant Garde"/>
          <w:color w:val="000000" w:themeColor="text1"/>
        </w:rPr>
        <w:t>o cumplimiento a la regulación, en el siguiente sentido:</w:t>
      </w:r>
    </w:p>
    <w:p w14:paraId="3F751A47" w14:textId="314AF966" w:rsidR="006B2EB1" w:rsidRPr="008762D1" w:rsidRDefault="00FE3CE0" w:rsidP="000F0B9F">
      <w:pPr>
        <w:spacing w:before="240" w:after="0"/>
        <w:ind w:left="709"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6B2EB1" w:rsidRPr="008762D1">
        <w:rPr>
          <w:rFonts w:ascii="ITC Avant Garde" w:hAnsi="ITC Avant Garde"/>
          <w:color w:val="000000" w:themeColor="text1"/>
          <w:sz w:val="18"/>
          <w:szCs w:val="18"/>
        </w:rPr>
        <w:t xml:space="preserve">(…) </w:t>
      </w:r>
    </w:p>
    <w:p w14:paraId="2A629B9D" w14:textId="27ADBFFD" w:rsidR="00233A05" w:rsidRPr="00A04FEF" w:rsidRDefault="00FE3CE0" w:rsidP="00A04FEF">
      <w:pPr>
        <w:spacing w:before="240" w:after="0"/>
        <w:ind w:left="709"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Una vez ratificado el pronóstico, los servicios solicitados serán obligatorios para ambas partes, en los plazos máximos para entrega de servicios de la tabla 3 siguiente. Sin embargo, </w:t>
      </w:r>
      <w:r w:rsidR="00A04FEF" w:rsidRPr="008762D1">
        <w:rPr>
          <w:rFonts w:cs="Arial"/>
          <w:b/>
          <w:color w:val="0000FF"/>
        </w:rPr>
        <w:t>(…)</w:t>
      </w:r>
      <w:r w:rsidR="00A04FEF">
        <w:rPr>
          <w:rFonts w:cs="Arial"/>
          <w:b/>
          <w:color w:val="0000FF"/>
        </w:rPr>
        <w:t xml:space="preserve"> </w:t>
      </w:r>
      <w:r w:rsidRPr="008762D1">
        <w:rPr>
          <w:rFonts w:ascii="ITC Avant Garde" w:hAnsi="ITC Avant Garde"/>
          <w:color w:val="000000" w:themeColor="text1"/>
          <w:sz w:val="18"/>
          <w:szCs w:val="18"/>
        </w:rPr>
        <w:t xml:space="preserve">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w:t>
      </w:r>
      <w:r w:rsidR="00A04FEF" w:rsidRPr="008762D1">
        <w:rPr>
          <w:rFonts w:cs="Arial"/>
          <w:b/>
          <w:color w:val="0000FF"/>
        </w:rPr>
        <w:t>(…)</w:t>
      </w:r>
      <w:r w:rsidR="00A04FEF">
        <w:rPr>
          <w:rFonts w:cs="Arial"/>
          <w:b/>
          <w:color w:val="0000FF"/>
        </w:rPr>
        <w:t xml:space="preserve"> </w:t>
      </w:r>
      <w:r w:rsidRPr="008762D1">
        <w:rPr>
          <w:rFonts w:ascii="ITC Avant Garde" w:hAnsi="ITC Avant Garde"/>
          <w:color w:val="000000" w:themeColor="text1"/>
          <w:sz w:val="18"/>
          <w:szCs w:val="18"/>
        </w:rPr>
        <w:t xml:space="preserve">deberá pagar a Telmex los Gastos de Instalación correspondientes, en términos de lo estipulado en el Anexo “B”. </w:t>
      </w:r>
    </w:p>
    <w:p w14:paraId="453F873B" w14:textId="07BCC321" w:rsidR="00FE3CE0" w:rsidRPr="00A04FEF" w:rsidRDefault="00FE3CE0" w:rsidP="00A04FEF">
      <w:pPr>
        <w:pStyle w:val="Textosinformato"/>
        <w:spacing w:before="24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Tabla 3</w:t>
      </w:r>
    </w:p>
    <w:tbl>
      <w:tblPr>
        <w:tblStyle w:val="Cuadrculadetablaclara"/>
        <w:tblW w:w="0" w:type="auto"/>
        <w:jc w:val="center"/>
        <w:tblLook w:val="01E0" w:firstRow="1" w:lastRow="1" w:firstColumn="1" w:lastColumn="1" w:noHBand="0" w:noVBand="0"/>
        <w:tblCaption w:val="Tabla"/>
        <w:tblDescription w:val="Anexo “B”"/>
      </w:tblPr>
      <w:tblGrid>
        <w:gridCol w:w="3402"/>
        <w:gridCol w:w="1843"/>
        <w:gridCol w:w="1984"/>
      </w:tblGrid>
      <w:tr w:rsidR="008762D1" w:rsidRPr="008762D1" w14:paraId="39BA9EC6" w14:textId="77777777" w:rsidTr="00036A6A">
        <w:trPr>
          <w:tblHeader/>
          <w:jc w:val="center"/>
        </w:trPr>
        <w:tc>
          <w:tcPr>
            <w:tcW w:w="3402" w:type="dxa"/>
          </w:tcPr>
          <w:p w14:paraId="3133AC04" w14:textId="77777777" w:rsidR="00FE3CE0" w:rsidRPr="008762D1" w:rsidRDefault="00FE3CE0" w:rsidP="00233A05">
            <w:pPr>
              <w:pStyle w:val="Textosinformato"/>
              <w:jc w:val="both"/>
              <w:rPr>
                <w:rFonts w:ascii="ITC Avant Garde" w:hAnsi="ITC Avant Garde" w:cs="Arial"/>
                <w:color w:val="000000" w:themeColor="text1"/>
                <w:sz w:val="18"/>
                <w:szCs w:val="18"/>
              </w:rPr>
            </w:pPr>
          </w:p>
        </w:tc>
        <w:tc>
          <w:tcPr>
            <w:tcW w:w="1843" w:type="dxa"/>
          </w:tcPr>
          <w:p w14:paraId="265AD72B" w14:textId="77777777" w:rsidR="00FE3CE0" w:rsidRPr="008762D1"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Facilidad nueva</w:t>
            </w:r>
          </w:p>
          <w:p w14:paraId="05FD4B91" w14:textId="77777777" w:rsidR="00FE3CE0" w:rsidRPr="008762D1" w:rsidRDefault="00FE3CE0" w:rsidP="00233A05">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(Días hábiles)</w:t>
            </w:r>
          </w:p>
        </w:tc>
        <w:tc>
          <w:tcPr>
            <w:tcW w:w="1984" w:type="dxa"/>
          </w:tcPr>
          <w:p w14:paraId="61489CF7" w14:textId="77777777" w:rsidR="00FE3CE0" w:rsidRPr="008762D1"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Facilidad existente (ampliación días hábiles)</w:t>
            </w:r>
          </w:p>
        </w:tc>
      </w:tr>
      <w:tr w:rsidR="008762D1" w:rsidRPr="008762D1" w14:paraId="4E067252" w14:textId="77777777" w:rsidTr="00036A6A">
        <w:trPr>
          <w:jc w:val="center"/>
        </w:trPr>
        <w:tc>
          <w:tcPr>
            <w:tcW w:w="3402" w:type="dxa"/>
          </w:tcPr>
          <w:p w14:paraId="4769F31D" w14:textId="77777777" w:rsidR="00FE3CE0" w:rsidRPr="008762D1" w:rsidRDefault="00FE3CE0" w:rsidP="00233A05">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Señalización (PAUSI-MX)</w:t>
            </w:r>
          </w:p>
        </w:tc>
        <w:tc>
          <w:tcPr>
            <w:tcW w:w="1843" w:type="dxa"/>
          </w:tcPr>
          <w:p w14:paraId="46A06990" w14:textId="77777777" w:rsidR="00FE3CE0" w:rsidRPr="008762D1" w:rsidRDefault="00B157D7" w:rsidP="00233A05">
            <w:pPr>
              <w:pStyle w:val="Textosinformato"/>
              <w:jc w:val="center"/>
              <w:rPr>
                <w:rFonts w:ascii="ITC Avant Garde" w:hAnsi="ITC Avant Garde" w:cs="Arial"/>
                <w:color w:val="000000" w:themeColor="text1"/>
                <w:sz w:val="18"/>
                <w:szCs w:val="18"/>
              </w:rPr>
            </w:pPr>
            <w:r w:rsidRPr="008762D1">
              <w:rPr>
                <w:rFonts w:ascii="ITC Avant Garde" w:hAnsi="ITC Avant Garde" w:cs="Arial"/>
                <w:strike/>
                <w:color w:val="000000" w:themeColor="text1"/>
                <w:sz w:val="18"/>
                <w:szCs w:val="18"/>
              </w:rPr>
              <w:t>2</w:t>
            </w:r>
            <w:r w:rsidR="00FE3CE0" w:rsidRPr="008762D1">
              <w:rPr>
                <w:rFonts w:ascii="ITC Avant Garde" w:hAnsi="ITC Avant Garde" w:cs="Arial"/>
                <w:color w:val="000000" w:themeColor="text1"/>
                <w:sz w:val="18"/>
                <w:szCs w:val="18"/>
                <w:u w:val="single"/>
              </w:rPr>
              <w:t>1</w:t>
            </w:r>
            <w:r w:rsidR="00FE3CE0" w:rsidRPr="008762D1">
              <w:rPr>
                <w:rFonts w:ascii="ITC Avant Garde" w:hAnsi="ITC Avant Garde" w:cs="Arial"/>
                <w:color w:val="000000" w:themeColor="text1"/>
                <w:sz w:val="18"/>
                <w:szCs w:val="18"/>
              </w:rPr>
              <w:t>5</w:t>
            </w:r>
          </w:p>
        </w:tc>
        <w:tc>
          <w:tcPr>
            <w:tcW w:w="1984" w:type="dxa"/>
          </w:tcPr>
          <w:p w14:paraId="12FEA4D6" w14:textId="77777777" w:rsidR="00FE3CE0" w:rsidRPr="008762D1"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7</w:t>
            </w:r>
          </w:p>
        </w:tc>
      </w:tr>
      <w:tr w:rsidR="008762D1" w:rsidRPr="008762D1" w14:paraId="10E28209" w14:textId="77777777" w:rsidTr="00036A6A">
        <w:trPr>
          <w:jc w:val="center"/>
        </w:trPr>
        <w:tc>
          <w:tcPr>
            <w:tcW w:w="3402" w:type="dxa"/>
          </w:tcPr>
          <w:p w14:paraId="685C7FB0" w14:textId="77777777" w:rsidR="00FE3CE0" w:rsidRPr="008762D1" w:rsidRDefault="00FE3CE0" w:rsidP="00233A05">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Señalización IP</w:t>
            </w:r>
          </w:p>
        </w:tc>
        <w:tc>
          <w:tcPr>
            <w:tcW w:w="1843" w:type="dxa"/>
          </w:tcPr>
          <w:p w14:paraId="3F9B8337" w14:textId="77777777" w:rsidR="00FE3CE0" w:rsidRPr="008762D1" w:rsidRDefault="00B157D7" w:rsidP="00233A05">
            <w:pPr>
              <w:pStyle w:val="Textosinformato"/>
              <w:jc w:val="center"/>
              <w:rPr>
                <w:rFonts w:ascii="ITC Avant Garde" w:hAnsi="ITC Avant Garde" w:cs="Arial"/>
                <w:color w:val="000000" w:themeColor="text1"/>
                <w:sz w:val="18"/>
                <w:szCs w:val="18"/>
              </w:rPr>
            </w:pPr>
            <w:r w:rsidRPr="008762D1">
              <w:rPr>
                <w:rFonts w:ascii="ITC Avant Garde" w:hAnsi="ITC Avant Garde" w:cs="Arial"/>
                <w:strike/>
                <w:color w:val="000000" w:themeColor="text1"/>
                <w:sz w:val="18"/>
                <w:szCs w:val="18"/>
              </w:rPr>
              <w:t>2</w:t>
            </w:r>
            <w:r w:rsidR="00FE3CE0" w:rsidRPr="008762D1">
              <w:rPr>
                <w:rFonts w:ascii="ITC Avant Garde" w:hAnsi="ITC Avant Garde" w:cs="Arial"/>
                <w:color w:val="000000" w:themeColor="text1"/>
                <w:sz w:val="18"/>
                <w:szCs w:val="18"/>
                <w:u w:val="single"/>
              </w:rPr>
              <w:t>1</w:t>
            </w:r>
            <w:r w:rsidR="00FE3CE0" w:rsidRPr="008762D1">
              <w:rPr>
                <w:rFonts w:ascii="ITC Avant Garde" w:hAnsi="ITC Avant Garde" w:cs="Arial"/>
                <w:color w:val="000000" w:themeColor="text1"/>
                <w:sz w:val="18"/>
                <w:szCs w:val="18"/>
              </w:rPr>
              <w:t>5</w:t>
            </w:r>
          </w:p>
        </w:tc>
        <w:tc>
          <w:tcPr>
            <w:tcW w:w="1984" w:type="dxa"/>
          </w:tcPr>
          <w:p w14:paraId="4C05AD9F" w14:textId="77777777" w:rsidR="00FE3CE0" w:rsidRPr="008762D1"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7</w:t>
            </w:r>
          </w:p>
        </w:tc>
      </w:tr>
      <w:tr w:rsidR="008762D1" w:rsidRPr="008762D1" w14:paraId="0958D6FF" w14:textId="77777777" w:rsidTr="00036A6A">
        <w:trPr>
          <w:jc w:val="center"/>
        </w:trPr>
        <w:tc>
          <w:tcPr>
            <w:tcW w:w="3402" w:type="dxa"/>
          </w:tcPr>
          <w:p w14:paraId="5CA33B81" w14:textId="77777777" w:rsidR="00FE3CE0" w:rsidRPr="008762D1" w:rsidRDefault="00FE3CE0" w:rsidP="00233A05">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Puerto de Acceso</w:t>
            </w:r>
          </w:p>
        </w:tc>
        <w:tc>
          <w:tcPr>
            <w:tcW w:w="1843" w:type="dxa"/>
          </w:tcPr>
          <w:p w14:paraId="7D2EB274" w14:textId="77777777" w:rsidR="00FE3CE0" w:rsidRPr="008762D1" w:rsidRDefault="00B157D7" w:rsidP="00233A05">
            <w:pPr>
              <w:pStyle w:val="Textosinformato"/>
              <w:jc w:val="center"/>
              <w:rPr>
                <w:rFonts w:ascii="ITC Avant Garde" w:hAnsi="ITC Avant Garde" w:cs="Arial"/>
                <w:color w:val="000000" w:themeColor="text1"/>
                <w:sz w:val="18"/>
                <w:szCs w:val="18"/>
              </w:rPr>
            </w:pPr>
            <w:r w:rsidRPr="008762D1">
              <w:rPr>
                <w:rFonts w:ascii="ITC Avant Garde" w:hAnsi="ITC Avant Garde" w:cs="Arial"/>
                <w:strike/>
                <w:color w:val="000000" w:themeColor="text1"/>
                <w:sz w:val="18"/>
                <w:szCs w:val="18"/>
              </w:rPr>
              <w:t>2</w:t>
            </w:r>
            <w:r w:rsidR="00FE3CE0" w:rsidRPr="008762D1">
              <w:rPr>
                <w:rFonts w:ascii="ITC Avant Garde" w:hAnsi="ITC Avant Garde" w:cs="Arial"/>
                <w:color w:val="000000" w:themeColor="text1"/>
                <w:sz w:val="18"/>
                <w:szCs w:val="18"/>
                <w:u w:val="single"/>
              </w:rPr>
              <w:t>1</w:t>
            </w:r>
            <w:r w:rsidR="00FE3CE0" w:rsidRPr="008762D1">
              <w:rPr>
                <w:rFonts w:ascii="ITC Avant Garde" w:hAnsi="ITC Avant Garde" w:cs="Arial"/>
                <w:color w:val="000000" w:themeColor="text1"/>
                <w:sz w:val="18"/>
                <w:szCs w:val="18"/>
              </w:rPr>
              <w:t>5</w:t>
            </w:r>
          </w:p>
        </w:tc>
        <w:tc>
          <w:tcPr>
            <w:tcW w:w="1984" w:type="dxa"/>
          </w:tcPr>
          <w:p w14:paraId="0381103E" w14:textId="77777777" w:rsidR="00FE3CE0" w:rsidRPr="008762D1"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7</w:t>
            </w:r>
          </w:p>
        </w:tc>
      </w:tr>
      <w:tr w:rsidR="008762D1" w:rsidRPr="008762D1" w14:paraId="581B70FA" w14:textId="77777777" w:rsidTr="00036A6A">
        <w:trPr>
          <w:jc w:val="center"/>
        </w:trPr>
        <w:tc>
          <w:tcPr>
            <w:tcW w:w="3402" w:type="dxa"/>
          </w:tcPr>
          <w:p w14:paraId="303C9827" w14:textId="77777777" w:rsidR="00FE3CE0" w:rsidRPr="008762D1" w:rsidRDefault="00FE3CE0" w:rsidP="00233A05">
            <w:pPr>
              <w:pStyle w:val="Textosinformato"/>
              <w:jc w:val="both"/>
              <w:rPr>
                <w:rFonts w:ascii="ITC Avant Garde" w:hAnsi="ITC Avant Garde" w:cs="Arial"/>
                <w:color w:val="000000" w:themeColor="text1"/>
                <w:sz w:val="18"/>
                <w:szCs w:val="18"/>
              </w:rPr>
            </w:pPr>
            <w:proofErr w:type="spellStart"/>
            <w:r w:rsidRPr="008762D1">
              <w:rPr>
                <w:rFonts w:ascii="ITC Avant Garde" w:hAnsi="ITC Avant Garde" w:cs="Arial"/>
                <w:color w:val="000000" w:themeColor="text1"/>
                <w:sz w:val="18"/>
                <w:szCs w:val="18"/>
              </w:rPr>
              <w:t>Coubicación</w:t>
            </w:r>
            <w:proofErr w:type="spellEnd"/>
          </w:p>
        </w:tc>
        <w:tc>
          <w:tcPr>
            <w:tcW w:w="1843" w:type="dxa"/>
          </w:tcPr>
          <w:p w14:paraId="1FA5EDC1" w14:textId="77777777" w:rsidR="00FE3CE0" w:rsidRPr="008762D1" w:rsidRDefault="00B157D7" w:rsidP="00233A05">
            <w:pPr>
              <w:pStyle w:val="Textosinformato"/>
              <w:jc w:val="center"/>
              <w:rPr>
                <w:rFonts w:ascii="ITC Avant Garde" w:hAnsi="ITC Avant Garde" w:cs="Arial"/>
                <w:color w:val="000000" w:themeColor="text1"/>
                <w:sz w:val="18"/>
                <w:szCs w:val="18"/>
              </w:rPr>
            </w:pPr>
            <w:r w:rsidRPr="008762D1">
              <w:rPr>
                <w:rFonts w:ascii="ITC Avant Garde" w:hAnsi="ITC Avant Garde" w:cs="Arial"/>
                <w:strike/>
                <w:color w:val="000000" w:themeColor="text1"/>
                <w:sz w:val="18"/>
                <w:szCs w:val="18"/>
              </w:rPr>
              <w:t>2</w:t>
            </w:r>
            <w:r w:rsidR="00FE3CE0" w:rsidRPr="008762D1">
              <w:rPr>
                <w:rFonts w:ascii="ITC Avant Garde" w:hAnsi="ITC Avant Garde" w:cs="Arial"/>
                <w:color w:val="000000" w:themeColor="text1"/>
                <w:sz w:val="18"/>
                <w:szCs w:val="18"/>
                <w:u w:val="single"/>
              </w:rPr>
              <w:t>1</w:t>
            </w:r>
            <w:r w:rsidR="00FE3CE0" w:rsidRPr="008762D1">
              <w:rPr>
                <w:rFonts w:ascii="ITC Avant Garde" w:hAnsi="ITC Avant Garde" w:cs="Arial"/>
                <w:color w:val="000000" w:themeColor="text1"/>
                <w:sz w:val="18"/>
                <w:szCs w:val="18"/>
              </w:rPr>
              <w:t>5</w:t>
            </w:r>
          </w:p>
        </w:tc>
        <w:tc>
          <w:tcPr>
            <w:tcW w:w="1984" w:type="dxa"/>
          </w:tcPr>
          <w:p w14:paraId="3B9ED9EF" w14:textId="77777777" w:rsidR="00FE3CE0" w:rsidRPr="008762D1"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No aplica</w:t>
            </w:r>
          </w:p>
        </w:tc>
      </w:tr>
      <w:tr w:rsidR="008762D1" w:rsidRPr="008762D1" w14:paraId="46400A2A" w14:textId="77777777" w:rsidTr="00036A6A">
        <w:trPr>
          <w:jc w:val="center"/>
        </w:trPr>
        <w:tc>
          <w:tcPr>
            <w:tcW w:w="3402" w:type="dxa"/>
          </w:tcPr>
          <w:p w14:paraId="2FCA07C7" w14:textId="77777777" w:rsidR="00FE3CE0" w:rsidRPr="008762D1" w:rsidRDefault="00FE3CE0" w:rsidP="00233A05">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Facturación</w:t>
            </w:r>
          </w:p>
        </w:tc>
        <w:tc>
          <w:tcPr>
            <w:tcW w:w="1843" w:type="dxa"/>
          </w:tcPr>
          <w:p w14:paraId="749938C7" w14:textId="77777777" w:rsidR="00FE3CE0" w:rsidRPr="008762D1" w:rsidRDefault="00B157D7" w:rsidP="00233A05">
            <w:pPr>
              <w:pStyle w:val="Textosinformato"/>
              <w:jc w:val="center"/>
              <w:rPr>
                <w:rFonts w:ascii="ITC Avant Garde" w:hAnsi="ITC Avant Garde" w:cs="Arial"/>
                <w:color w:val="000000" w:themeColor="text1"/>
                <w:sz w:val="18"/>
                <w:szCs w:val="18"/>
              </w:rPr>
            </w:pPr>
            <w:r w:rsidRPr="008762D1">
              <w:rPr>
                <w:rFonts w:ascii="ITC Avant Garde" w:hAnsi="ITC Avant Garde" w:cs="Arial"/>
                <w:strike/>
                <w:color w:val="000000" w:themeColor="text1"/>
                <w:sz w:val="18"/>
                <w:szCs w:val="18"/>
              </w:rPr>
              <w:t>2</w:t>
            </w:r>
            <w:r w:rsidR="00FE3CE0" w:rsidRPr="008762D1">
              <w:rPr>
                <w:rFonts w:ascii="ITC Avant Garde" w:hAnsi="ITC Avant Garde" w:cs="Arial"/>
                <w:color w:val="000000" w:themeColor="text1"/>
                <w:sz w:val="18"/>
                <w:szCs w:val="18"/>
                <w:u w:val="single"/>
              </w:rPr>
              <w:t>1</w:t>
            </w:r>
            <w:r w:rsidR="00FE3CE0" w:rsidRPr="008762D1">
              <w:rPr>
                <w:rFonts w:ascii="ITC Avant Garde" w:hAnsi="ITC Avant Garde" w:cs="Arial"/>
                <w:color w:val="000000" w:themeColor="text1"/>
                <w:sz w:val="18"/>
                <w:szCs w:val="18"/>
              </w:rPr>
              <w:t>5</w:t>
            </w:r>
          </w:p>
        </w:tc>
        <w:tc>
          <w:tcPr>
            <w:tcW w:w="1984" w:type="dxa"/>
          </w:tcPr>
          <w:p w14:paraId="3524222E" w14:textId="77777777" w:rsidR="00FE3CE0" w:rsidRPr="008762D1"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10</w:t>
            </w:r>
          </w:p>
        </w:tc>
      </w:tr>
      <w:tr w:rsidR="008762D1" w:rsidRPr="008762D1" w14:paraId="5C078DF6" w14:textId="77777777" w:rsidTr="00036A6A">
        <w:trPr>
          <w:jc w:val="center"/>
        </w:trPr>
        <w:tc>
          <w:tcPr>
            <w:tcW w:w="3402" w:type="dxa"/>
          </w:tcPr>
          <w:p w14:paraId="21D2C3BA" w14:textId="77777777" w:rsidR="00FE3CE0" w:rsidRPr="008762D1" w:rsidRDefault="00FE3CE0" w:rsidP="00233A05">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Tránsito</w:t>
            </w:r>
          </w:p>
        </w:tc>
        <w:tc>
          <w:tcPr>
            <w:tcW w:w="1843" w:type="dxa"/>
          </w:tcPr>
          <w:p w14:paraId="2DAB8193" w14:textId="77777777" w:rsidR="00FE3CE0" w:rsidRPr="008762D1" w:rsidRDefault="00B157D7" w:rsidP="00233A05">
            <w:pPr>
              <w:pStyle w:val="Textosinformato"/>
              <w:jc w:val="center"/>
              <w:rPr>
                <w:rFonts w:ascii="ITC Avant Garde" w:hAnsi="ITC Avant Garde" w:cs="Arial"/>
                <w:color w:val="000000" w:themeColor="text1"/>
                <w:sz w:val="18"/>
                <w:szCs w:val="18"/>
              </w:rPr>
            </w:pPr>
            <w:r w:rsidRPr="008762D1">
              <w:rPr>
                <w:rFonts w:ascii="ITC Avant Garde" w:hAnsi="ITC Avant Garde" w:cs="Arial"/>
                <w:strike/>
                <w:color w:val="000000" w:themeColor="text1"/>
                <w:sz w:val="18"/>
                <w:szCs w:val="18"/>
              </w:rPr>
              <w:t>25</w:t>
            </w:r>
            <w:r w:rsidR="00FE3CE0" w:rsidRPr="008762D1">
              <w:rPr>
                <w:rFonts w:ascii="ITC Avant Garde" w:hAnsi="ITC Avant Garde" w:cs="Arial"/>
                <w:color w:val="000000" w:themeColor="text1"/>
                <w:sz w:val="18"/>
                <w:szCs w:val="18"/>
                <w:u w:val="single"/>
              </w:rPr>
              <w:t>7</w:t>
            </w:r>
          </w:p>
        </w:tc>
        <w:tc>
          <w:tcPr>
            <w:tcW w:w="1984" w:type="dxa"/>
          </w:tcPr>
          <w:p w14:paraId="2796B76D" w14:textId="77777777" w:rsidR="00FE3CE0" w:rsidRPr="008762D1" w:rsidDel="001B4B67"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3</w:t>
            </w:r>
          </w:p>
        </w:tc>
      </w:tr>
      <w:tr w:rsidR="00FE3CE0" w:rsidRPr="008762D1" w14:paraId="0769D3EC" w14:textId="77777777" w:rsidTr="00036A6A">
        <w:trPr>
          <w:jc w:val="center"/>
        </w:trPr>
        <w:tc>
          <w:tcPr>
            <w:tcW w:w="3402" w:type="dxa"/>
          </w:tcPr>
          <w:p w14:paraId="28DE0D81" w14:textId="77777777" w:rsidR="00FE3CE0" w:rsidRPr="008762D1" w:rsidRDefault="00FE3CE0" w:rsidP="00233A05">
            <w:pPr>
              <w:pStyle w:val="Textosinformato"/>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lastRenderedPageBreak/>
              <w:t xml:space="preserve">Enlace de Transmisión entre </w:t>
            </w:r>
            <w:proofErr w:type="spellStart"/>
            <w:r w:rsidRPr="008762D1">
              <w:rPr>
                <w:rFonts w:ascii="ITC Avant Garde" w:hAnsi="ITC Avant Garde" w:cs="Arial"/>
                <w:color w:val="000000" w:themeColor="text1"/>
                <w:sz w:val="18"/>
                <w:szCs w:val="18"/>
              </w:rPr>
              <w:t>coubicaciones</w:t>
            </w:r>
            <w:proofErr w:type="spellEnd"/>
            <w:r w:rsidRPr="008762D1">
              <w:rPr>
                <w:rFonts w:ascii="ITC Avant Garde" w:hAnsi="ITC Avant Garde" w:cs="Arial"/>
                <w:color w:val="000000" w:themeColor="text1"/>
                <w:sz w:val="18"/>
                <w:szCs w:val="18"/>
              </w:rPr>
              <w:t xml:space="preserve"> no gestionado</w:t>
            </w:r>
          </w:p>
        </w:tc>
        <w:tc>
          <w:tcPr>
            <w:tcW w:w="1843" w:type="dxa"/>
          </w:tcPr>
          <w:p w14:paraId="69B8E05B" w14:textId="77777777" w:rsidR="00FE3CE0" w:rsidRPr="008762D1" w:rsidDel="001B4B67" w:rsidRDefault="00FE3CE0" w:rsidP="00233A05">
            <w:pPr>
              <w:pStyle w:val="Textosinformato"/>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15</w:t>
            </w:r>
          </w:p>
        </w:tc>
        <w:tc>
          <w:tcPr>
            <w:tcW w:w="1984" w:type="dxa"/>
          </w:tcPr>
          <w:p w14:paraId="748402BC" w14:textId="77777777" w:rsidR="00FE3CE0" w:rsidRPr="008762D1" w:rsidRDefault="00FE3CE0" w:rsidP="00233A05">
            <w:pPr>
              <w:pStyle w:val="Textosinformato"/>
              <w:jc w:val="center"/>
              <w:rPr>
                <w:rFonts w:ascii="ITC Avant Garde" w:hAnsi="ITC Avant Garde" w:cs="Arial"/>
                <w:color w:val="000000" w:themeColor="text1"/>
                <w:sz w:val="18"/>
                <w:szCs w:val="18"/>
                <w:u w:val="single"/>
              </w:rPr>
            </w:pPr>
            <w:r w:rsidRPr="008762D1">
              <w:rPr>
                <w:rFonts w:ascii="ITC Avant Garde" w:hAnsi="ITC Avant Garde" w:cs="Arial"/>
                <w:color w:val="000000" w:themeColor="text1"/>
                <w:sz w:val="18"/>
                <w:szCs w:val="18"/>
                <w:u w:val="single"/>
              </w:rPr>
              <w:t>No aplica</w:t>
            </w:r>
          </w:p>
        </w:tc>
      </w:tr>
    </w:tbl>
    <w:p w14:paraId="7C73525B" w14:textId="77777777" w:rsidR="006B2EB1" w:rsidRPr="008762D1" w:rsidRDefault="00FE3CE0" w:rsidP="000F0B9F">
      <w:pPr>
        <w:spacing w:before="240" w:after="0"/>
        <w:ind w:left="709"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u w:val="single"/>
        </w:rPr>
        <w:t>En caso de que los servicios solicitados excedan un 20% o más de los pronosticados, los servicios excedentes serán instalados en un plazo definido por mutuo acuerdo bajo esquema de fecha compromiso (</w:t>
      </w:r>
      <w:proofErr w:type="spellStart"/>
      <w:r w:rsidRPr="008762D1">
        <w:rPr>
          <w:rFonts w:ascii="ITC Avant Garde" w:hAnsi="ITC Avant Garde"/>
          <w:color w:val="000000" w:themeColor="text1"/>
          <w:sz w:val="18"/>
          <w:szCs w:val="18"/>
          <w:u w:val="single"/>
        </w:rPr>
        <w:t>Due</w:t>
      </w:r>
      <w:proofErr w:type="spellEnd"/>
      <w:r w:rsidRPr="008762D1">
        <w:rPr>
          <w:rFonts w:ascii="ITC Avant Garde" w:hAnsi="ITC Avant Garde"/>
          <w:color w:val="000000" w:themeColor="text1"/>
          <w:sz w:val="18"/>
          <w:szCs w:val="18"/>
          <w:u w:val="single"/>
        </w:rPr>
        <w:t xml:space="preserve"> Date). Situación que será informada al Instituto, junto con las nuevas fechas de entrega</w:t>
      </w:r>
      <w:r w:rsidRPr="008762D1">
        <w:rPr>
          <w:rFonts w:ascii="ITC Avant Garde" w:hAnsi="ITC Avant Garde"/>
          <w:color w:val="000000" w:themeColor="text1"/>
          <w:sz w:val="18"/>
          <w:szCs w:val="18"/>
        </w:rPr>
        <w:t>.</w:t>
      </w:r>
    </w:p>
    <w:p w14:paraId="6F2B73B4" w14:textId="77777777" w:rsidR="00FE3CE0" w:rsidRPr="008762D1" w:rsidRDefault="006B2EB1" w:rsidP="000F0B9F">
      <w:pPr>
        <w:spacing w:before="240" w:after="0"/>
        <w:ind w:left="709"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FE3CE0" w:rsidRPr="008762D1">
        <w:rPr>
          <w:rFonts w:ascii="ITC Avant Garde" w:hAnsi="ITC Avant Garde"/>
          <w:color w:val="000000" w:themeColor="text1"/>
          <w:sz w:val="18"/>
          <w:szCs w:val="18"/>
        </w:rPr>
        <w:t>”</w:t>
      </w:r>
    </w:p>
    <w:p w14:paraId="28A00977" w14:textId="77777777" w:rsidR="000F0B9F" w:rsidRPr="008762D1" w:rsidRDefault="00FE3CE0"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43CF06FE" w14:textId="77777777" w:rsidR="000F0B9F" w:rsidRPr="008762D1" w:rsidRDefault="00113D47" w:rsidP="000F0B9F">
      <w:pPr>
        <w:spacing w:before="240" w:after="0"/>
        <w:ind w:left="709"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“3.2 Plazos máximos para la solución de fallas. </w:t>
      </w:r>
    </w:p>
    <w:p w14:paraId="2A26CA83" w14:textId="1E97E23D" w:rsidR="00113D47" w:rsidRPr="008762D1" w:rsidRDefault="00113D47" w:rsidP="000F0B9F">
      <w:pPr>
        <w:spacing w:before="240" w:after="0"/>
        <w:ind w:left="709"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Telmex debe solucionar las fallas reportadas en los plazos máximos de reparación siguientes:</w:t>
      </w:r>
    </w:p>
    <w:p w14:paraId="2D33D4AA" w14:textId="77777777" w:rsidR="00113D47" w:rsidRPr="008762D1" w:rsidRDefault="00113D47" w:rsidP="000F0B9F">
      <w:pPr>
        <w:spacing w:before="240" w:after="0"/>
        <w:ind w:left="709" w:right="567"/>
        <w:jc w:val="both"/>
        <w:rPr>
          <w:rFonts w:ascii="ITC Avant Garde" w:hAnsi="ITC Avant Garde"/>
          <w:color w:val="000000" w:themeColor="text1"/>
          <w:sz w:val="18"/>
          <w:szCs w:val="18"/>
        </w:rPr>
      </w:pPr>
    </w:p>
    <w:tbl>
      <w:tblPr>
        <w:tblStyle w:val="Cuadrculadetablaclara"/>
        <w:tblW w:w="0" w:type="auto"/>
        <w:jc w:val="center"/>
        <w:tblLayout w:type="fixed"/>
        <w:tblLook w:val="0000" w:firstRow="0" w:lastRow="0" w:firstColumn="0" w:lastColumn="0" w:noHBand="0" w:noVBand="0"/>
        <w:tblCaption w:val="Tabla"/>
        <w:tblDescription w:val="Tipo de sercicio"/>
      </w:tblPr>
      <w:tblGrid>
        <w:gridCol w:w="1620"/>
        <w:gridCol w:w="1919"/>
        <w:gridCol w:w="1951"/>
        <w:gridCol w:w="1937"/>
      </w:tblGrid>
      <w:tr w:rsidR="008762D1" w:rsidRPr="008762D1" w14:paraId="250427CA" w14:textId="77777777" w:rsidTr="00036A6A">
        <w:trPr>
          <w:tblHeader/>
          <w:jc w:val="center"/>
        </w:trPr>
        <w:tc>
          <w:tcPr>
            <w:tcW w:w="1620" w:type="dxa"/>
          </w:tcPr>
          <w:p w14:paraId="387245C4" w14:textId="77777777" w:rsidR="00036A6A" w:rsidRPr="008762D1" w:rsidRDefault="00036A6A" w:rsidP="00233A05">
            <w:pPr>
              <w:pStyle w:val="Textoindependiente3"/>
              <w:spacing w:after="0"/>
              <w:rPr>
                <w:rStyle w:val="Textoennegrita"/>
                <w:rFonts w:ascii="ITC Avant Garde" w:hAnsi="ITC Avant Garde"/>
                <w:color w:val="000000" w:themeColor="text1"/>
                <w:sz w:val="18"/>
                <w:szCs w:val="18"/>
              </w:rPr>
            </w:pPr>
            <w:r w:rsidRPr="008762D1">
              <w:rPr>
                <w:rStyle w:val="Textoennegrita"/>
                <w:rFonts w:ascii="ITC Avant Garde" w:hAnsi="ITC Avant Garde"/>
                <w:color w:val="000000" w:themeColor="text1"/>
                <w:sz w:val="18"/>
                <w:szCs w:val="18"/>
              </w:rPr>
              <w:t>Tipo de</w:t>
            </w:r>
            <w:r w:rsidRPr="008762D1">
              <w:rPr>
                <w:rStyle w:val="Textoennegrita"/>
                <w:rFonts w:ascii="ITC Avant Garde" w:hAnsi="ITC Avant Garde"/>
                <w:color w:val="000000" w:themeColor="text1"/>
                <w:sz w:val="18"/>
                <w:szCs w:val="18"/>
              </w:rPr>
              <w:br/>
              <w:t>Servicio</w:t>
            </w:r>
          </w:p>
        </w:tc>
        <w:tc>
          <w:tcPr>
            <w:tcW w:w="1919" w:type="dxa"/>
          </w:tcPr>
          <w:p w14:paraId="67510291" w14:textId="09A87FF8" w:rsidR="00036A6A" w:rsidRPr="008762D1" w:rsidRDefault="00036A6A" w:rsidP="00036A6A">
            <w:pPr>
              <w:pStyle w:val="Textoindependiente3"/>
              <w:spacing w:after="0"/>
              <w:rPr>
                <w:rStyle w:val="Textoennegrita"/>
                <w:rFonts w:ascii="ITC Avant Garde" w:hAnsi="ITC Avant Garde"/>
                <w:b w:val="0"/>
                <w:color w:val="000000" w:themeColor="text1"/>
                <w:sz w:val="18"/>
                <w:szCs w:val="18"/>
              </w:rPr>
            </w:pPr>
            <w:r w:rsidRPr="008762D1">
              <w:rPr>
                <w:rStyle w:val="Textoennegrita"/>
                <w:rFonts w:ascii="ITC Avant Garde" w:hAnsi="ITC Avant Garde"/>
                <w:color w:val="000000" w:themeColor="text1"/>
                <w:sz w:val="18"/>
                <w:szCs w:val="18"/>
              </w:rPr>
              <w:t>Prioridad 1 (Servicio Totalmente Afectado)</w:t>
            </w:r>
          </w:p>
        </w:tc>
        <w:tc>
          <w:tcPr>
            <w:tcW w:w="1951" w:type="dxa"/>
          </w:tcPr>
          <w:p w14:paraId="12EB3909" w14:textId="201F2EBE" w:rsidR="00036A6A" w:rsidRPr="008762D1" w:rsidRDefault="00036A6A" w:rsidP="00233A05">
            <w:pPr>
              <w:pStyle w:val="Textoindependiente3"/>
              <w:spacing w:after="0"/>
              <w:rPr>
                <w:rStyle w:val="Textoennegrita"/>
                <w:rFonts w:ascii="ITC Avant Garde" w:hAnsi="ITC Avant Garde"/>
                <w:b w:val="0"/>
                <w:color w:val="000000" w:themeColor="text1"/>
                <w:sz w:val="18"/>
                <w:szCs w:val="18"/>
              </w:rPr>
            </w:pPr>
          </w:p>
        </w:tc>
        <w:tc>
          <w:tcPr>
            <w:tcW w:w="1937" w:type="dxa"/>
          </w:tcPr>
          <w:p w14:paraId="64F7D706" w14:textId="77777777" w:rsidR="00036A6A" w:rsidRPr="008762D1" w:rsidRDefault="00036A6A" w:rsidP="00233A05">
            <w:pPr>
              <w:pStyle w:val="Textoindependiente3"/>
              <w:spacing w:after="0"/>
              <w:rPr>
                <w:rStyle w:val="Textoennegrita"/>
                <w:rFonts w:ascii="ITC Avant Garde" w:hAnsi="ITC Avant Garde"/>
                <w:color w:val="000000" w:themeColor="text1"/>
                <w:sz w:val="18"/>
                <w:szCs w:val="18"/>
              </w:rPr>
            </w:pPr>
            <w:r w:rsidRPr="008762D1">
              <w:rPr>
                <w:rStyle w:val="Textoennegrita"/>
                <w:rFonts w:ascii="ITC Avant Garde" w:hAnsi="ITC Avant Garde"/>
                <w:color w:val="000000" w:themeColor="text1"/>
                <w:sz w:val="18"/>
                <w:szCs w:val="18"/>
              </w:rPr>
              <w:t>Prioridad 2</w:t>
            </w:r>
          </w:p>
          <w:p w14:paraId="1300E955" w14:textId="77777777" w:rsidR="00036A6A" w:rsidRPr="008762D1" w:rsidRDefault="00036A6A" w:rsidP="00233A05">
            <w:pPr>
              <w:pStyle w:val="Textoindependiente3"/>
              <w:spacing w:after="0"/>
              <w:rPr>
                <w:rStyle w:val="Textoennegrita"/>
                <w:rFonts w:ascii="ITC Avant Garde" w:hAnsi="ITC Avant Garde"/>
                <w:b w:val="0"/>
                <w:color w:val="000000" w:themeColor="text1"/>
                <w:sz w:val="18"/>
                <w:szCs w:val="18"/>
              </w:rPr>
            </w:pPr>
            <w:r w:rsidRPr="008762D1">
              <w:rPr>
                <w:rStyle w:val="Textoennegrita"/>
                <w:rFonts w:ascii="ITC Avant Garde" w:hAnsi="ITC Avant Garde"/>
                <w:color w:val="000000" w:themeColor="text1"/>
                <w:sz w:val="18"/>
                <w:szCs w:val="18"/>
              </w:rPr>
              <w:t>(Afectación Parcial)</w:t>
            </w:r>
          </w:p>
        </w:tc>
      </w:tr>
      <w:tr w:rsidR="008762D1" w:rsidRPr="008762D1" w14:paraId="52F0D93C" w14:textId="77777777" w:rsidTr="00036A6A">
        <w:trPr>
          <w:trHeight w:val="403"/>
          <w:jc w:val="center"/>
        </w:trPr>
        <w:tc>
          <w:tcPr>
            <w:tcW w:w="1620" w:type="dxa"/>
          </w:tcPr>
          <w:p w14:paraId="2B7735EB" w14:textId="77777777" w:rsidR="00113D47" w:rsidRPr="008762D1" w:rsidRDefault="00113D47" w:rsidP="00233A05">
            <w:pPr>
              <w:pStyle w:val="Textoindependiente3"/>
              <w:rPr>
                <w:rStyle w:val="Textoennegrita"/>
                <w:rFonts w:ascii="ITC Avant Garde" w:hAnsi="ITC Avant Garde"/>
                <w:b w:val="0"/>
                <w:color w:val="000000" w:themeColor="text1"/>
                <w:sz w:val="18"/>
                <w:szCs w:val="18"/>
              </w:rPr>
            </w:pPr>
          </w:p>
        </w:tc>
        <w:tc>
          <w:tcPr>
            <w:tcW w:w="1919" w:type="dxa"/>
          </w:tcPr>
          <w:p w14:paraId="175C416E" w14:textId="77777777" w:rsidR="00113D47" w:rsidRPr="008762D1" w:rsidRDefault="00113D47" w:rsidP="00233A05">
            <w:pPr>
              <w:pStyle w:val="Textoindependiente3"/>
              <w:rPr>
                <w:rStyle w:val="Textoennegrita"/>
                <w:rFonts w:ascii="ITC Avant Garde" w:hAnsi="ITC Avant Garde"/>
                <w:b w:val="0"/>
                <w:color w:val="000000" w:themeColor="text1"/>
                <w:sz w:val="18"/>
                <w:szCs w:val="18"/>
              </w:rPr>
            </w:pPr>
            <w:r w:rsidRPr="008762D1">
              <w:rPr>
                <w:rStyle w:val="Textoennegrita"/>
                <w:rFonts w:ascii="ITC Avant Garde" w:hAnsi="ITC Avant Garde"/>
                <w:color w:val="000000" w:themeColor="text1"/>
                <w:sz w:val="18"/>
                <w:szCs w:val="18"/>
              </w:rPr>
              <w:t>80% resueltos</w:t>
            </w:r>
          </w:p>
        </w:tc>
        <w:tc>
          <w:tcPr>
            <w:tcW w:w="1951" w:type="dxa"/>
          </w:tcPr>
          <w:p w14:paraId="4946D042" w14:textId="77777777" w:rsidR="00113D47" w:rsidRPr="008762D1" w:rsidRDefault="00113D47" w:rsidP="00233A05">
            <w:pPr>
              <w:pStyle w:val="Textoindependiente3"/>
              <w:rPr>
                <w:rStyle w:val="Textoennegrita"/>
                <w:rFonts w:ascii="ITC Avant Garde" w:hAnsi="ITC Avant Garde"/>
                <w:b w:val="0"/>
                <w:color w:val="000000" w:themeColor="text1"/>
                <w:sz w:val="18"/>
                <w:szCs w:val="18"/>
              </w:rPr>
            </w:pPr>
            <w:r w:rsidRPr="008762D1">
              <w:rPr>
                <w:rStyle w:val="Textoennegrita"/>
                <w:rFonts w:ascii="ITC Avant Garde" w:hAnsi="ITC Avant Garde"/>
                <w:color w:val="000000" w:themeColor="text1"/>
                <w:sz w:val="18"/>
                <w:szCs w:val="18"/>
              </w:rPr>
              <w:t>100% resueltos</w:t>
            </w:r>
          </w:p>
        </w:tc>
        <w:tc>
          <w:tcPr>
            <w:tcW w:w="1937" w:type="dxa"/>
          </w:tcPr>
          <w:p w14:paraId="3CB04FC4" w14:textId="77777777" w:rsidR="00113D47" w:rsidRPr="008762D1" w:rsidRDefault="00113D47" w:rsidP="00233A05">
            <w:pPr>
              <w:pStyle w:val="Textoindependiente3"/>
              <w:rPr>
                <w:rStyle w:val="Textoennegrita"/>
                <w:rFonts w:ascii="ITC Avant Garde" w:hAnsi="ITC Avant Garde"/>
                <w:b w:val="0"/>
                <w:color w:val="000000" w:themeColor="text1"/>
                <w:sz w:val="18"/>
                <w:szCs w:val="18"/>
              </w:rPr>
            </w:pPr>
            <w:r w:rsidRPr="008762D1">
              <w:rPr>
                <w:rStyle w:val="Textoennegrita"/>
                <w:rFonts w:ascii="ITC Avant Garde" w:hAnsi="ITC Avant Garde"/>
                <w:color w:val="000000" w:themeColor="text1"/>
                <w:sz w:val="18"/>
                <w:szCs w:val="18"/>
              </w:rPr>
              <w:t>100% resueltos</w:t>
            </w:r>
          </w:p>
        </w:tc>
      </w:tr>
      <w:tr w:rsidR="008762D1" w:rsidRPr="008762D1" w14:paraId="2E81C975" w14:textId="77777777" w:rsidTr="00036A6A">
        <w:trPr>
          <w:jc w:val="center"/>
        </w:trPr>
        <w:tc>
          <w:tcPr>
            <w:tcW w:w="1620" w:type="dxa"/>
          </w:tcPr>
          <w:p w14:paraId="7CCAB420" w14:textId="77777777" w:rsidR="00113D47" w:rsidRPr="008762D1" w:rsidRDefault="00113D47" w:rsidP="00233A05">
            <w:pPr>
              <w:pStyle w:val="Textoindependiente3"/>
              <w:rPr>
                <w:rStyle w:val="Textoennegrita"/>
                <w:rFonts w:ascii="ITC Avant Garde" w:hAnsi="ITC Avant Garde"/>
                <w:b w:val="0"/>
                <w:color w:val="000000" w:themeColor="text1"/>
                <w:sz w:val="18"/>
                <w:szCs w:val="18"/>
              </w:rPr>
            </w:pPr>
            <w:r w:rsidRPr="008762D1">
              <w:rPr>
                <w:rStyle w:val="Textoennegrita"/>
                <w:rFonts w:ascii="ITC Avant Garde" w:hAnsi="ITC Avant Garde"/>
                <w:color w:val="000000" w:themeColor="text1"/>
                <w:sz w:val="18"/>
                <w:szCs w:val="18"/>
              </w:rPr>
              <w:t>Interconexión</w:t>
            </w:r>
          </w:p>
        </w:tc>
        <w:tc>
          <w:tcPr>
            <w:tcW w:w="1919" w:type="dxa"/>
          </w:tcPr>
          <w:p w14:paraId="076D2DF5" w14:textId="77777777" w:rsidR="00113D47" w:rsidRPr="008762D1" w:rsidRDefault="00B157D7" w:rsidP="00233A05">
            <w:pPr>
              <w:pStyle w:val="Textoindependiente3"/>
              <w:rPr>
                <w:rStyle w:val="Textoennegrita"/>
                <w:rFonts w:ascii="ITC Avant Garde" w:hAnsi="ITC Avant Garde"/>
                <w:b w:val="0"/>
                <w:color w:val="000000" w:themeColor="text1"/>
                <w:sz w:val="18"/>
                <w:szCs w:val="18"/>
              </w:rPr>
            </w:pPr>
            <w:r w:rsidRPr="008762D1">
              <w:rPr>
                <w:rStyle w:val="Textoennegrita"/>
                <w:rFonts w:ascii="ITC Avant Garde" w:hAnsi="ITC Avant Garde"/>
                <w:strike/>
                <w:color w:val="000000" w:themeColor="text1"/>
                <w:sz w:val="18"/>
                <w:szCs w:val="18"/>
              </w:rPr>
              <w:t>3</w:t>
            </w:r>
            <w:r w:rsidR="00113D47" w:rsidRPr="008762D1">
              <w:rPr>
                <w:rStyle w:val="Textoennegrita"/>
                <w:rFonts w:ascii="ITC Avant Garde" w:hAnsi="ITC Avant Garde"/>
                <w:color w:val="000000" w:themeColor="text1"/>
                <w:sz w:val="18"/>
                <w:szCs w:val="18"/>
                <w:u w:val="single"/>
              </w:rPr>
              <w:t>1</w:t>
            </w:r>
            <w:r w:rsidR="00113D47" w:rsidRPr="008762D1">
              <w:rPr>
                <w:rStyle w:val="Textoennegrita"/>
                <w:rFonts w:ascii="ITC Avant Garde" w:hAnsi="ITC Avant Garde"/>
                <w:color w:val="000000" w:themeColor="text1"/>
                <w:sz w:val="18"/>
                <w:szCs w:val="18"/>
              </w:rPr>
              <w:t xml:space="preserve"> </w:t>
            </w:r>
            <w:proofErr w:type="spellStart"/>
            <w:r w:rsidR="00113D47" w:rsidRPr="008762D1">
              <w:rPr>
                <w:rStyle w:val="Textoennegrita"/>
                <w:rFonts w:ascii="ITC Avant Garde" w:hAnsi="ITC Avant Garde"/>
                <w:color w:val="000000" w:themeColor="text1"/>
                <w:sz w:val="18"/>
                <w:szCs w:val="18"/>
              </w:rPr>
              <w:t>Hr</w:t>
            </w:r>
            <w:proofErr w:type="spellEnd"/>
          </w:p>
        </w:tc>
        <w:tc>
          <w:tcPr>
            <w:tcW w:w="1951" w:type="dxa"/>
          </w:tcPr>
          <w:p w14:paraId="0288CD13" w14:textId="77777777" w:rsidR="00113D47" w:rsidRPr="008762D1" w:rsidRDefault="00B157D7" w:rsidP="00233A05">
            <w:pPr>
              <w:pStyle w:val="Textoindependiente3"/>
              <w:rPr>
                <w:rStyle w:val="Textoennegrita"/>
                <w:rFonts w:ascii="ITC Avant Garde" w:hAnsi="ITC Avant Garde"/>
                <w:b w:val="0"/>
                <w:color w:val="000000" w:themeColor="text1"/>
                <w:sz w:val="18"/>
                <w:szCs w:val="18"/>
              </w:rPr>
            </w:pPr>
            <w:r w:rsidRPr="008762D1">
              <w:rPr>
                <w:rStyle w:val="Textoennegrita"/>
                <w:rFonts w:ascii="ITC Avant Garde" w:hAnsi="ITC Avant Garde"/>
                <w:strike/>
                <w:color w:val="000000" w:themeColor="text1"/>
                <w:sz w:val="18"/>
                <w:szCs w:val="18"/>
              </w:rPr>
              <w:t>6</w:t>
            </w:r>
            <w:r w:rsidR="00113D47" w:rsidRPr="008762D1">
              <w:rPr>
                <w:rStyle w:val="Textoennegrita"/>
                <w:rFonts w:ascii="ITC Avant Garde" w:hAnsi="ITC Avant Garde"/>
                <w:color w:val="000000" w:themeColor="text1"/>
                <w:sz w:val="18"/>
                <w:szCs w:val="18"/>
                <w:u w:val="single"/>
              </w:rPr>
              <w:t>2</w:t>
            </w:r>
            <w:r w:rsidR="00113D47" w:rsidRPr="008762D1">
              <w:rPr>
                <w:rStyle w:val="Textoennegrita"/>
                <w:rFonts w:ascii="ITC Avant Garde" w:hAnsi="ITC Avant Garde"/>
                <w:color w:val="000000" w:themeColor="text1"/>
                <w:sz w:val="18"/>
                <w:szCs w:val="18"/>
              </w:rPr>
              <w:t xml:space="preserve"> </w:t>
            </w:r>
            <w:proofErr w:type="spellStart"/>
            <w:r w:rsidR="00113D47" w:rsidRPr="008762D1">
              <w:rPr>
                <w:rStyle w:val="Textoennegrita"/>
                <w:rFonts w:ascii="ITC Avant Garde" w:hAnsi="ITC Avant Garde"/>
                <w:color w:val="000000" w:themeColor="text1"/>
                <w:sz w:val="18"/>
                <w:szCs w:val="18"/>
              </w:rPr>
              <w:t>Hrs</w:t>
            </w:r>
            <w:proofErr w:type="spellEnd"/>
            <w:r w:rsidR="00113D47" w:rsidRPr="008762D1">
              <w:rPr>
                <w:rStyle w:val="Textoennegrita"/>
                <w:rFonts w:ascii="ITC Avant Garde" w:hAnsi="ITC Avant Garde"/>
                <w:color w:val="000000" w:themeColor="text1"/>
                <w:sz w:val="18"/>
                <w:szCs w:val="18"/>
              </w:rPr>
              <w:t xml:space="preserve"> </w:t>
            </w:r>
          </w:p>
        </w:tc>
        <w:tc>
          <w:tcPr>
            <w:tcW w:w="1937" w:type="dxa"/>
          </w:tcPr>
          <w:p w14:paraId="553006CD" w14:textId="77777777" w:rsidR="00113D47" w:rsidRPr="008762D1" w:rsidRDefault="00B157D7" w:rsidP="00233A05">
            <w:pPr>
              <w:pStyle w:val="Textoindependiente3"/>
              <w:rPr>
                <w:rStyle w:val="Textoennegrita"/>
                <w:rFonts w:ascii="ITC Avant Garde" w:hAnsi="ITC Avant Garde"/>
                <w:b w:val="0"/>
                <w:color w:val="000000" w:themeColor="text1"/>
                <w:sz w:val="18"/>
                <w:szCs w:val="18"/>
              </w:rPr>
            </w:pPr>
            <w:r w:rsidRPr="008762D1">
              <w:rPr>
                <w:rStyle w:val="Textoennegrita"/>
                <w:rFonts w:ascii="ITC Avant Garde" w:hAnsi="ITC Avant Garde"/>
                <w:strike/>
                <w:color w:val="000000" w:themeColor="text1"/>
                <w:sz w:val="18"/>
                <w:szCs w:val="18"/>
              </w:rPr>
              <w:t>8</w:t>
            </w:r>
            <w:r w:rsidR="00113D47" w:rsidRPr="008762D1">
              <w:rPr>
                <w:rStyle w:val="Textoennegrita"/>
                <w:rFonts w:ascii="ITC Avant Garde" w:hAnsi="ITC Avant Garde"/>
                <w:color w:val="000000" w:themeColor="text1"/>
                <w:sz w:val="18"/>
                <w:szCs w:val="18"/>
                <w:u w:val="single"/>
              </w:rPr>
              <w:t>2</w:t>
            </w:r>
            <w:r w:rsidR="00113D47" w:rsidRPr="008762D1">
              <w:rPr>
                <w:rStyle w:val="Textoennegrita"/>
                <w:rFonts w:ascii="ITC Avant Garde" w:hAnsi="ITC Avant Garde"/>
                <w:color w:val="000000" w:themeColor="text1"/>
                <w:sz w:val="18"/>
                <w:szCs w:val="18"/>
              </w:rPr>
              <w:t xml:space="preserve"> </w:t>
            </w:r>
            <w:proofErr w:type="spellStart"/>
            <w:r w:rsidR="00113D47" w:rsidRPr="008762D1">
              <w:rPr>
                <w:rStyle w:val="Textoennegrita"/>
                <w:rFonts w:ascii="ITC Avant Garde" w:hAnsi="ITC Avant Garde"/>
                <w:color w:val="000000" w:themeColor="text1"/>
                <w:sz w:val="18"/>
                <w:szCs w:val="18"/>
              </w:rPr>
              <w:t>Hrs</w:t>
            </w:r>
            <w:proofErr w:type="spellEnd"/>
          </w:p>
        </w:tc>
      </w:tr>
    </w:tbl>
    <w:p w14:paraId="41608AA5" w14:textId="77777777" w:rsidR="00113D47" w:rsidRPr="008762D1" w:rsidRDefault="00113D47" w:rsidP="000F0B9F">
      <w:pPr>
        <w:spacing w:before="240" w:after="0"/>
        <w:ind w:left="709"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Para los plazos de atención de fallas no se computará el tiempo de traslado al sitio de la falla fuera de las ciudades o los retrasos atribuibles a prestadores de servicios o terceros.</w:t>
      </w:r>
    </w:p>
    <w:p w14:paraId="2FB3B256" w14:textId="77777777" w:rsidR="00113D47" w:rsidRPr="008762D1" w:rsidRDefault="00113D47" w:rsidP="000F0B9F">
      <w:pPr>
        <w:spacing w:before="240" w:after="0"/>
        <w:ind w:left="709"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38D205FA" w14:textId="77777777" w:rsidR="000F0B9F" w:rsidRPr="008762D1" w:rsidRDefault="00B157D7"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46D59F2E" w14:textId="7323A085" w:rsidR="00BD0DD8" w:rsidRPr="008762D1" w:rsidRDefault="00BD0DD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3394AD06" w14:textId="77777777" w:rsidR="000F0B9F" w:rsidRPr="008762D1" w:rsidRDefault="003B4309"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Al respecto, Telmex señala en el Escrito de Respuesta que el Instituto ha modificado los plazos </w:t>
      </w:r>
      <w:r w:rsidR="00BD0DD8" w:rsidRPr="008762D1">
        <w:rPr>
          <w:rFonts w:cs="Arial"/>
          <w:color w:val="000000" w:themeColor="text1"/>
          <w:lang w:eastAsia="es-MX"/>
        </w:rPr>
        <w:t>de atención de fallas, sin ningún sustento, sin establecer por qué los plazos que propone son los adecuados o los correctos para la reparación de cualquier falla que se presente en la prestación de los servicios, afirma que propone plazos de imposible cumplimiento.</w:t>
      </w:r>
    </w:p>
    <w:p w14:paraId="50B35E78" w14:textId="77777777" w:rsidR="000F0B9F" w:rsidRPr="008762D1" w:rsidRDefault="003B4309"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 señala que a</w:t>
      </w:r>
      <w:r w:rsidR="00BD0DD8" w:rsidRPr="008762D1">
        <w:rPr>
          <w:rFonts w:cs="Arial"/>
          <w:color w:val="000000" w:themeColor="text1"/>
          <w:lang w:eastAsia="es-MX"/>
        </w:rPr>
        <w:t>l no fundamentar los plazos establecidos por e</w:t>
      </w:r>
      <w:r w:rsidRPr="008762D1">
        <w:rPr>
          <w:rFonts w:cs="Arial"/>
          <w:color w:val="000000" w:themeColor="text1"/>
          <w:lang w:eastAsia="es-MX"/>
        </w:rPr>
        <w:t>l</w:t>
      </w:r>
      <w:r w:rsidR="00BD0DD8" w:rsidRPr="008762D1">
        <w:rPr>
          <w:rFonts w:cs="Arial"/>
          <w:color w:val="000000" w:themeColor="text1"/>
          <w:lang w:eastAsia="es-MX"/>
        </w:rPr>
        <w:t xml:space="preserve"> </w:t>
      </w:r>
      <w:proofErr w:type="spellStart"/>
      <w:r w:rsidR="00BD0DD8" w:rsidRPr="008762D1">
        <w:rPr>
          <w:rFonts w:cs="Arial"/>
          <w:color w:val="000000" w:themeColor="text1"/>
          <w:lang w:eastAsia="es-MX"/>
        </w:rPr>
        <w:t>lnstituto</w:t>
      </w:r>
      <w:proofErr w:type="spellEnd"/>
      <w:r w:rsidR="00BD0DD8" w:rsidRPr="008762D1">
        <w:rPr>
          <w:rFonts w:cs="Arial"/>
          <w:color w:val="000000" w:themeColor="text1"/>
          <w:lang w:eastAsia="es-MX"/>
        </w:rPr>
        <w:t xml:space="preserve">, </w:t>
      </w:r>
      <w:r w:rsidRPr="008762D1">
        <w:rPr>
          <w:rFonts w:cs="Arial"/>
          <w:color w:val="000000" w:themeColor="text1"/>
          <w:lang w:eastAsia="es-MX"/>
        </w:rPr>
        <w:t>desconoce su</w:t>
      </w:r>
      <w:r w:rsidR="00BD0DD8" w:rsidRPr="008762D1">
        <w:rPr>
          <w:rFonts w:cs="Arial"/>
          <w:color w:val="000000" w:themeColor="text1"/>
          <w:lang w:eastAsia="es-MX"/>
        </w:rPr>
        <w:t xml:space="preserve"> origen o los motivos por los cuales se pretende su aplicación. </w:t>
      </w:r>
      <w:r w:rsidR="005D10F9" w:rsidRPr="008762D1">
        <w:rPr>
          <w:rFonts w:cs="Arial"/>
          <w:color w:val="000000" w:themeColor="text1"/>
          <w:lang w:eastAsia="es-MX"/>
        </w:rPr>
        <w:t>Menciona que es del</w:t>
      </w:r>
      <w:r w:rsidR="00BD0DD8" w:rsidRPr="008762D1">
        <w:rPr>
          <w:rFonts w:cs="Arial"/>
          <w:color w:val="000000" w:themeColor="text1"/>
          <w:lang w:eastAsia="es-MX"/>
        </w:rPr>
        <w:t xml:space="preserve"> conocimiento de Telmex y de cualquier con</w:t>
      </w:r>
      <w:r w:rsidR="005D10F9" w:rsidRPr="008762D1">
        <w:rPr>
          <w:rFonts w:cs="Arial"/>
          <w:color w:val="000000" w:themeColor="text1"/>
          <w:lang w:eastAsia="es-MX"/>
        </w:rPr>
        <w:t>cesionario</w:t>
      </w:r>
      <w:r w:rsidR="00BD0DD8" w:rsidRPr="008762D1">
        <w:rPr>
          <w:rFonts w:cs="Arial"/>
          <w:color w:val="000000" w:themeColor="text1"/>
          <w:lang w:eastAsia="es-MX"/>
        </w:rPr>
        <w:t xml:space="preserve">, que los plazos de 1 y 2 horas señalados por </w:t>
      </w:r>
      <w:r w:rsidR="005D10F9" w:rsidRPr="008762D1">
        <w:rPr>
          <w:rFonts w:cs="Arial"/>
          <w:color w:val="000000" w:themeColor="text1"/>
          <w:lang w:eastAsia="es-MX"/>
        </w:rPr>
        <w:t>el</w:t>
      </w:r>
      <w:r w:rsidR="00BD0DD8" w:rsidRPr="008762D1">
        <w:rPr>
          <w:rFonts w:cs="Arial"/>
          <w:color w:val="000000" w:themeColor="text1"/>
          <w:lang w:eastAsia="es-MX"/>
        </w:rPr>
        <w:t xml:space="preserve"> </w:t>
      </w:r>
      <w:proofErr w:type="spellStart"/>
      <w:r w:rsidR="00BD0DD8" w:rsidRPr="008762D1">
        <w:rPr>
          <w:rFonts w:cs="Arial"/>
          <w:color w:val="000000" w:themeColor="text1"/>
          <w:lang w:eastAsia="es-MX"/>
        </w:rPr>
        <w:t>lnstituto</w:t>
      </w:r>
      <w:proofErr w:type="spellEnd"/>
      <w:r w:rsidR="00BD0DD8" w:rsidRPr="008762D1">
        <w:rPr>
          <w:rFonts w:cs="Arial"/>
          <w:color w:val="000000" w:themeColor="text1"/>
          <w:lang w:eastAsia="es-MX"/>
        </w:rPr>
        <w:t xml:space="preserve"> son insuficientes para llevar a </w:t>
      </w:r>
      <w:r w:rsidR="00BD0DD8" w:rsidRPr="008762D1">
        <w:rPr>
          <w:rFonts w:cs="Arial"/>
          <w:color w:val="000000" w:themeColor="text1"/>
          <w:lang w:eastAsia="es-MX"/>
        </w:rPr>
        <w:lastRenderedPageBreak/>
        <w:t>cabo cualquier trabajo de reparación, independientemente de la prioridad que se les otorgue a los mismos.</w:t>
      </w:r>
    </w:p>
    <w:p w14:paraId="760C8D44" w14:textId="77777777" w:rsidR="000F0B9F" w:rsidRPr="008762D1" w:rsidRDefault="00334946"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Adicionalmente, señala que detectó una inconsistencia en los plazos establecidos por ese </w:t>
      </w:r>
      <w:proofErr w:type="spellStart"/>
      <w:r w:rsidRPr="008762D1">
        <w:rPr>
          <w:rFonts w:cs="Arial"/>
          <w:color w:val="000000" w:themeColor="text1"/>
          <w:lang w:eastAsia="es-MX"/>
        </w:rPr>
        <w:t>lnstituto</w:t>
      </w:r>
      <w:proofErr w:type="spellEnd"/>
      <w:r w:rsidRPr="008762D1">
        <w:rPr>
          <w:rFonts w:cs="Arial"/>
          <w:color w:val="000000" w:themeColor="text1"/>
          <w:lang w:eastAsia="es-MX"/>
        </w:rPr>
        <w:t>, específicamente en los tiempos de reparación de puertos, donde se identifica que el tiempo de reparación para la prioridad 1 al 100% es de 2 horas, plazo establecido de igual forma para la prioridad 2 por lo que considera que, independientemente de que los plazos son muy cortos y de imposible cumplimiento, se debe establecer un plazo mayor para la reparación de puertos con prioridad 2.</w:t>
      </w:r>
    </w:p>
    <w:p w14:paraId="6D2E65D1" w14:textId="70CFC9E4" w:rsidR="0057777E" w:rsidRPr="008762D1" w:rsidRDefault="00A37BA0" w:rsidP="00A04FEF">
      <w:pPr>
        <w:pStyle w:val="IFT1"/>
        <w:tabs>
          <w:tab w:val="left" w:pos="426"/>
        </w:tabs>
        <w:autoSpaceDE w:val="0"/>
        <w:autoSpaceDN w:val="0"/>
        <w:adjustRightInd w:val="0"/>
        <w:spacing w:before="240"/>
        <w:ind w:right="49"/>
        <w:rPr>
          <w:rFonts w:cs="Arial"/>
          <w:color w:val="000000" w:themeColor="text1"/>
          <w:lang w:eastAsia="es-MX"/>
        </w:rPr>
      </w:pPr>
      <w:r w:rsidRPr="008762D1">
        <w:rPr>
          <w:rFonts w:cs="Arial"/>
          <w:color w:val="000000" w:themeColor="text1"/>
          <w:lang w:eastAsia="es-MX"/>
        </w:rPr>
        <w:t xml:space="preserve">Por lo anterior, Telmex con base en </w:t>
      </w:r>
      <w:r w:rsidR="00FA687D" w:rsidRPr="008762D1">
        <w:rPr>
          <w:rFonts w:cs="Arial"/>
          <w:color w:val="000000" w:themeColor="text1"/>
          <w:lang w:eastAsia="es-MX"/>
        </w:rPr>
        <w:t>su</w:t>
      </w:r>
      <w:r w:rsidRPr="008762D1">
        <w:rPr>
          <w:rFonts w:cs="Arial"/>
          <w:color w:val="000000" w:themeColor="text1"/>
          <w:lang w:eastAsia="es-MX"/>
        </w:rPr>
        <w:t xml:space="preserve"> experiencia así como la experiencia de los concesionarios para la atención de incidencias, solicita se establezcan, cuando mínimo, los siguientes tiempos para la atención de aquellas incidencias que se presenten tratándose de puertos:</w:t>
      </w:r>
    </w:p>
    <w:tbl>
      <w:tblPr>
        <w:tblStyle w:val="Tablaconcuadrcula"/>
        <w:tblW w:w="0" w:type="auto"/>
        <w:jc w:val="center"/>
        <w:tblLook w:val="04A0" w:firstRow="1" w:lastRow="0" w:firstColumn="1" w:lastColumn="0" w:noHBand="0" w:noVBand="1"/>
        <w:tblCaption w:val="Tabla"/>
        <w:tblDescription w:val="Tipo de servicio"/>
      </w:tblPr>
      <w:tblGrid>
        <w:gridCol w:w="1915"/>
        <w:gridCol w:w="2195"/>
        <w:gridCol w:w="1702"/>
        <w:gridCol w:w="2268"/>
      </w:tblGrid>
      <w:tr w:rsidR="008762D1" w:rsidRPr="00A04FEF" w14:paraId="32169FB1" w14:textId="77777777" w:rsidTr="00A04FEF">
        <w:trPr>
          <w:tblHeader/>
          <w:jc w:val="center"/>
        </w:trPr>
        <w:tc>
          <w:tcPr>
            <w:tcW w:w="1915" w:type="dxa"/>
            <w:vAlign w:val="center"/>
          </w:tcPr>
          <w:p w14:paraId="671DC90F" w14:textId="77777777" w:rsidR="004207DC" w:rsidRPr="00A04FEF" w:rsidRDefault="004207DC" w:rsidP="00A04FEF">
            <w:pPr>
              <w:pStyle w:val="IFT1"/>
              <w:tabs>
                <w:tab w:val="left" w:pos="426"/>
              </w:tabs>
              <w:autoSpaceDE w:val="0"/>
              <w:autoSpaceDN w:val="0"/>
              <w:adjustRightInd w:val="0"/>
              <w:spacing w:after="0"/>
              <w:ind w:right="49"/>
              <w:jc w:val="center"/>
              <w:rPr>
                <w:rFonts w:cs="Arial"/>
                <w:b/>
                <w:color w:val="000000" w:themeColor="text1"/>
                <w:lang w:eastAsia="es-MX"/>
              </w:rPr>
            </w:pPr>
            <w:r w:rsidRPr="00A04FEF">
              <w:rPr>
                <w:rFonts w:cs="Arial"/>
                <w:b/>
                <w:color w:val="000000" w:themeColor="text1"/>
                <w:lang w:eastAsia="es-MX"/>
              </w:rPr>
              <w:t>Tipo de Servicio</w:t>
            </w:r>
          </w:p>
        </w:tc>
        <w:tc>
          <w:tcPr>
            <w:tcW w:w="2195" w:type="dxa"/>
            <w:vAlign w:val="center"/>
          </w:tcPr>
          <w:p w14:paraId="5D11DDA0" w14:textId="77777777" w:rsidR="004207DC" w:rsidRPr="00A04FEF" w:rsidRDefault="004207DC" w:rsidP="00A04FEF">
            <w:pPr>
              <w:pStyle w:val="IFT1"/>
              <w:tabs>
                <w:tab w:val="left" w:pos="426"/>
              </w:tabs>
              <w:autoSpaceDE w:val="0"/>
              <w:autoSpaceDN w:val="0"/>
              <w:adjustRightInd w:val="0"/>
              <w:spacing w:after="0"/>
              <w:ind w:right="49"/>
              <w:jc w:val="center"/>
              <w:rPr>
                <w:rFonts w:cs="Arial"/>
                <w:b/>
                <w:color w:val="000000" w:themeColor="text1"/>
                <w:lang w:eastAsia="es-MX"/>
              </w:rPr>
            </w:pPr>
            <w:r w:rsidRPr="00A04FEF">
              <w:rPr>
                <w:rFonts w:cs="Arial"/>
                <w:b/>
                <w:color w:val="000000" w:themeColor="text1"/>
                <w:lang w:eastAsia="es-MX"/>
              </w:rPr>
              <w:t>Prioridad 1</w:t>
            </w:r>
          </w:p>
        </w:tc>
        <w:tc>
          <w:tcPr>
            <w:tcW w:w="1702" w:type="dxa"/>
            <w:vAlign w:val="center"/>
          </w:tcPr>
          <w:p w14:paraId="1B398A37" w14:textId="7A4FA8F6" w:rsidR="004207DC" w:rsidRPr="00A04FEF" w:rsidRDefault="004207DC" w:rsidP="00A04FEF">
            <w:pPr>
              <w:pStyle w:val="IFT1"/>
              <w:tabs>
                <w:tab w:val="left" w:pos="426"/>
              </w:tabs>
              <w:autoSpaceDE w:val="0"/>
              <w:autoSpaceDN w:val="0"/>
              <w:adjustRightInd w:val="0"/>
              <w:spacing w:after="0"/>
              <w:ind w:right="49"/>
              <w:jc w:val="center"/>
              <w:rPr>
                <w:rFonts w:cs="Arial"/>
                <w:b/>
                <w:color w:val="000000" w:themeColor="text1"/>
                <w:lang w:eastAsia="es-MX"/>
              </w:rPr>
            </w:pPr>
            <w:r w:rsidRPr="00A04FEF">
              <w:rPr>
                <w:rFonts w:cs="Arial"/>
                <w:b/>
                <w:color w:val="000000" w:themeColor="text1"/>
                <w:lang w:eastAsia="es-MX"/>
              </w:rPr>
              <w:t>(Servicio Totalmente Afectado)</w:t>
            </w:r>
          </w:p>
        </w:tc>
        <w:tc>
          <w:tcPr>
            <w:tcW w:w="2268" w:type="dxa"/>
            <w:vAlign w:val="center"/>
          </w:tcPr>
          <w:p w14:paraId="09783255" w14:textId="77777777" w:rsidR="004207DC" w:rsidRPr="00A04FEF" w:rsidRDefault="004207DC" w:rsidP="00A04FEF">
            <w:pPr>
              <w:pStyle w:val="IFT1"/>
              <w:tabs>
                <w:tab w:val="left" w:pos="426"/>
              </w:tabs>
              <w:autoSpaceDE w:val="0"/>
              <w:autoSpaceDN w:val="0"/>
              <w:adjustRightInd w:val="0"/>
              <w:spacing w:after="0"/>
              <w:ind w:right="49"/>
              <w:jc w:val="center"/>
              <w:rPr>
                <w:rFonts w:cs="Arial"/>
                <w:b/>
                <w:color w:val="000000" w:themeColor="text1"/>
                <w:lang w:eastAsia="es-MX"/>
              </w:rPr>
            </w:pPr>
            <w:r w:rsidRPr="00A04FEF">
              <w:rPr>
                <w:rFonts w:cs="Arial"/>
                <w:b/>
                <w:color w:val="000000" w:themeColor="text1"/>
                <w:lang w:eastAsia="es-MX"/>
              </w:rPr>
              <w:t>Prioridad 2</w:t>
            </w:r>
          </w:p>
          <w:p w14:paraId="632F8BE4" w14:textId="77777777" w:rsidR="004207DC" w:rsidRPr="00A04FEF" w:rsidRDefault="004207DC" w:rsidP="00A04FEF">
            <w:pPr>
              <w:pStyle w:val="IFT1"/>
              <w:tabs>
                <w:tab w:val="left" w:pos="426"/>
              </w:tabs>
              <w:autoSpaceDE w:val="0"/>
              <w:autoSpaceDN w:val="0"/>
              <w:adjustRightInd w:val="0"/>
              <w:spacing w:after="0"/>
              <w:ind w:right="49"/>
              <w:jc w:val="center"/>
              <w:rPr>
                <w:rFonts w:cs="Arial"/>
                <w:b/>
                <w:color w:val="000000" w:themeColor="text1"/>
                <w:lang w:eastAsia="es-MX"/>
              </w:rPr>
            </w:pPr>
            <w:r w:rsidRPr="00A04FEF">
              <w:rPr>
                <w:rFonts w:cs="Arial"/>
                <w:b/>
                <w:color w:val="000000" w:themeColor="text1"/>
                <w:lang w:eastAsia="es-MX"/>
              </w:rPr>
              <w:t>(Afectación Parcial)</w:t>
            </w:r>
          </w:p>
        </w:tc>
      </w:tr>
      <w:tr w:rsidR="008762D1" w:rsidRPr="008762D1" w14:paraId="738AED10" w14:textId="77777777" w:rsidTr="0061455C">
        <w:trPr>
          <w:jc w:val="center"/>
        </w:trPr>
        <w:tc>
          <w:tcPr>
            <w:tcW w:w="1915" w:type="dxa"/>
          </w:tcPr>
          <w:p w14:paraId="28F9186D" w14:textId="77777777" w:rsidR="00BD0DD8" w:rsidRPr="008762D1" w:rsidRDefault="00BD0DD8" w:rsidP="00233A05">
            <w:pPr>
              <w:pStyle w:val="IFT1"/>
              <w:tabs>
                <w:tab w:val="left" w:pos="426"/>
              </w:tabs>
              <w:autoSpaceDE w:val="0"/>
              <w:autoSpaceDN w:val="0"/>
              <w:adjustRightInd w:val="0"/>
              <w:spacing w:after="0"/>
              <w:ind w:right="49"/>
              <w:rPr>
                <w:rFonts w:cs="Arial"/>
                <w:color w:val="000000" w:themeColor="text1"/>
                <w:lang w:eastAsia="es-MX"/>
              </w:rPr>
            </w:pPr>
          </w:p>
        </w:tc>
        <w:tc>
          <w:tcPr>
            <w:tcW w:w="2195" w:type="dxa"/>
          </w:tcPr>
          <w:p w14:paraId="772AE03E" w14:textId="77777777" w:rsidR="00BD0DD8" w:rsidRPr="008762D1" w:rsidRDefault="00BD0DD8" w:rsidP="00233A05">
            <w:pPr>
              <w:pStyle w:val="IFT1"/>
              <w:tabs>
                <w:tab w:val="left" w:pos="426"/>
              </w:tabs>
              <w:autoSpaceDE w:val="0"/>
              <w:autoSpaceDN w:val="0"/>
              <w:adjustRightInd w:val="0"/>
              <w:spacing w:after="0"/>
              <w:ind w:right="49"/>
              <w:rPr>
                <w:rFonts w:cs="Arial"/>
                <w:color w:val="000000" w:themeColor="text1"/>
                <w:lang w:eastAsia="es-MX"/>
              </w:rPr>
            </w:pPr>
            <w:r w:rsidRPr="008762D1">
              <w:rPr>
                <w:rFonts w:cs="Arial"/>
                <w:color w:val="000000" w:themeColor="text1"/>
                <w:lang w:eastAsia="es-MX"/>
              </w:rPr>
              <w:t>80% resueltos</w:t>
            </w:r>
          </w:p>
        </w:tc>
        <w:tc>
          <w:tcPr>
            <w:tcW w:w="1702" w:type="dxa"/>
          </w:tcPr>
          <w:p w14:paraId="42E991C6" w14:textId="77777777" w:rsidR="00BD0DD8" w:rsidRPr="008762D1" w:rsidRDefault="00BD0DD8" w:rsidP="00233A05">
            <w:pPr>
              <w:pStyle w:val="IFT1"/>
              <w:tabs>
                <w:tab w:val="left" w:pos="426"/>
              </w:tabs>
              <w:autoSpaceDE w:val="0"/>
              <w:autoSpaceDN w:val="0"/>
              <w:adjustRightInd w:val="0"/>
              <w:spacing w:after="0"/>
              <w:ind w:right="49"/>
              <w:rPr>
                <w:rFonts w:cs="Arial"/>
                <w:color w:val="000000" w:themeColor="text1"/>
                <w:lang w:eastAsia="es-MX"/>
              </w:rPr>
            </w:pPr>
            <w:r w:rsidRPr="008762D1">
              <w:rPr>
                <w:rFonts w:cs="Arial"/>
                <w:color w:val="000000" w:themeColor="text1"/>
                <w:lang w:eastAsia="es-MX"/>
              </w:rPr>
              <w:t xml:space="preserve">100% resueltos </w:t>
            </w:r>
          </w:p>
        </w:tc>
        <w:tc>
          <w:tcPr>
            <w:tcW w:w="2268" w:type="dxa"/>
          </w:tcPr>
          <w:p w14:paraId="158A3E76" w14:textId="77777777" w:rsidR="00BD0DD8" w:rsidRPr="008762D1" w:rsidRDefault="00BD0DD8" w:rsidP="00233A05">
            <w:pPr>
              <w:pStyle w:val="IFT1"/>
              <w:tabs>
                <w:tab w:val="left" w:pos="426"/>
              </w:tabs>
              <w:autoSpaceDE w:val="0"/>
              <w:autoSpaceDN w:val="0"/>
              <w:adjustRightInd w:val="0"/>
              <w:spacing w:after="0"/>
              <w:ind w:right="49"/>
              <w:rPr>
                <w:rFonts w:cs="Arial"/>
                <w:color w:val="000000" w:themeColor="text1"/>
                <w:lang w:eastAsia="es-MX"/>
              </w:rPr>
            </w:pPr>
            <w:r w:rsidRPr="008762D1">
              <w:rPr>
                <w:rFonts w:cs="Arial"/>
                <w:color w:val="000000" w:themeColor="text1"/>
                <w:lang w:eastAsia="es-MX"/>
              </w:rPr>
              <w:t>100% Resueltos</w:t>
            </w:r>
          </w:p>
        </w:tc>
      </w:tr>
      <w:tr w:rsidR="00BD0DD8" w:rsidRPr="008762D1" w14:paraId="6FDC75C8" w14:textId="77777777" w:rsidTr="0061455C">
        <w:trPr>
          <w:jc w:val="center"/>
        </w:trPr>
        <w:tc>
          <w:tcPr>
            <w:tcW w:w="1915" w:type="dxa"/>
          </w:tcPr>
          <w:p w14:paraId="33B5617F" w14:textId="77777777" w:rsidR="00BD0DD8" w:rsidRPr="008762D1" w:rsidRDefault="00BD0DD8" w:rsidP="00233A05">
            <w:pPr>
              <w:pStyle w:val="IFT1"/>
              <w:tabs>
                <w:tab w:val="left" w:pos="426"/>
              </w:tabs>
              <w:autoSpaceDE w:val="0"/>
              <w:autoSpaceDN w:val="0"/>
              <w:adjustRightInd w:val="0"/>
              <w:spacing w:after="0"/>
              <w:ind w:right="49"/>
              <w:rPr>
                <w:rFonts w:cs="Arial"/>
                <w:color w:val="000000" w:themeColor="text1"/>
                <w:lang w:eastAsia="es-MX"/>
              </w:rPr>
            </w:pPr>
            <w:r w:rsidRPr="008762D1">
              <w:rPr>
                <w:rFonts w:cs="Arial"/>
                <w:color w:val="000000" w:themeColor="text1"/>
                <w:lang w:eastAsia="es-MX"/>
              </w:rPr>
              <w:t>Interconexión</w:t>
            </w:r>
          </w:p>
        </w:tc>
        <w:tc>
          <w:tcPr>
            <w:tcW w:w="2195" w:type="dxa"/>
          </w:tcPr>
          <w:p w14:paraId="506A0127" w14:textId="77777777" w:rsidR="00BD0DD8" w:rsidRPr="008762D1" w:rsidRDefault="00BD0DD8" w:rsidP="00233A05">
            <w:pPr>
              <w:pStyle w:val="IFT1"/>
              <w:tabs>
                <w:tab w:val="left" w:pos="426"/>
              </w:tabs>
              <w:autoSpaceDE w:val="0"/>
              <w:autoSpaceDN w:val="0"/>
              <w:adjustRightInd w:val="0"/>
              <w:spacing w:after="0"/>
              <w:ind w:right="49"/>
              <w:rPr>
                <w:rFonts w:cs="Arial"/>
                <w:color w:val="000000" w:themeColor="text1"/>
                <w:lang w:eastAsia="es-MX"/>
              </w:rPr>
            </w:pPr>
            <w:r w:rsidRPr="008762D1">
              <w:rPr>
                <w:rFonts w:cs="Arial"/>
                <w:color w:val="000000" w:themeColor="text1"/>
                <w:lang w:eastAsia="es-MX"/>
              </w:rPr>
              <w:t xml:space="preserve">3 </w:t>
            </w:r>
            <w:proofErr w:type="spellStart"/>
            <w:r w:rsidRPr="008762D1">
              <w:rPr>
                <w:rFonts w:cs="Arial"/>
                <w:color w:val="000000" w:themeColor="text1"/>
                <w:lang w:eastAsia="es-MX"/>
              </w:rPr>
              <w:t>hrs</w:t>
            </w:r>
            <w:proofErr w:type="spellEnd"/>
          </w:p>
        </w:tc>
        <w:tc>
          <w:tcPr>
            <w:tcW w:w="1702" w:type="dxa"/>
          </w:tcPr>
          <w:p w14:paraId="0DBB21F8" w14:textId="77777777" w:rsidR="00BD0DD8" w:rsidRPr="008762D1" w:rsidRDefault="00BD0DD8" w:rsidP="00233A05">
            <w:pPr>
              <w:pStyle w:val="IFT1"/>
              <w:tabs>
                <w:tab w:val="left" w:pos="426"/>
              </w:tabs>
              <w:autoSpaceDE w:val="0"/>
              <w:autoSpaceDN w:val="0"/>
              <w:adjustRightInd w:val="0"/>
              <w:spacing w:after="0"/>
              <w:ind w:right="49"/>
              <w:rPr>
                <w:rFonts w:cs="Arial"/>
                <w:color w:val="000000" w:themeColor="text1"/>
                <w:lang w:eastAsia="es-MX"/>
              </w:rPr>
            </w:pPr>
            <w:r w:rsidRPr="008762D1">
              <w:rPr>
                <w:rFonts w:cs="Arial"/>
                <w:color w:val="000000" w:themeColor="text1"/>
                <w:lang w:eastAsia="es-MX"/>
              </w:rPr>
              <w:t xml:space="preserve">6 </w:t>
            </w:r>
            <w:proofErr w:type="spellStart"/>
            <w:r w:rsidRPr="008762D1">
              <w:rPr>
                <w:rFonts w:cs="Arial"/>
                <w:color w:val="000000" w:themeColor="text1"/>
                <w:lang w:eastAsia="es-MX"/>
              </w:rPr>
              <w:t>hrs</w:t>
            </w:r>
            <w:proofErr w:type="spellEnd"/>
          </w:p>
        </w:tc>
        <w:tc>
          <w:tcPr>
            <w:tcW w:w="2268" w:type="dxa"/>
          </w:tcPr>
          <w:p w14:paraId="5F12D0AD" w14:textId="77777777" w:rsidR="00BD0DD8" w:rsidRPr="008762D1" w:rsidRDefault="00BD0DD8" w:rsidP="00233A05">
            <w:pPr>
              <w:pStyle w:val="IFT1"/>
              <w:tabs>
                <w:tab w:val="left" w:pos="426"/>
              </w:tabs>
              <w:autoSpaceDE w:val="0"/>
              <w:autoSpaceDN w:val="0"/>
              <w:adjustRightInd w:val="0"/>
              <w:spacing w:after="0"/>
              <w:ind w:right="49"/>
              <w:rPr>
                <w:rFonts w:cs="Arial"/>
                <w:color w:val="000000" w:themeColor="text1"/>
                <w:lang w:eastAsia="es-MX"/>
              </w:rPr>
            </w:pPr>
            <w:r w:rsidRPr="008762D1">
              <w:rPr>
                <w:rFonts w:cs="Arial"/>
                <w:color w:val="000000" w:themeColor="text1"/>
                <w:lang w:eastAsia="es-MX"/>
              </w:rPr>
              <w:t xml:space="preserve">8 </w:t>
            </w:r>
            <w:proofErr w:type="spellStart"/>
            <w:r w:rsidRPr="008762D1">
              <w:rPr>
                <w:rFonts w:cs="Arial"/>
                <w:color w:val="000000" w:themeColor="text1"/>
                <w:lang w:eastAsia="es-MX"/>
              </w:rPr>
              <w:t>hrs</w:t>
            </w:r>
            <w:proofErr w:type="spellEnd"/>
          </w:p>
        </w:tc>
      </w:tr>
    </w:tbl>
    <w:p w14:paraId="374A35C3" w14:textId="77777777" w:rsidR="00BD0DD8" w:rsidRPr="008762D1" w:rsidRDefault="00BD0DD8"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0A597EE9" w14:textId="77777777" w:rsidR="000F0B9F" w:rsidRPr="008762D1" w:rsidRDefault="00670E1B"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Al respecto se señala que los plazos establecidos para la prestación de los servicios de interconexión son consistentes con los plazos autorizados en el CMI 201</w:t>
      </w:r>
      <w:r w:rsidR="00073707" w:rsidRPr="008762D1">
        <w:rPr>
          <w:rFonts w:ascii="ITC Avant Garde" w:hAnsi="ITC Avant Garde"/>
          <w:color w:val="000000" w:themeColor="text1"/>
        </w:rPr>
        <w:t>7</w:t>
      </w:r>
      <w:r w:rsidRPr="008762D1">
        <w:rPr>
          <w:rFonts w:ascii="ITC Avant Garde" w:hAnsi="ITC Avant Garde"/>
          <w:color w:val="000000" w:themeColor="text1"/>
        </w:rPr>
        <w:t>, asimismo, son acordes a los plazos para la prestación de los enlaces dedicados de interconexión señalados en el Anexo G.</w:t>
      </w:r>
    </w:p>
    <w:p w14:paraId="26FAA636" w14:textId="5A9467A8" w:rsidR="00D3220D" w:rsidRPr="008762D1" w:rsidRDefault="00D3220D" w:rsidP="00A04FEF">
      <w:pPr>
        <w:spacing w:before="240" w:line="276" w:lineRule="auto"/>
        <w:ind w:right="-93"/>
        <w:jc w:val="both"/>
        <w:rPr>
          <w:rFonts w:ascii="ITC Avant Garde" w:hAnsi="ITC Avant Garde"/>
          <w:color w:val="000000" w:themeColor="text1"/>
        </w:rPr>
      </w:pPr>
      <w:r w:rsidRPr="008762D1">
        <w:rPr>
          <w:rFonts w:ascii="ITC Avant Garde" w:hAnsi="ITC Avant Garde"/>
          <w:color w:val="000000" w:themeColor="text1"/>
        </w:rPr>
        <w:t>En el mismo sentido, la Medida Vigésima de las Medidas Fijas establece los plazos máximos de reparación de fallas de los enlaces locales, entre localidades y de larga distancia internacional así como los enlaces de interconexi</w:t>
      </w:r>
      <w:r w:rsidR="00C45B9B" w:rsidRPr="008762D1">
        <w:rPr>
          <w:rFonts w:ascii="ITC Avant Garde" w:hAnsi="ITC Avant Garde"/>
          <w:color w:val="000000" w:themeColor="text1"/>
        </w:rPr>
        <w:t>ón</w:t>
      </w:r>
      <w:r w:rsidRPr="008762D1">
        <w:rPr>
          <w:rFonts w:ascii="ITC Avant Garde" w:hAnsi="ITC Avant Garde"/>
          <w:color w:val="000000" w:themeColor="text1"/>
        </w:rPr>
        <w:t>:</w:t>
      </w:r>
    </w:p>
    <w:tbl>
      <w:tblPr>
        <w:tblStyle w:val="Tablaconcuadrcula"/>
        <w:tblW w:w="0" w:type="auto"/>
        <w:jc w:val="center"/>
        <w:tblLook w:val="04A0" w:firstRow="1" w:lastRow="0" w:firstColumn="1" w:lastColumn="0" w:noHBand="0" w:noVBand="1"/>
        <w:tblCaption w:val="Tabla"/>
        <w:tblDescription w:val="Tipo de incidencia"/>
      </w:tblPr>
      <w:tblGrid>
        <w:gridCol w:w="1797"/>
        <w:gridCol w:w="2926"/>
        <w:gridCol w:w="1411"/>
      </w:tblGrid>
      <w:tr w:rsidR="008762D1" w:rsidRPr="008762D1" w14:paraId="78841EED" w14:textId="77777777" w:rsidTr="00A04FEF">
        <w:trPr>
          <w:tblHeader/>
          <w:jc w:val="center"/>
        </w:trPr>
        <w:tc>
          <w:tcPr>
            <w:tcW w:w="1797" w:type="dxa"/>
            <w:tcBorders>
              <w:bottom w:val="nil"/>
            </w:tcBorders>
            <w:shd w:val="clear" w:color="auto" w:fill="A6A6A6" w:themeFill="background1" w:themeFillShade="A6"/>
            <w:vAlign w:val="center"/>
          </w:tcPr>
          <w:p w14:paraId="0B36E715" w14:textId="370AB636" w:rsidR="00233A05" w:rsidRPr="00A04FEF" w:rsidRDefault="00233A05" w:rsidP="00A04FEF">
            <w:pPr>
              <w:spacing w:line="276" w:lineRule="auto"/>
              <w:ind w:right="-93"/>
              <w:jc w:val="center"/>
              <w:rPr>
                <w:rFonts w:ascii="ITC Avant Garde" w:hAnsi="ITC Avant Garde"/>
                <w:b/>
                <w:color w:val="000000" w:themeColor="text1"/>
                <w:sz w:val="18"/>
                <w:szCs w:val="18"/>
              </w:rPr>
            </w:pPr>
          </w:p>
        </w:tc>
        <w:tc>
          <w:tcPr>
            <w:tcW w:w="2926" w:type="dxa"/>
            <w:tcBorders>
              <w:right w:val="nil"/>
            </w:tcBorders>
            <w:shd w:val="clear" w:color="auto" w:fill="A6A6A6" w:themeFill="background1" w:themeFillShade="A6"/>
            <w:vAlign w:val="center"/>
          </w:tcPr>
          <w:p w14:paraId="0385E8F8" w14:textId="77777777" w:rsidR="00233A05" w:rsidRPr="00A04FEF" w:rsidRDefault="00233A05" w:rsidP="00A04FEF">
            <w:pPr>
              <w:spacing w:line="276" w:lineRule="auto"/>
              <w:ind w:right="-93"/>
              <w:jc w:val="center"/>
              <w:rPr>
                <w:rFonts w:ascii="ITC Avant Garde" w:hAnsi="ITC Avant Garde"/>
                <w:b/>
                <w:color w:val="000000" w:themeColor="text1"/>
                <w:sz w:val="18"/>
                <w:szCs w:val="18"/>
              </w:rPr>
            </w:pPr>
            <w:r w:rsidRPr="00A04FEF">
              <w:rPr>
                <w:rFonts w:ascii="ITC Avant Garde" w:hAnsi="ITC Avant Garde"/>
                <w:b/>
                <w:color w:val="000000" w:themeColor="text1"/>
                <w:sz w:val="18"/>
                <w:szCs w:val="18"/>
              </w:rPr>
              <w:t>Plazos máximos</w:t>
            </w:r>
          </w:p>
        </w:tc>
        <w:tc>
          <w:tcPr>
            <w:tcW w:w="1410" w:type="dxa"/>
            <w:tcBorders>
              <w:left w:val="nil"/>
            </w:tcBorders>
            <w:shd w:val="clear" w:color="auto" w:fill="A6A6A6" w:themeFill="background1" w:themeFillShade="A6"/>
            <w:vAlign w:val="center"/>
          </w:tcPr>
          <w:p w14:paraId="544BBC50" w14:textId="015A629E" w:rsidR="00233A05" w:rsidRPr="00A04FEF" w:rsidRDefault="00233A05" w:rsidP="00A04FEF">
            <w:pPr>
              <w:spacing w:line="276" w:lineRule="auto"/>
              <w:ind w:right="-93"/>
              <w:jc w:val="center"/>
              <w:rPr>
                <w:rFonts w:ascii="ITC Avant Garde" w:hAnsi="ITC Avant Garde"/>
                <w:b/>
                <w:color w:val="000000" w:themeColor="text1"/>
                <w:sz w:val="18"/>
                <w:szCs w:val="18"/>
              </w:rPr>
            </w:pPr>
          </w:p>
        </w:tc>
      </w:tr>
      <w:tr w:rsidR="008762D1" w:rsidRPr="008762D1" w14:paraId="359C717E" w14:textId="77777777" w:rsidTr="00A04FEF">
        <w:trPr>
          <w:jc w:val="center"/>
        </w:trPr>
        <w:tc>
          <w:tcPr>
            <w:tcW w:w="1797" w:type="dxa"/>
            <w:tcBorders>
              <w:top w:val="nil"/>
            </w:tcBorders>
            <w:shd w:val="clear" w:color="auto" w:fill="A6A6A6" w:themeFill="background1" w:themeFillShade="A6"/>
          </w:tcPr>
          <w:p w14:paraId="7FA37071" w14:textId="30FCFF46" w:rsidR="00D3220D" w:rsidRPr="00A04FEF" w:rsidRDefault="00233A05" w:rsidP="00233A05">
            <w:pPr>
              <w:spacing w:line="276" w:lineRule="auto"/>
              <w:ind w:right="-93"/>
              <w:jc w:val="both"/>
              <w:rPr>
                <w:rFonts w:ascii="ITC Avant Garde" w:hAnsi="ITC Avant Garde"/>
                <w:b/>
                <w:color w:val="000000" w:themeColor="text1"/>
                <w:sz w:val="18"/>
                <w:szCs w:val="18"/>
              </w:rPr>
            </w:pPr>
            <w:r w:rsidRPr="00A04FEF">
              <w:rPr>
                <w:rFonts w:ascii="ITC Avant Garde" w:hAnsi="ITC Avant Garde"/>
                <w:b/>
                <w:color w:val="000000" w:themeColor="text1"/>
                <w:sz w:val="18"/>
                <w:szCs w:val="18"/>
              </w:rPr>
              <w:t>Tipo de incidencia</w:t>
            </w:r>
          </w:p>
        </w:tc>
        <w:tc>
          <w:tcPr>
            <w:tcW w:w="2926" w:type="dxa"/>
          </w:tcPr>
          <w:p w14:paraId="3C1D931E" w14:textId="77777777" w:rsidR="00D3220D" w:rsidRPr="00A04FEF" w:rsidRDefault="00D3220D" w:rsidP="00233A05">
            <w:pPr>
              <w:spacing w:line="276" w:lineRule="auto"/>
              <w:ind w:right="79"/>
              <w:jc w:val="both"/>
              <w:rPr>
                <w:rFonts w:ascii="ITC Avant Garde" w:hAnsi="ITC Avant Garde"/>
                <w:b/>
                <w:color w:val="000000" w:themeColor="text1"/>
                <w:sz w:val="18"/>
                <w:szCs w:val="18"/>
              </w:rPr>
            </w:pPr>
            <w:r w:rsidRPr="00A04FEF">
              <w:rPr>
                <w:rFonts w:ascii="ITC Avant Garde" w:hAnsi="ITC Avant Garde"/>
                <w:b/>
                <w:color w:val="000000" w:themeColor="text1"/>
                <w:sz w:val="18"/>
                <w:szCs w:val="18"/>
              </w:rPr>
              <w:t>Enlaces locales, entre localidades y de larga distancia internacional</w:t>
            </w:r>
          </w:p>
        </w:tc>
        <w:tc>
          <w:tcPr>
            <w:tcW w:w="1410" w:type="dxa"/>
          </w:tcPr>
          <w:p w14:paraId="55A1A74F" w14:textId="77777777" w:rsidR="00D3220D" w:rsidRPr="00A04FEF" w:rsidRDefault="00D3220D" w:rsidP="00233A05">
            <w:pPr>
              <w:spacing w:line="276" w:lineRule="auto"/>
              <w:ind w:right="-93"/>
              <w:jc w:val="both"/>
              <w:rPr>
                <w:rFonts w:ascii="ITC Avant Garde" w:hAnsi="ITC Avant Garde"/>
                <w:b/>
                <w:color w:val="000000" w:themeColor="text1"/>
                <w:sz w:val="18"/>
                <w:szCs w:val="18"/>
              </w:rPr>
            </w:pPr>
            <w:r w:rsidRPr="00A04FEF">
              <w:rPr>
                <w:rFonts w:ascii="ITC Avant Garde" w:hAnsi="ITC Avant Garde"/>
                <w:b/>
                <w:color w:val="000000" w:themeColor="text1"/>
                <w:sz w:val="18"/>
                <w:szCs w:val="18"/>
              </w:rPr>
              <w:t>Enlaces de Interconexión</w:t>
            </w:r>
          </w:p>
        </w:tc>
      </w:tr>
      <w:tr w:rsidR="008762D1" w:rsidRPr="008762D1" w14:paraId="0A260F7B" w14:textId="77777777" w:rsidTr="00A04FEF">
        <w:trPr>
          <w:jc w:val="center"/>
        </w:trPr>
        <w:tc>
          <w:tcPr>
            <w:tcW w:w="1797" w:type="dxa"/>
          </w:tcPr>
          <w:p w14:paraId="4DBAC8E9"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Prioridad 1</w:t>
            </w:r>
          </w:p>
        </w:tc>
        <w:tc>
          <w:tcPr>
            <w:tcW w:w="2926" w:type="dxa"/>
          </w:tcPr>
          <w:p w14:paraId="11BA8031"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4 horas</w:t>
            </w:r>
          </w:p>
        </w:tc>
        <w:tc>
          <w:tcPr>
            <w:tcW w:w="1410" w:type="dxa"/>
          </w:tcPr>
          <w:p w14:paraId="3AD4A0B5"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1 hora</w:t>
            </w:r>
          </w:p>
        </w:tc>
      </w:tr>
      <w:tr w:rsidR="008762D1" w:rsidRPr="008762D1" w14:paraId="7DEF88B7" w14:textId="77777777" w:rsidTr="00A04FEF">
        <w:trPr>
          <w:jc w:val="center"/>
        </w:trPr>
        <w:tc>
          <w:tcPr>
            <w:tcW w:w="1797" w:type="dxa"/>
          </w:tcPr>
          <w:p w14:paraId="712C9F59"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Prioridad 2</w:t>
            </w:r>
          </w:p>
        </w:tc>
        <w:tc>
          <w:tcPr>
            <w:tcW w:w="2926" w:type="dxa"/>
          </w:tcPr>
          <w:p w14:paraId="57EA05FA"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8 horas</w:t>
            </w:r>
          </w:p>
        </w:tc>
        <w:tc>
          <w:tcPr>
            <w:tcW w:w="1410" w:type="dxa"/>
          </w:tcPr>
          <w:p w14:paraId="47F43058"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 horas</w:t>
            </w:r>
          </w:p>
        </w:tc>
      </w:tr>
      <w:tr w:rsidR="00A04FEF" w:rsidRPr="008762D1" w14:paraId="6986DE03" w14:textId="77777777" w:rsidTr="00A04FEF">
        <w:trPr>
          <w:jc w:val="center"/>
        </w:trPr>
        <w:tc>
          <w:tcPr>
            <w:tcW w:w="1797" w:type="dxa"/>
          </w:tcPr>
          <w:p w14:paraId="695CD222"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Prioridad 3</w:t>
            </w:r>
          </w:p>
        </w:tc>
        <w:tc>
          <w:tcPr>
            <w:tcW w:w="2926" w:type="dxa"/>
          </w:tcPr>
          <w:p w14:paraId="28F653B8"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10 horas</w:t>
            </w:r>
          </w:p>
        </w:tc>
        <w:tc>
          <w:tcPr>
            <w:tcW w:w="1410" w:type="dxa"/>
          </w:tcPr>
          <w:p w14:paraId="0CF68CDE" w14:textId="77777777" w:rsidR="00D3220D" w:rsidRPr="008762D1" w:rsidRDefault="00D3220D" w:rsidP="00233A05">
            <w:pPr>
              <w:spacing w:line="276" w:lineRule="auto"/>
              <w:ind w:right="-93"/>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5 horas </w:t>
            </w:r>
          </w:p>
        </w:tc>
      </w:tr>
    </w:tbl>
    <w:p w14:paraId="435D90F0" w14:textId="77777777" w:rsidR="000F0B9F" w:rsidRPr="008762D1" w:rsidRDefault="00C45B9B"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 xml:space="preserve">Es así que en las disposiciones aplicables se establecen los plazos máximos para la atención de fallas del servicio de enlaces dedicados de interconexión por lo cual resulta obligatorio su cumplimiento. Por otra parte, los puertos de interconexión son </w:t>
      </w:r>
      <w:r w:rsidRPr="008762D1">
        <w:rPr>
          <w:rFonts w:ascii="ITC Avant Garde" w:hAnsi="ITC Avant Garde"/>
          <w:color w:val="000000" w:themeColor="text1"/>
        </w:rPr>
        <w:lastRenderedPageBreak/>
        <w:t>un servicio inherente a la prestación del servicio de enlaces dedicados de interconexión, es decir; los puertos de interconexión constituyen un elemento de red necesario para la prestación del servicio de enlaces dedicados de interconexión, por lo tanto no es factible establecer plazos de atención de fallas diferentes para el servicio de puertos de interconexión y el servicio de enlaces dedicados de interconexión.</w:t>
      </w:r>
    </w:p>
    <w:p w14:paraId="65DEFF24" w14:textId="5F72F904" w:rsidR="0057777E" w:rsidRPr="008762D1" w:rsidRDefault="00C45B9B" w:rsidP="00A04FEF">
      <w:pPr>
        <w:spacing w:before="240" w:line="276" w:lineRule="auto"/>
        <w:ind w:right="-93"/>
        <w:jc w:val="both"/>
        <w:rPr>
          <w:rFonts w:ascii="ITC Avant Garde" w:hAnsi="ITC Avant Garde"/>
          <w:color w:val="000000" w:themeColor="text1"/>
        </w:rPr>
      </w:pPr>
      <w:r w:rsidRPr="008762D1">
        <w:rPr>
          <w:rFonts w:ascii="ITC Avant Garde" w:hAnsi="ITC Avant Garde"/>
          <w:color w:val="000000" w:themeColor="text1"/>
        </w:rPr>
        <w:t xml:space="preserve">De hacerlo así, no se podrían cumplir con los plazos máximos de atención a fallas establecidos en la Medida Vigésima de las Medidas Fijas, por lo anterior se modifica el CMI en el siguiente </w:t>
      </w:r>
      <w:r w:rsidR="00DC4A6E" w:rsidRPr="008762D1">
        <w:rPr>
          <w:rFonts w:ascii="ITC Avant Garde" w:hAnsi="ITC Avant Garde"/>
          <w:color w:val="000000" w:themeColor="text1"/>
        </w:rPr>
        <w:t>sentido</w:t>
      </w:r>
      <w:r w:rsidRPr="008762D1">
        <w:rPr>
          <w:rFonts w:ascii="ITC Avant Garde" w:hAnsi="ITC Avant Garde"/>
          <w:color w:val="000000" w:themeColor="text1"/>
        </w:rPr>
        <w:t>:</w:t>
      </w:r>
    </w:p>
    <w:tbl>
      <w:tblPr>
        <w:tblStyle w:val="Tablaconcuadrcula"/>
        <w:tblW w:w="0" w:type="auto"/>
        <w:jc w:val="center"/>
        <w:tblLook w:val="04A0" w:firstRow="1" w:lastRow="0" w:firstColumn="1" w:lastColumn="0" w:noHBand="0" w:noVBand="1"/>
        <w:tblCaption w:val="Tabla"/>
        <w:tblDescription w:val="Tipo de servicio"/>
      </w:tblPr>
      <w:tblGrid>
        <w:gridCol w:w="1796"/>
        <w:gridCol w:w="3017"/>
        <w:gridCol w:w="2126"/>
        <w:gridCol w:w="1838"/>
      </w:tblGrid>
      <w:tr w:rsidR="008762D1" w:rsidRPr="00A04FEF" w14:paraId="5D6F5F39" w14:textId="77777777" w:rsidTr="00A04FEF">
        <w:trPr>
          <w:tblHeader/>
          <w:jc w:val="center"/>
        </w:trPr>
        <w:tc>
          <w:tcPr>
            <w:tcW w:w="1797" w:type="dxa"/>
            <w:shd w:val="clear" w:color="auto" w:fill="A6A6A6" w:themeFill="background1" w:themeFillShade="A6"/>
            <w:vAlign w:val="center"/>
          </w:tcPr>
          <w:p w14:paraId="233D8DDB" w14:textId="77777777" w:rsidR="00AC7459" w:rsidRPr="00A04FEF" w:rsidRDefault="00AC7459" w:rsidP="00A04FEF">
            <w:pPr>
              <w:pStyle w:val="IFT1"/>
              <w:tabs>
                <w:tab w:val="left" w:pos="426"/>
              </w:tabs>
              <w:autoSpaceDE w:val="0"/>
              <w:autoSpaceDN w:val="0"/>
              <w:adjustRightInd w:val="0"/>
              <w:spacing w:after="0"/>
              <w:ind w:right="49"/>
              <w:jc w:val="center"/>
              <w:rPr>
                <w:rFonts w:cs="Arial"/>
                <w:b/>
                <w:color w:val="000000" w:themeColor="text1"/>
                <w:sz w:val="18"/>
                <w:szCs w:val="18"/>
                <w:lang w:eastAsia="es-MX"/>
              </w:rPr>
            </w:pPr>
            <w:r w:rsidRPr="00A04FEF">
              <w:rPr>
                <w:rFonts w:cs="Arial"/>
                <w:b/>
                <w:color w:val="000000" w:themeColor="text1"/>
                <w:sz w:val="18"/>
                <w:szCs w:val="18"/>
                <w:lang w:eastAsia="es-MX"/>
              </w:rPr>
              <w:t>Tipo de Servicio</w:t>
            </w:r>
          </w:p>
        </w:tc>
        <w:tc>
          <w:tcPr>
            <w:tcW w:w="3018" w:type="dxa"/>
            <w:shd w:val="clear" w:color="auto" w:fill="A6A6A6" w:themeFill="background1" w:themeFillShade="A6"/>
            <w:vAlign w:val="center"/>
          </w:tcPr>
          <w:p w14:paraId="0B77C575" w14:textId="77777777" w:rsidR="00AC7459" w:rsidRPr="00A04FEF" w:rsidRDefault="00AC7459" w:rsidP="00A04FEF">
            <w:pPr>
              <w:pStyle w:val="IFT1"/>
              <w:tabs>
                <w:tab w:val="left" w:pos="426"/>
              </w:tabs>
              <w:autoSpaceDE w:val="0"/>
              <w:autoSpaceDN w:val="0"/>
              <w:adjustRightInd w:val="0"/>
              <w:spacing w:after="0"/>
              <w:ind w:right="49"/>
              <w:jc w:val="center"/>
              <w:rPr>
                <w:rFonts w:cs="Arial"/>
                <w:b/>
                <w:color w:val="000000" w:themeColor="text1"/>
                <w:sz w:val="18"/>
                <w:szCs w:val="18"/>
                <w:lang w:eastAsia="es-MX"/>
              </w:rPr>
            </w:pPr>
            <w:r w:rsidRPr="00A04FEF">
              <w:rPr>
                <w:rFonts w:cs="Arial"/>
                <w:b/>
                <w:color w:val="000000" w:themeColor="text1"/>
                <w:sz w:val="18"/>
                <w:szCs w:val="18"/>
                <w:lang w:eastAsia="es-MX"/>
              </w:rPr>
              <w:t>Prioridad 1</w:t>
            </w:r>
          </w:p>
          <w:p w14:paraId="0CDEC424" w14:textId="77777777" w:rsidR="00AC7459" w:rsidRPr="00A04FEF" w:rsidRDefault="00AC7459" w:rsidP="00A04FEF">
            <w:pPr>
              <w:pStyle w:val="IFT1"/>
              <w:tabs>
                <w:tab w:val="left" w:pos="426"/>
              </w:tabs>
              <w:autoSpaceDE w:val="0"/>
              <w:autoSpaceDN w:val="0"/>
              <w:adjustRightInd w:val="0"/>
              <w:spacing w:after="0"/>
              <w:ind w:right="49"/>
              <w:jc w:val="center"/>
              <w:rPr>
                <w:rFonts w:cs="Arial"/>
                <w:b/>
                <w:color w:val="000000" w:themeColor="text1"/>
                <w:sz w:val="18"/>
                <w:szCs w:val="18"/>
                <w:lang w:eastAsia="es-MX"/>
              </w:rPr>
            </w:pPr>
            <w:r w:rsidRPr="00A04FEF">
              <w:rPr>
                <w:rFonts w:cs="Arial"/>
                <w:b/>
                <w:color w:val="000000" w:themeColor="text1"/>
                <w:sz w:val="18"/>
                <w:szCs w:val="18"/>
                <w:lang w:eastAsia="es-MX"/>
              </w:rPr>
              <w:t>(Servicio Totalmente Afectado)</w:t>
            </w:r>
          </w:p>
        </w:tc>
        <w:tc>
          <w:tcPr>
            <w:tcW w:w="2126" w:type="dxa"/>
            <w:shd w:val="clear" w:color="auto" w:fill="A6A6A6" w:themeFill="background1" w:themeFillShade="A6"/>
            <w:vAlign w:val="center"/>
          </w:tcPr>
          <w:p w14:paraId="59175A1D" w14:textId="77777777" w:rsidR="00AC7459" w:rsidRPr="00A04FEF" w:rsidRDefault="00AC7459" w:rsidP="00A04FEF">
            <w:pPr>
              <w:pStyle w:val="IFT1"/>
              <w:tabs>
                <w:tab w:val="left" w:pos="426"/>
              </w:tabs>
              <w:autoSpaceDE w:val="0"/>
              <w:autoSpaceDN w:val="0"/>
              <w:adjustRightInd w:val="0"/>
              <w:spacing w:after="0"/>
              <w:ind w:right="49"/>
              <w:jc w:val="center"/>
              <w:rPr>
                <w:rFonts w:cs="Arial"/>
                <w:b/>
                <w:color w:val="000000" w:themeColor="text1"/>
                <w:sz w:val="18"/>
                <w:szCs w:val="18"/>
                <w:lang w:eastAsia="es-MX"/>
              </w:rPr>
            </w:pPr>
            <w:r w:rsidRPr="00A04FEF">
              <w:rPr>
                <w:rFonts w:cs="Arial"/>
                <w:b/>
                <w:color w:val="000000" w:themeColor="text1"/>
                <w:sz w:val="18"/>
                <w:szCs w:val="18"/>
                <w:lang w:eastAsia="es-MX"/>
              </w:rPr>
              <w:t>Prioridad 2</w:t>
            </w:r>
          </w:p>
          <w:p w14:paraId="6FE8FDD9" w14:textId="77777777" w:rsidR="00AC7459" w:rsidRPr="00A04FEF" w:rsidRDefault="00AC7459" w:rsidP="00A04FEF">
            <w:pPr>
              <w:pStyle w:val="IFT1"/>
              <w:tabs>
                <w:tab w:val="left" w:pos="426"/>
              </w:tabs>
              <w:autoSpaceDE w:val="0"/>
              <w:autoSpaceDN w:val="0"/>
              <w:adjustRightInd w:val="0"/>
              <w:spacing w:after="0"/>
              <w:ind w:right="49"/>
              <w:jc w:val="center"/>
              <w:rPr>
                <w:rFonts w:cs="Arial"/>
                <w:b/>
                <w:color w:val="000000" w:themeColor="text1"/>
                <w:sz w:val="18"/>
                <w:szCs w:val="18"/>
                <w:lang w:eastAsia="es-MX"/>
              </w:rPr>
            </w:pPr>
            <w:r w:rsidRPr="00A04FEF">
              <w:rPr>
                <w:rFonts w:cs="Arial"/>
                <w:b/>
                <w:color w:val="000000" w:themeColor="text1"/>
                <w:sz w:val="18"/>
                <w:szCs w:val="18"/>
                <w:lang w:eastAsia="es-MX"/>
              </w:rPr>
              <w:t>(Afectación Parcial)</w:t>
            </w:r>
          </w:p>
        </w:tc>
        <w:tc>
          <w:tcPr>
            <w:tcW w:w="1838" w:type="dxa"/>
            <w:shd w:val="clear" w:color="auto" w:fill="A6A6A6" w:themeFill="background1" w:themeFillShade="A6"/>
            <w:vAlign w:val="center"/>
          </w:tcPr>
          <w:p w14:paraId="585F5C93" w14:textId="77777777" w:rsidR="00AC7459" w:rsidRPr="00A04FEF" w:rsidRDefault="00AC7459" w:rsidP="00A04FEF">
            <w:pPr>
              <w:pStyle w:val="IFT1"/>
              <w:tabs>
                <w:tab w:val="left" w:pos="426"/>
              </w:tabs>
              <w:autoSpaceDE w:val="0"/>
              <w:autoSpaceDN w:val="0"/>
              <w:adjustRightInd w:val="0"/>
              <w:spacing w:after="0"/>
              <w:ind w:right="49"/>
              <w:jc w:val="center"/>
              <w:rPr>
                <w:rFonts w:cs="Arial"/>
                <w:b/>
                <w:color w:val="000000" w:themeColor="text1"/>
                <w:sz w:val="18"/>
                <w:szCs w:val="18"/>
                <w:u w:val="single"/>
                <w:lang w:eastAsia="es-MX"/>
              </w:rPr>
            </w:pPr>
            <w:r w:rsidRPr="00A04FEF">
              <w:rPr>
                <w:rFonts w:cs="Arial"/>
                <w:b/>
                <w:color w:val="000000" w:themeColor="text1"/>
                <w:sz w:val="18"/>
                <w:szCs w:val="18"/>
                <w:u w:val="single"/>
                <w:lang w:eastAsia="es-MX"/>
              </w:rPr>
              <w:t>Prioridad 3</w:t>
            </w:r>
          </w:p>
        </w:tc>
      </w:tr>
      <w:tr w:rsidR="008762D1" w:rsidRPr="008762D1" w14:paraId="3822B8F3" w14:textId="77777777" w:rsidTr="002C2E28">
        <w:trPr>
          <w:jc w:val="center"/>
        </w:trPr>
        <w:tc>
          <w:tcPr>
            <w:tcW w:w="1797" w:type="dxa"/>
          </w:tcPr>
          <w:p w14:paraId="14A4F629" w14:textId="77777777" w:rsidR="00AC7459" w:rsidRPr="008762D1" w:rsidRDefault="00AC7459" w:rsidP="00233A05">
            <w:pPr>
              <w:pStyle w:val="IFT1"/>
              <w:tabs>
                <w:tab w:val="left" w:pos="426"/>
              </w:tabs>
              <w:autoSpaceDE w:val="0"/>
              <w:autoSpaceDN w:val="0"/>
              <w:adjustRightInd w:val="0"/>
              <w:spacing w:after="0"/>
              <w:ind w:right="49"/>
              <w:rPr>
                <w:rFonts w:cs="Arial"/>
                <w:color w:val="000000" w:themeColor="text1"/>
                <w:sz w:val="18"/>
                <w:szCs w:val="18"/>
                <w:lang w:eastAsia="es-MX"/>
              </w:rPr>
            </w:pPr>
            <w:r w:rsidRPr="008762D1">
              <w:rPr>
                <w:rFonts w:cs="Arial"/>
                <w:color w:val="000000" w:themeColor="text1"/>
                <w:sz w:val="18"/>
                <w:szCs w:val="18"/>
                <w:lang w:eastAsia="es-MX"/>
              </w:rPr>
              <w:t>Interconexión</w:t>
            </w:r>
          </w:p>
        </w:tc>
        <w:tc>
          <w:tcPr>
            <w:tcW w:w="3018" w:type="dxa"/>
          </w:tcPr>
          <w:p w14:paraId="17843E51" w14:textId="77777777" w:rsidR="00AC7459" w:rsidRPr="008762D1" w:rsidRDefault="00AC7459" w:rsidP="00233A05">
            <w:pPr>
              <w:pStyle w:val="IFT1"/>
              <w:tabs>
                <w:tab w:val="left" w:pos="426"/>
              </w:tabs>
              <w:autoSpaceDE w:val="0"/>
              <w:autoSpaceDN w:val="0"/>
              <w:adjustRightInd w:val="0"/>
              <w:spacing w:after="0"/>
              <w:ind w:right="49"/>
              <w:rPr>
                <w:rFonts w:cs="Arial"/>
                <w:color w:val="000000" w:themeColor="text1"/>
                <w:sz w:val="18"/>
                <w:szCs w:val="18"/>
                <w:u w:val="single"/>
                <w:lang w:eastAsia="es-MX"/>
              </w:rPr>
            </w:pPr>
            <w:r w:rsidRPr="008762D1">
              <w:rPr>
                <w:rFonts w:cs="Arial"/>
                <w:strike/>
                <w:color w:val="000000" w:themeColor="text1"/>
                <w:sz w:val="18"/>
                <w:szCs w:val="18"/>
                <w:u w:val="single"/>
                <w:lang w:eastAsia="es-MX"/>
              </w:rPr>
              <w:t xml:space="preserve">3 </w:t>
            </w:r>
            <w:proofErr w:type="spellStart"/>
            <w:r w:rsidRPr="008762D1">
              <w:rPr>
                <w:rFonts w:cs="Arial"/>
                <w:strike/>
                <w:color w:val="000000" w:themeColor="text1"/>
                <w:sz w:val="18"/>
                <w:szCs w:val="18"/>
                <w:u w:val="single"/>
                <w:lang w:eastAsia="es-MX"/>
              </w:rPr>
              <w:t>hrs</w:t>
            </w:r>
            <w:proofErr w:type="spellEnd"/>
            <w:r w:rsidRPr="008762D1">
              <w:rPr>
                <w:rFonts w:cs="Arial"/>
                <w:strike/>
                <w:color w:val="000000" w:themeColor="text1"/>
                <w:sz w:val="18"/>
                <w:szCs w:val="18"/>
                <w:u w:val="single"/>
                <w:lang w:eastAsia="es-MX"/>
              </w:rPr>
              <w:t xml:space="preserve"> </w:t>
            </w:r>
            <w:r w:rsidRPr="008762D1">
              <w:rPr>
                <w:rFonts w:cs="Arial"/>
                <w:color w:val="000000" w:themeColor="text1"/>
                <w:sz w:val="18"/>
                <w:szCs w:val="18"/>
                <w:u w:val="single"/>
                <w:lang w:eastAsia="es-MX"/>
              </w:rPr>
              <w:t xml:space="preserve">1 </w:t>
            </w:r>
            <w:proofErr w:type="spellStart"/>
            <w:r w:rsidRPr="008762D1">
              <w:rPr>
                <w:rFonts w:cs="Arial"/>
                <w:color w:val="000000" w:themeColor="text1"/>
                <w:sz w:val="18"/>
                <w:szCs w:val="18"/>
                <w:u w:val="single"/>
                <w:lang w:eastAsia="es-MX"/>
              </w:rPr>
              <w:t>hrs</w:t>
            </w:r>
            <w:proofErr w:type="spellEnd"/>
          </w:p>
        </w:tc>
        <w:tc>
          <w:tcPr>
            <w:tcW w:w="2126" w:type="dxa"/>
          </w:tcPr>
          <w:p w14:paraId="47575E7A" w14:textId="77777777" w:rsidR="00AC7459" w:rsidRPr="008762D1" w:rsidRDefault="00AC7459" w:rsidP="00233A05">
            <w:pPr>
              <w:pStyle w:val="IFT1"/>
              <w:tabs>
                <w:tab w:val="left" w:pos="426"/>
              </w:tabs>
              <w:autoSpaceDE w:val="0"/>
              <w:autoSpaceDN w:val="0"/>
              <w:adjustRightInd w:val="0"/>
              <w:spacing w:after="0"/>
              <w:ind w:right="49"/>
              <w:rPr>
                <w:rFonts w:cs="Arial"/>
                <w:color w:val="000000" w:themeColor="text1"/>
                <w:sz w:val="18"/>
                <w:szCs w:val="18"/>
                <w:u w:val="single"/>
                <w:lang w:eastAsia="es-MX"/>
              </w:rPr>
            </w:pPr>
            <w:r w:rsidRPr="008762D1">
              <w:rPr>
                <w:rFonts w:cs="Arial"/>
                <w:strike/>
                <w:color w:val="000000" w:themeColor="text1"/>
                <w:sz w:val="18"/>
                <w:szCs w:val="18"/>
                <w:u w:val="single"/>
                <w:lang w:eastAsia="es-MX"/>
              </w:rPr>
              <w:t xml:space="preserve">8 </w:t>
            </w:r>
            <w:proofErr w:type="spellStart"/>
            <w:r w:rsidRPr="008762D1">
              <w:rPr>
                <w:rFonts w:cs="Arial"/>
                <w:strike/>
                <w:color w:val="000000" w:themeColor="text1"/>
                <w:sz w:val="18"/>
                <w:szCs w:val="18"/>
                <w:u w:val="single"/>
                <w:lang w:eastAsia="es-MX"/>
              </w:rPr>
              <w:t>hrs</w:t>
            </w:r>
            <w:proofErr w:type="spellEnd"/>
            <w:r w:rsidRPr="008762D1">
              <w:rPr>
                <w:rFonts w:cs="Arial"/>
                <w:strike/>
                <w:color w:val="000000" w:themeColor="text1"/>
                <w:sz w:val="18"/>
                <w:szCs w:val="18"/>
                <w:u w:val="single"/>
                <w:lang w:eastAsia="es-MX"/>
              </w:rPr>
              <w:t xml:space="preserve"> </w:t>
            </w:r>
            <w:r w:rsidRPr="008762D1">
              <w:rPr>
                <w:rFonts w:cs="Arial"/>
                <w:color w:val="000000" w:themeColor="text1"/>
                <w:sz w:val="18"/>
                <w:szCs w:val="18"/>
                <w:u w:val="single"/>
                <w:lang w:eastAsia="es-MX"/>
              </w:rPr>
              <w:t xml:space="preserve">2 </w:t>
            </w:r>
            <w:proofErr w:type="spellStart"/>
            <w:r w:rsidRPr="008762D1">
              <w:rPr>
                <w:rFonts w:cs="Arial"/>
                <w:color w:val="000000" w:themeColor="text1"/>
                <w:sz w:val="18"/>
                <w:szCs w:val="18"/>
                <w:u w:val="single"/>
                <w:lang w:eastAsia="es-MX"/>
              </w:rPr>
              <w:t>hrs</w:t>
            </w:r>
            <w:proofErr w:type="spellEnd"/>
          </w:p>
        </w:tc>
        <w:tc>
          <w:tcPr>
            <w:tcW w:w="1838" w:type="dxa"/>
          </w:tcPr>
          <w:p w14:paraId="7DD038DF" w14:textId="77777777" w:rsidR="00AC7459" w:rsidRPr="008762D1" w:rsidRDefault="00AC7459" w:rsidP="00233A05">
            <w:pPr>
              <w:pStyle w:val="IFT1"/>
              <w:tabs>
                <w:tab w:val="left" w:pos="426"/>
              </w:tabs>
              <w:autoSpaceDE w:val="0"/>
              <w:autoSpaceDN w:val="0"/>
              <w:adjustRightInd w:val="0"/>
              <w:spacing w:after="0"/>
              <w:ind w:right="49"/>
              <w:rPr>
                <w:rFonts w:cs="Arial"/>
                <w:color w:val="000000" w:themeColor="text1"/>
                <w:sz w:val="18"/>
                <w:szCs w:val="18"/>
                <w:u w:val="single"/>
                <w:lang w:eastAsia="es-MX"/>
              </w:rPr>
            </w:pPr>
            <w:r w:rsidRPr="008762D1">
              <w:rPr>
                <w:rFonts w:cs="Arial"/>
                <w:color w:val="000000" w:themeColor="text1"/>
                <w:sz w:val="18"/>
                <w:szCs w:val="18"/>
                <w:u w:val="single"/>
                <w:lang w:eastAsia="es-MX"/>
              </w:rPr>
              <w:t>5 horas</w:t>
            </w:r>
          </w:p>
        </w:tc>
      </w:tr>
    </w:tbl>
    <w:p w14:paraId="24DD60F7" w14:textId="77777777" w:rsidR="000F0B9F" w:rsidRPr="008762D1" w:rsidRDefault="00334946"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6C0816F3" w14:textId="77777777" w:rsidR="000F0B9F" w:rsidRPr="008762D1" w:rsidRDefault="0052000A"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 xml:space="preserve">Respecto del resto del contenido del Anexo E, se señala que en el mismo se establecen los parámetros de calidad, pronósticos para el suministro de servicios, mantenimiento y reparaciones, referentes a diversos servicios de interconexión, por lo que se considera procedente su </w:t>
      </w:r>
      <w:r w:rsidR="00073707" w:rsidRPr="008762D1">
        <w:rPr>
          <w:rFonts w:ascii="ITC Avant Garde" w:hAnsi="ITC Avant Garde"/>
          <w:color w:val="000000" w:themeColor="text1"/>
        </w:rPr>
        <w:t>aprobación</w:t>
      </w:r>
      <w:r w:rsidRPr="008762D1">
        <w:rPr>
          <w:rFonts w:ascii="ITC Avant Garde" w:hAnsi="ITC Avant Garde"/>
          <w:color w:val="000000" w:themeColor="text1"/>
        </w:rPr>
        <w:t>.</w:t>
      </w:r>
    </w:p>
    <w:p w14:paraId="751E6E46" w14:textId="7EFA8688" w:rsidR="000F0B9F" w:rsidRPr="008762D1" w:rsidRDefault="00921EB9" w:rsidP="000F0B9F">
      <w:pPr>
        <w:pStyle w:val="IFT1"/>
        <w:numPr>
          <w:ilvl w:val="1"/>
          <w:numId w:val="9"/>
        </w:numPr>
        <w:tabs>
          <w:tab w:val="left" w:pos="284"/>
          <w:tab w:val="left" w:pos="567"/>
        </w:tabs>
        <w:spacing w:before="240" w:after="0"/>
        <w:ind w:left="284" w:hanging="284"/>
        <w:rPr>
          <w:rFonts w:cs="Arial"/>
          <w:b/>
          <w:color w:val="000000" w:themeColor="text1"/>
        </w:rPr>
      </w:pPr>
      <w:r w:rsidRPr="008762D1">
        <w:rPr>
          <w:rFonts w:cs="Arial"/>
          <w:b/>
          <w:color w:val="000000" w:themeColor="text1"/>
        </w:rPr>
        <w:t>ANEXO F. FORMATO DE PRONÓSTICOS.</w:t>
      </w:r>
    </w:p>
    <w:p w14:paraId="6C086E99" w14:textId="77777777" w:rsidR="000F0B9F" w:rsidRPr="008762D1" w:rsidRDefault="00603F7F" w:rsidP="000F0B9F">
      <w:pPr>
        <w:pStyle w:val="IFT1"/>
        <w:tabs>
          <w:tab w:val="left" w:pos="284"/>
          <w:tab w:val="left" w:pos="567"/>
        </w:tabs>
        <w:spacing w:before="240" w:after="0"/>
        <w:rPr>
          <w:rFonts w:cs="Arial"/>
          <w:color w:val="000000" w:themeColor="text1"/>
        </w:rPr>
      </w:pPr>
      <w:r w:rsidRPr="008762D1">
        <w:rPr>
          <w:rFonts w:cs="Arial"/>
          <w:color w:val="000000" w:themeColor="text1"/>
        </w:rPr>
        <w:t>Respecto al Anexo F</w:t>
      </w:r>
      <w:r w:rsidR="0041619D" w:rsidRPr="008762D1">
        <w:rPr>
          <w:rFonts w:cs="Arial"/>
          <w:color w:val="000000" w:themeColor="text1"/>
        </w:rPr>
        <w:t xml:space="preserve"> se observa que dicho anexo versa sobre el formato que se utilizará para presentar los pronósticos de los servicios </w:t>
      </w:r>
      <w:r w:rsidR="00BF68FF" w:rsidRPr="008762D1">
        <w:rPr>
          <w:rFonts w:cs="Arial"/>
          <w:color w:val="000000" w:themeColor="text1"/>
        </w:rPr>
        <w:t xml:space="preserve">de </w:t>
      </w:r>
      <w:proofErr w:type="spellStart"/>
      <w:r w:rsidR="00BF68FF" w:rsidRPr="008762D1">
        <w:rPr>
          <w:rFonts w:cs="Arial"/>
          <w:color w:val="000000" w:themeColor="text1"/>
        </w:rPr>
        <w:t>coubicación</w:t>
      </w:r>
      <w:proofErr w:type="spellEnd"/>
      <w:r w:rsidR="00BF68FF" w:rsidRPr="008762D1">
        <w:rPr>
          <w:rFonts w:cs="Arial"/>
          <w:color w:val="000000" w:themeColor="text1"/>
        </w:rPr>
        <w:t>, puertos y enlaces de señalización que</w:t>
      </w:r>
      <w:r w:rsidR="00760249" w:rsidRPr="008762D1">
        <w:rPr>
          <w:rFonts w:cs="Arial"/>
          <w:color w:val="000000" w:themeColor="text1"/>
        </w:rPr>
        <w:t xml:space="preserve"> serán requeridos por los CS. </w:t>
      </w:r>
    </w:p>
    <w:p w14:paraId="681B2048" w14:textId="77777777" w:rsidR="000F0B9F" w:rsidRPr="008762D1" w:rsidRDefault="00760249" w:rsidP="000F0B9F">
      <w:pPr>
        <w:pStyle w:val="IFT1"/>
        <w:tabs>
          <w:tab w:val="left" w:pos="284"/>
          <w:tab w:val="left" w:pos="567"/>
        </w:tabs>
        <w:spacing w:before="240" w:after="0"/>
        <w:rPr>
          <w:rFonts w:cs="Arial"/>
          <w:color w:val="000000" w:themeColor="text1"/>
        </w:rPr>
      </w:pPr>
      <w:r w:rsidRPr="008762D1">
        <w:rPr>
          <w:rFonts w:cs="Arial"/>
          <w:color w:val="000000" w:themeColor="text1"/>
        </w:rPr>
        <w:t>No obstante lo anterior,</w:t>
      </w:r>
      <w:r w:rsidR="002968EB" w:rsidRPr="008762D1">
        <w:rPr>
          <w:rFonts w:cs="Arial"/>
          <w:color w:val="000000" w:themeColor="text1"/>
        </w:rPr>
        <w:t xml:space="preserve"> se observa que dichos formatos hacen referencia al año para el cual se realizan los pronósticos y no al semestre correspondiente, por lo anterior a efecto de proporcionar certeza sobre el semestre al cual pertenecen los pronósticos y ser consistentes con el procedimiento de presentación de pronósticos establecido en el Anexo E Calidad, se modifican los formatos de los servicios de </w:t>
      </w:r>
      <w:proofErr w:type="spellStart"/>
      <w:r w:rsidR="002968EB" w:rsidRPr="008762D1">
        <w:rPr>
          <w:rFonts w:cs="Arial"/>
          <w:color w:val="000000" w:themeColor="text1"/>
        </w:rPr>
        <w:t>coubicación</w:t>
      </w:r>
      <w:proofErr w:type="spellEnd"/>
      <w:r w:rsidR="002968EB" w:rsidRPr="008762D1">
        <w:rPr>
          <w:rFonts w:cs="Arial"/>
          <w:color w:val="000000" w:themeColor="text1"/>
        </w:rPr>
        <w:t>, puertos y enlaces de señalización</w:t>
      </w:r>
      <w:r w:rsidR="006168E1" w:rsidRPr="008762D1">
        <w:rPr>
          <w:rFonts w:cs="Arial"/>
          <w:color w:val="000000" w:themeColor="text1"/>
        </w:rPr>
        <w:t>, las modificaciones no se transcriben, sin embargo forman parte del Anexo que acompaña al presente documento.</w:t>
      </w:r>
      <w:r w:rsidR="00DA4848" w:rsidRPr="008762D1">
        <w:rPr>
          <w:rFonts w:cs="Arial"/>
          <w:color w:val="000000" w:themeColor="text1"/>
        </w:rPr>
        <w:t xml:space="preserve"> </w:t>
      </w:r>
    </w:p>
    <w:p w14:paraId="1CAA53FD" w14:textId="77777777" w:rsidR="000F0B9F" w:rsidRPr="008762D1" w:rsidRDefault="0090033D" w:rsidP="000F0B9F">
      <w:pPr>
        <w:pStyle w:val="IFT1"/>
        <w:numPr>
          <w:ilvl w:val="1"/>
          <w:numId w:val="9"/>
        </w:numPr>
        <w:tabs>
          <w:tab w:val="left" w:pos="284"/>
          <w:tab w:val="left" w:pos="567"/>
        </w:tabs>
        <w:spacing w:before="240" w:after="0"/>
        <w:ind w:left="284" w:hanging="284"/>
        <w:rPr>
          <w:rFonts w:cs="Arial"/>
          <w:b/>
          <w:color w:val="000000" w:themeColor="text1"/>
          <w:lang w:eastAsia="es-MX"/>
        </w:rPr>
      </w:pPr>
      <w:r w:rsidRPr="008762D1">
        <w:rPr>
          <w:rFonts w:cs="Arial"/>
          <w:b/>
          <w:color w:val="000000" w:themeColor="text1"/>
        </w:rPr>
        <w:t>ANEXO G.</w:t>
      </w:r>
      <w:r w:rsidR="00A85B60" w:rsidRPr="008762D1">
        <w:rPr>
          <w:rFonts w:cs="Arial"/>
          <w:b/>
          <w:color w:val="000000" w:themeColor="text1"/>
        </w:rPr>
        <w:t xml:space="preserve"> </w:t>
      </w:r>
      <w:r w:rsidR="001F11F1" w:rsidRPr="008762D1">
        <w:rPr>
          <w:b/>
          <w:color w:val="000000" w:themeColor="text1"/>
        </w:rPr>
        <w:t>ENLACES DEDICADOS DE INT</w:t>
      </w:r>
      <w:r w:rsidR="00226A30" w:rsidRPr="008762D1">
        <w:rPr>
          <w:b/>
          <w:color w:val="000000" w:themeColor="text1"/>
        </w:rPr>
        <w:t>ERCONEXIÓN.</w:t>
      </w:r>
    </w:p>
    <w:p w14:paraId="2DD49B61" w14:textId="77777777" w:rsidR="000F0B9F" w:rsidRPr="008762D1" w:rsidRDefault="001F1755" w:rsidP="000F0B9F">
      <w:pPr>
        <w:pStyle w:val="IFT1"/>
        <w:numPr>
          <w:ilvl w:val="2"/>
          <w:numId w:val="9"/>
        </w:numPr>
        <w:tabs>
          <w:tab w:val="left" w:pos="284"/>
          <w:tab w:val="left" w:pos="567"/>
        </w:tabs>
        <w:spacing w:before="240" w:after="0"/>
        <w:ind w:left="863" w:hanging="863"/>
        <w:rPr>
          <w:rFonts w:cs="Arial"/>
          <w:b/>
          <w:color w:val="000000" w:themeColor="text1"/>
          <w:lang w:eastAsia="es-MX"/>
        </w:rPr>
      </w:pPr>
      <w:r w:rsidRPr="008762D1">
        <w:rPr>
          <w:rFonts w:cs="Arial"/>
          <w:b/>
          <w:color w:val="000000" w:themeColor="text1"/>
        </w:rPr>
        <w:t>INTERFACES DE LOS SERVICIOS</w:t>
      </w:r>
      <w:r w:rsidR="008A786C" w:rsidRPr="008762D1">
        <w:rPr>
          <w:rFonts w:cs="Arial"/>
          <w:b/>
          <w:color w:val="000000" w:themeColor="text1"/>
        </w:rPr>
        <w:t>.</w:t>
      </w:r>
    </w:p>
    <w:p w14:paraId="495917F9" w14:textId="4D64C489" w:rsidR="00917D40" w:rsidRPr="008762D1" w:rsidRDefault="00917D40"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1AC409F1" w14:textId="77777777" w:rsidR="000F0B9F" w:rsidRPr="008762D1" w:rsidRDefault="00D75B8A"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lastRenderedPageBreak/>
        <w:t>Al respecto, del análisis de</w:t>
      </w:r>
      <w:r w:rsidR="00564D55" w:rsidRPr="008762D1">
        <w:rPr>
          <w:rFonts w:ascii="ITC Avant Garde" w:eastAsia="Times New Roman" w:hAnsi="ITC Avant Garde" w:cs="Arial"/>
          <w:iCs/>
          <w:color w:val="000000" w:themeColor="text1"/>
        </w:rPr>
        <w:t>l numeral 2.1</w:t>
      </w:r>
      <w:r w:rsidRPr="008762D1">
        <w:rPr>
          <w:rFonts w:ascii="ITC Avant Garde" w:eastAsia="Times New Roman" w:hAnsi="ITC Avant Garde" w:cs="Arial"/>
          <w:iCs/>
          <w:color w:val="000000" w:themeColor="text1"/>
        </w:rPr>
        <w:t xml:space="preserve"> </w:t>
      </w:r>
      <w:r w:rsidR="00917D40" w:rsidRPr="008762D1">
        <w:rPr>
          <w:rFonts w:ascii="ITC Avant Garde" w:eastAsia="Times New Roman" w:hAnsi="ITC Avant Garde" w:cs="Arial"/>
          <w:iCs/>
          <w:color w:val="000000" w:themeColor="text1"/>
        </w:rPr>
        <w:t>Servicios Mayoristas de Arrendamiento de Enlaces Dedicados de Interconexión</w:t>
      </w:r>
      <w:r w:rsidRPr="008762D1">
        <w:rPr>
          <w:rFonts w:ascii="ITC Avant Garde" w:eastAsia="Times New Roman" w:hAnsi="ITC Avant Garde" w:cs="Arial"/>
          <w:iCs/>
          <w:color w:val="000000" w:themeColor="text1"/>
        </w:rPr>
        <w:t xml:space="preserve"> del Anexo G se observó que los términos </w:t>
      </w:r>
      <w:r w:rsidR="00FE3D75" w:rsidRPr="008762D1">
        <w:rPr>
          <w:rFonts w:ascii="ITC Avant Garde" w:eastAsia="Times New Roman" w:hAnsi="ITC Avant Garde" w:cs="Arial"/>
          <w:iCs/>
          <w:color w:val="000000" w:themeColor="text1"/>
        </w:rPr>
        <w:t>no se apegaban</w:t>
      </w:r>
      <w:r w:rsidR="00B80C2F" w:rsidRPr="008762D1">
        <w:rPr>
          <w:rFonts w:ascii="ITC Avant Garde" w:eastAsia="Times New Roman" w:hAnsi="ITC Avant Garde" w:cs="Arial"/>
          <w:iCs/>
          <w:color w:val="000000" w:themeColor="text1"/>
        </w:rPr>
        <w:t xml:space="preserve"> al marco regulatorio vigente </w:t>
      </w:r>
      <w:r w:rsidR="00B80C2F" w:rsidRPr="008762D1">
        <w:rPr>
          <w:rFonts w:ascii="ITC Avant Garde" w:hAnsi="ITC Avant Garde" w:cs="Arial"/>
          <w:color w:val="000000" w:themeColor="text1"/>
        </w:rPr>
        <w:t>ni a</w:t>
      </w:r>
      <w:r w:rsidR="00B80C2F" w:rsidRPr="008762D1">
        <w:rPr>
          <w:rFonts w:ascii="ITC Avant Garde" w:hAnsi="ITC Avant Garde"/>
          <w:color w:val="000000" w:themeColor="text1"/>
        </w:rPr>
        <w:t xml:space="preserve"> los términos y condiciones </w:t>
      </w:r>
      <w:r w:rsidR="00B80C2F" w:rsidRPr="008762D1">
        <w:rPr>
          <w:rFonts w:ascii="ITC Avant Garde" w:hAnsi="ITC Avant Garde"/>
          <w:bCs/>
          <w:color w:val="000000" w:themeColor="text1"/>
        </w:rPr>
        <w:t xml:space="preserve">establecidos en el CMI 2017 </w:t>
      </w:r>
      <w:r w:rsidR="00B80C2F" w:rsidRPr="008762D1">
        <w:rPr>
          <w:rFonts w:ascii="ITC Avant Garde" w:hAnsi="ITC Avant Garde"/>
          <w:color w:val="000000" w:themeColor="text1"/>
        </w:rPr>
        <w:t xml:space="preserve">autorizado mediante Acuerdo </w:t>
      </w:r>
      <w:r w:rsidR="00DA661D" w:rsidRPr="008762D1">
        <w:rPr>
          <w:rFonts w:ascii="ITC Avant Garde" w:hAnsi="ITC Avant Garde" w:cs="Arial"/>
          <w:bCs/>
          <w:color w:val="000000" w:themeColor="text1"/>
          <w:lang w:eastAsia="es-ES"/>
        </w:rPr>
        <w:t>P/IFT/EXT/241116/40</w:t>
      </w:r>
      <w:r w:rsidR="00B80C2F" w:rsidRPr="008762D1">
        <w:rPr>
          <w:rFonts w:ascii="ITC Avant Garde" w:hAnsi="ITC Avant Garde" w:cs="Arial"/>
          <w:bCs/>
          <w:color w:val="000000" w:themeColor="text1"/>
          <w:lang w:eastAsia="es-ES"/>
        </w:rPr>
        <w:t xml:space="preserve"> </w:t>
      </w:r>
      <w:r w:rsidR="00B80C2F"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7669CF" w:rsidRPr="008762D1">
        <w:rPr>
          <w:rFonts w:ascii="ITC Avant Garde" w:hAnsi="ITC Avant Garde"/>
          <w:bCs/>
          <w:color w:val="000000" w:themeColor="text1"/>
        </w:rPr>
        <w:t>ación; el Instituto no consideró</w:t>
      </w:r>
      <w:r w:rsidR="00B80C2F" w:rsidRPr="008762D1">
        <w:rPr>
          <w:rFonts w:ascii="ITC Avant Garde" w:hAnsi="ITC Avant Garde"/>
          <w:bCs/>
          <w:color w:val="000000" w:themeColor="text1"/>
        </w:rPr>
        <w:t xml:space="preserve"> procedente que en una revisión posterior del convenio ma</w:t>
      </w:r>
      <w:r w:rsidR="007669CF" w:rsidRPr="008762D1">
        <w:rPr>
          <w:rFonts w:ascii="ITC Avant Garde" w:hAnsi="ITC Avant Garde"/>
          <w:bCs/>
          <w:color w:val="000000" w:themeColor="text1"/>
        </w:rPr>
        <w:t>rco de interconexión se plantearan</w:t>
      </w:r>
      <w:r w:rsidR="00B80C2F" w:rsidRPr="008762D1">
        <w:rPr>
          <w:rFonts w:ascii="ITC Avant Garde" w:hAnsi="ITC Avant Garde"/>
          <w:bCs/>
          <w:color w:val="000000" w:themeColor="text1"/>
        </w:rPr>
        <w:t xml:space="preserve"> términos y condiciones menos favorables que los ya autorizados por el Instituto.</w:t>
      </w:r>
    </w:p>
    <w:p w14:paraId="32F4FE79" w14:textId="77777777" w:rsidR="000F0B9F" w:rsidRPr="008762D1" w:rsidRDefault="00917D40"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Lo anterior dado que el numeral 2.1</w:t>
      </w:r>
      <w:r w:rsidR="003153F6" w:rsidRPr="008762D1">
        <w:rPr>
          <w:rFonts w:ascii="ITC Avant Garde" w:hAnsi="ITC Avant Garde"/>
          <w:color w:val="000000" w:themeColor="text1"/>
        </w:rPr>
        <w:t xml:space="preserve"> Servicios Mayoristas de Arrendamiento de Enlaces Dedicados de Interconexión y 2.3 Capacidad de los Servicios</w:t>
      </w:r>
      <w:r w:rsidRPr="008762D1">
        <w:rPr>
          <w:rFonts w:ascii="ITC Avant Garde" w:hAnsi="ITC Avant Garde"/>
          <w:color w:val="000000" w:themeColor="text1"/>
        </w:rPr>
        <w:t xml:space="preserve"> no </w:t>
      </w:r>
      <w:r w:rsidR="007669CF" w:rsidRPr="008762D1">
        <w:rPr>
          <w:rFonts w:ascii="ITC Avant Garde" w:hAnsi="ITC Avant Garde"/>
          <w:color w:val="000000" w:themeColor="text1"/>
        </w:rPr>
        <w:t xml:space="preserve">se </w:t>
      </w:r>
      <w:r w:rsidRPr="008762D1">
        <w:rPr>
          <w:rFonts w:ascii="ITC Avant Garde" w:hAnsi="ITC Avant Garde"/>
          <w:color w:val="000000" w:themeColor="text1"/>
        </w:rPr>
        <w:t>señala</w:t>
      </w:r>
      <w:r w:rsidR="007669CF" w:rsidRPr="008762D1">
        <w:rPr>
          <w:rFonts w:ascii="ITC Avant Garde" w:hAnsi="ITC Avant Garde"/>
          <w:color w:val="000000" w:themeColor="text1"/>
        </w:rPr>
        <w:t>ban</w:t>
      </w:r>
      <w:r w:rsidRPr="008762D1">
        <w:rPr>
          <w:rFonts w:ascii="ITC Avant Garde" w:hAnsi="ITC Avant Garde"/>
          <w:color w:val="000000" w:themeColor="text1"/>
        </w:rPr>
        <w:t xml:space="preserve"> los tipos de interf</w:t>
      </w:r>
      <w:r w:rsidR="009F2F77" w:rsidRPr="008762D1">
        <w:rPr>
          <w:rFonts w:ascii="ITC Avant Garde" w:hAnsi="ITC Avant Garde"/>
          <w:color w:val="000000" w:themeColor="text1"/>
        </w:rPr>
        <w:t>a</w:t>
      </w:r>
      <w:r w:rsidR="00DC4A6E" w:rsidRPr="008762D1">
        <w:rPr>
          <w:rFonts w:ascii="ITC Avant Garde" w:hAnsi="ITC Avant Garde"/>
          <w:color w:val="000000" w:themeColor="text1"/>
        </w:rPr>
        <w:t>z</w:t>
      </w:r>
      <w:r w:rsidR="009F2F77" w:rsidRPr="008762D1">
        <w:rPr>
          <w:rFonts w:ascii="ITC Avant Garde" w:hAnsi="ITC Avant Garde"/>
          <w:color w:val="000000" w:themeColor="text1"/>
        </w:rPr>
        <w:t xml:space="preserve"> con los que se proporcionaría</w:t>
      </w:r>
      <w:r w:rsidRPr="008762D1">
        <w:rPr>
          <w:rFonts w:ascii="ITC Avant Garde" w:hAnsi="ITC Avant Garde"/>
          <w:color w:val="000000" w:themeColor="text1"/>
        </w:rPr>
        <w:t>n los enlaces dedicados, es así que el Insti</w:t>
      </w:r>
      <w:r w:rsidR="001F1755" w:rsidRPr="008762D1">
        <w:rPr>
          <w:rFonts w:ascii="ITC Avant Garde" w:hAnsi="ITC Avant Garde"/>
          <w:color w:val="000000" w:themeColor="text1"/>
        </w:rPr>
        <w:t>tuto modificó</w:t>
      </w:r>
      <w:r w:rsidRPr="008762D1">
        <w:rPr>
          <w:rFonts w:ascii="ITC Avant Garde" w:hAnsi="ITC Avant Garde"/>
          <w:color w:val="000000" w:themeColor="text1"/>
        </w:rPr>
        <w:t xml:space="preserve"> la redacción de</w:t>
      </w:r>
      <w:r w:rsidR="00FE3D75" w:rsidRPr="008762D1">
        <w:rPr>
          <w:rFonts w:ascii="ITC Avant Garde" w:hAnsi="ITC Avant Garde"/>
          <w:color w:val="000000" w:themeColor="text1"/>
        </w:rPr>
        <w:t xml:space="preserve"> </w:t>
      </w:r>
      <w:r w:rsidRPr="008762D1">
        <w:rPr>
          <w:rFonts w:ascii="ITC Avant Garde" w:hAnsi="ITC Avant Garde"/>
          <w:color w:val="000000" w:themeColor="text1"/>
        </w:rPr>
        <w:t>l</w:t>
      </w:r>
      <w:r w:rsidR="00FE3D75" w:rsidRPr="008762D1">
        <w:rPr>
          <w:rFonts w:ascii="ITC Avant Garde" w:hAnsi="ITC Avant Garde"/>
          <w:color w:val="000000" w:themeColor="text1"/>
        </w:rPr>
        <w:t>os</w:t>
      </w:r>
      <w:r w:rsidRPr="008762D1">
        <w:rPr>
          <w:rFonts w:ascii="ITC Avant Garde" w:hAnsi="ITC Avant Garde"/>
          <w:color w:val="000000" w:themeColor="text1"/>
        </w:rPr>
        <w:t xml:space="preserve"> numeral</w:t>
      </w:r>
      <w:r w:rsidR="00FE3D75" w:rsidRPr="008762D1">
        <w:rPr>
          <w:rFonts w:ascii="ITC Avant Garde" w:hAnsi="ITC Avant Garde"/>
          <w:color w:val="000000" w:themeColor="text1"/>
        </w:rPr>
        <w:t>es</w:t>
      </w:r>
      <w:r w:rsidRPr="008762D1">
        <w:rPr>
          <w:rFonts w:ascii="ITC Avant Garde" w:hAnsi="ITC Avant Garde"/>
          <w:color w:val="000000" w:themeColor="text1"/>
        </w:rPr>
        <w:t xml:space="preserve"> </w:t>
      </w:r>
      <w:r w:rsidR="00FE3D75" w:rsidRPr="008762D1">
        <w:rPr>
          <w:rFonts w:ascii="ITC Avant Garde" w:hAnsi="ITC Avant Garde"/>
          <w:color w:val="000000" w:themeColor="text1"/>
        </w:rPr>
        <w:t xml:space="preserve">2.1 y 2.3 </w:t>
      </w:r>
      <w:r w:rsidR="007669CF" w:rsidRPr="008762D1">
        <w:rPr>
          <w:rFonts w:ascii="ITC Avant Garde" w:hAnsi="ITC Avant Garde"/>
          <w:color w:val="000000" w:themeColor="text1"/>
        </w:rPr>
        <w:t>en el siguiente sentido:</w:t>
      </w:r>
    </w:p>
    <w:p w14:paraId="620C2CD2" w14:textId="6DBE2742" w:rsidR="007669CF" w:rsidRPr="008762D1" w:rsidRDefault="00765236"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r w:rsidR="007669CF" w:rsidRPr="008762D1">
        <w:rPr>
          <w:rFonts w:ascii="ITC Avant Garde" w:hAnsi="ITC Avant Garde"/>
          <w:color w:val="000000" w:themeColor="text1"/>
          <w:sz w:val="18"/>
          <w:szCs w:val="18"/>
        </w:rPr>
        <w:t>2. Servicio Comercial de Telecomunicaciones.</w:t>
      </w:r>
    </w:p>
    <w:p w14:paraId="5A50DA6F" w14:textId="77777777" w:rsidR="007669CF" w:rsidRPr="008762D1" w:rsidRDefault="007669CF"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2.1 Servicios Mayoristas de Arrendamiento de Enlaces Dedicados de Interconexión.</w:t>
      </w:r>
    </w:p>
    <w:p w14:paraId="6E6E305F" w14:textId="77777777" w:rsidR="000F0B9F" w:rsidRPr="008762D1" w:rsidRDefault="007669CF"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En el formato de solicitud de servicio, señalado en el Anexo “C”, Telmex especifica las condiciones particulares aplicables a los servicios de Arrendamiento de Enlaces Dedicados de Interconexión, tales como condiciones técnicas y operativas.</w:t>
      </w:r>
    </w:p>
    <w:p w14:paraId="5A2B59C8" w14:textId="77777777" w:rsidR="000F0B9F" w:rsidRPr="008762D1" w:rsidRDefault="007B553D"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El servicio Mayorista de Arrendamiento de Enlaces Dedicados de Interconexión, será ofrecido con velocidad E1 </w:t>
      </w:r>
      <w:r w:rsidRPr="008762D1">
        <w:rPr>
          <w:rFonts w:ascii="ITC Avant Garde" w:hAnsi="ITC Avant Garde"/>
          <w:strike/>
          <w:color w:val="000000" w:themeColor="text1"/>
          <w:sz w:val="18"/>
          <w:szCs w:val="18"/>
        </w:rPr>
        <w:t>(2 Mbps)</w:t>
      </w:r>
      <w:r w:rsidR="00667CD1" w:rsidRPr="008762D1">
        <w:rPr>
          <w:rFonts w:ascii="ITC Avant Garde" w:hAnsi="ITC Avant Garde"/>
          <w:strike/>
          <w:color w:val="000000" w:themeColor="text1"/>
          <w:sz w:val="18"/>
          <w:szCs w:val="18"/>
        </w:rPr>
        <w:t xml:space="preserve"> </w:t>
      </w:r>
      <w:r w:rsidR="00667CD1" w:rsidRPr="008762D1">
        <w:rPr>
          <w:rFonts w:ascii="ITC Avant Garde" w:hAnsi="ITC Avant Garde"/>
          <w:color w:val="000000" w:themeColor="text1"/>
          <w:sz w:val="18"/>
          <w:szCs w:val="18"/>
          <w:u w:val="single"/>
        </w:rPr>
        <w:t>y sus múltiplos</w:t>
      </w:r>
      <w:r w:rsidRPr="008762D1">
        <w:rPr>
          <w:rFonts w:ascii="ITC Avant Garde" w:hAnsi="ITC Avant Garde"/>
          <w:color w:val="000000" w:themeColor="text1"/>
          <w:sz w:val="18"/>
          <w:szCs w:val="18"/>
        </w:rPr>
        <w:t xml:space="preserve">, </w:t>
      </w:r>
      <w:r w:rsidRPr="008762D1">
        <w:rPr>
          <w:rFonts w:ascii="ITC Avant Garde" w:hAnsi="ITC Avant Garde"/>
          <w:strike/>
          <w:color w:val="000000" w:themeColor="text1"/>
          <w:sz w:val="18"/>
          <w:szCs w:val="18"/>
        </w:rPr>
        <w:t>E3 (34 Mbps)</w:t>
      </w:r>
      <w:r w:rsidRPr="008762D1">
        <w:rPr>
          <w:rFonts w:ascii="ITC Avant Garde" w:hAnsi="ITC Avant Garde"/>
          <w:color w:val="000000" w:themeColor="text1"/>
          <w:sz w:val="18"/>
          <w:szCs w:val="18"/>
        </w:rPr>
        <w:t xml:space="preserve">, STM1 </w:t>
      </w:r>
      <w:r w:rsidRPr="008762D1">
        <w:rPr>
          <w:rFonts w:ascii="ITC Avant Garde" w:hAnsi="ITC Avant Garde"/>
          <w:strike/>
          <w:color w:val="000000" w:themeColor="text1"/>
          <w:sz w:val="18"/>
          <w:szCs w:val="18"/>
        </w:rPr>
        <w:t>(155 Mbps)</w:t>
      </w:r>
      <w:r w:rsidRPr="008762D1">
        <w:rPr>
          <w:rFonts w:ascii="ITC Avant Garde" w:hAnsi="ITC Avant Garde"/>
          <w:color w:val="000000" w:themeColor="text1"/>
          <w:sz w:val="18"/>
          <w:szCs w:val="18"/>
        </w:rPr>
        <w:t xml:space="preserve">, así como Ethernet </w:t>
      </w:r>
      <w:r w:rsidR="00667CD1" w:rsidRPr="008762D1">
        <w:rPr>
          <w:rFonts w:ascii="ITC Avant Garde" w:hAnsi="ITC Avant Garde"/>
          <w:color w:val="000000" w:themeColor="text1"/>
          <w:sz w:val="18"/>
          <w:szCs w:val="18"/>
          <w:u w:val="single"/>
        </w:rPr>
        <w:t xml:space="preserve">de </w:t>
      </w:r>
      <w:r w:rsidR="00667CD1" w:rsidRPr="008762D1">
        <w:rPr>
          <w:rFonts w:ascii="ITC Avant Garde" w:hAnsi="ITC Avant Garde"/>
          <w:color w:val="000000" w:themeColor="text1"/>
          <w:sz w:val="18"/>
          <w:szCs w:val="18"/>
        </w:rPr>
        <w:t xml:space="preserve">1 </w:t>
      </w:r>
      <w:proofErr w:type="spellStart"/>
      <w:r w:rsidR="00667CD1" w:rsidRPr="008762D1">
        <w:rPr>
          <w:rFonts w:ascii="ITC Avant Garde" w:hAnsi="ITC Avant Garde"/>
          <w:color w:val="000000" w:themeColor="text1"/>
          <w:sz w:val="18"/>
          <w:szCs w:val="18"/>
        </w:rPr>
        <w:t>Gbps</w:t>
      </w:r>
      <w:proofErr w:type="spellEnd"/>
      <w:r w:rsidR="00667CD1" w:rsidRPr="008762D1">
        <w:rPr>
          <w:rFonts w:ascii="ITC Avant Garde" w:hAnsi="ITC Avant Garde"/>
          <w:color w:val="000000" w:themeColor="text1"/>
          <w:sz w:val="18"/>
          <w:szCs w:val="18"/>
        </w:rPr>
        <w:t xml:space="preserve"> </w:t>
      </w:r>
      <w:r w:rsidR="00667CD1" w:rsidRPr="008762D1">
        <w:rPr>
          <w:rFonts w:ascii="ITC Avant Garde" w:hAnsi="ITC Avant Garde"/>
          <w:color w:val="000000" w:themeColor="text1"/>
          <w:sz w:val="18"/>
          <w:szCs w:val="18"/>
          <w:u w:val="single"/>
        </w:rPr>
        <w:t xml:space="preserve">y 10 </w:t>
      </w:r>
      <w:proofErr w:type="spellStart"/>
      <w:r w:rsidR="00667CD1" w:rsidRPr="008762D1">
        <w:rPr>
          <w:rFonts w:ascii="ITC Avant Garde" w:hAnsi="ITC Avant Garde"/>
          <w:color w:val="000000" w:themeColor="text1"/>
          <w:sz w:val="18"/>
          <w:szCs w:val="18"/>
          <w:u w:val="single"/>
        </w:rPr>
        <w:t>Gbps</w:t>
      </w:r>
      <w:proofErr w:type="spellEnd"/>
      <w:r w:rsidR="00667CD1" w:rsidRPr="008762D1">
        <w:rPr>
          <w:rFonts w:ascii="ITC Avant Garde" w:hAnsi="ITC Avant Garde"/>
          <w:color w:val="000000" w:themeColor="text1"/>
          <w:sz w:val="18"/>
          <w:szCs w:val="18"/>
          <w:u w:val="single"/>
        </w:rPr>
        <w:t xml:space="preserve"> considerando de manera enunciativa más no limitativa como tipos de interface: V.35, G.703, RJ45, Óptica o Eléctrica</w:t>
      </w:r>
      <w:r w:rsidRPr="008762D1">
        <w:rPr>
          <w:rFonts w:ascii="ITC Avant Garde" w:hAnsi="ITC Avant Garde"/>
          <w:color w:val="000000" w:themeColor="text1"/>
          <w:sz w:val="18"/>
          <w:szCs w:val="18"/>
        </w:rPr>
        <w:t xml:space="preserve"> según se define en la Norma G.703 de la Unión Internacional de Telecomunicaciones y para el caso de enlaces Ethernet el servicio será ofrecido de conformidad con la Norma 802.3 del IEEE (</w:t>
      </w:r>
      <w:proofErr w:type="spellStart"/>
      <w:r w:rsidRPr="008762D1">
        <w:rPr>
          <w:rFonts w:ascii="ITC Avant Garde" w:hAnsi="ITC Avant Garde"/>
          <w:color w:val="000000" w:themeColor="text1"/>
          <w:sz w:val="18"/>
          <w:szCs w:val="18"/>
        </w:rPr>
        <w:t>Institute</w:t>
      </w:r>
      <w:proofErr w:type="spellEnd"/>
      <w:r w:rsidRPr="008762D1">
        <w:rPr>
          <w:rFonts w:ascii="ITC Avant Garde" w:hAnsi="ITC Avant Garde"/>
          <w:color w:val="000000" w:themeColor="text1"/>
          <w:sz w:val="18"/>
          <w:szCs w:val="18"/>
        </w:rPr>
        <w:t xml:space="preserve"> of </w:t>
      </w:r>
      <w:proofErr w:type="spellStart"/>
      <w:r w:rsidRPr="008762D1">
        <w:rPr>
          <w:rFonts w:ascii="ITC Avant Garde" w:hAnsi="ITC Avant Garde"/>
          <w:color w:val="000000" w:themeColor="text1"/>
          <w:sz w:val="18"/>
          <w:szCs w:val="18"/>
        </w:rPr>
        <w:t>Electrical</w:t>
      </w:r>
      <w:proofErr w:type="spellEnd"/>
      <w:r w:rsidRPr="008762D1">
        <w:rPr>
          <w:rFonts w:ascii="ITC Avant Garde" w:hAnsi="ITC Avant Garde"/>
          <w:color w:val="000000" w:themeColor="text1"/>
          <w:sz w:val="18"/>
          <w:szCs w:val="18"/>
        </w:rPr>
        <w:t xml:space="preserve"> and </w:t>
      </w:r>
      <w:proofErr w:type="spellStart"/>
      <w:r w:rsidRPr="008762D1">
        <w:rPr>
          <w:rFonts w:ascii="ITC Avant Garde" w:hAnsi="ITC Avant Garde"/>
          <w:color w:val="000000" w:themeColor="text1"/>
          <w:sz w:val="18"/>
          <w:szCs w:val="18"/>
        </w:rPr>
        <w:t>Electronics</w:t>
      </w:r>
      <w:proofErr w:type="spellEnd"/>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Engineers</w:t>
      </w:r>
      <w:proofErr w:type="spellEnd"/>
      <w:r w:rsidRPr="008762D1">
        <w:rPr>
          <w:rFonts w:ascii="ITC Avant Garde" w:hAnsi="ITC Avant Garde"/>
          <w:color w:val="000000" w:themeColor="text1"/>
          <w:sz w:val="18"/>
          <w:szCs w:val="18"/>
        </w:rPr>
        <w:t>).</w:t>
      </w:r>
      <w:r w:rsidR="00667CD1" w:rsidRPr="008762D1">
        <w:rPr>
          <w:rFonts w:ascii="ITC Avant Garde" w:hAnsi="ITC Avant Garde"/>
          <w:color w:val="000000" w:themeColor="text1"/>
          <w:sz w:val="18"/>
          <w:szCs w:val="18"/>
        </w:rPr>
        <w:t>”</w:t>
      </w:r>
    </w:p>
    <w:p w14:paraId="0AC88B98" w14:textId="77777777" w:rsidR="000F0B9F" w:rsidRPr="008762D1" w:rsidRDefault="00667CD1"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7677509E" w14:textId="77777777" w:rsidR="000F0B9F" w:rsidRPr="008762D1" w:rsidRDefault="001B611F"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“2.3 Capacidad de los Servicios.</w:t>
      </w:r>
    </w:p>
    <w:p w14:paraId="6EF632CD" w14:textId="4A9FFB45" w:rsidR="001B611F" w:rsidRPr="008762D1" w:rsidRDefault="001B611F"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El servicio Mayorista de Arrendamiento de Enlaces Dedicados de Interconexión, será ofrecido con velocidad E1</w:t>
      </w:r>
      <w:r w:rsidRPr="008762D1">
        <w:rPr>
          <w:rFonts w:ascii="ITC Avant Garde" w:hAnsi="ITC Avant Garde"/>
          <w:color w:val="000000" w:themeColor="text1"/>
          <w:sz w:val="18"/>
          <w:szCs w:val="18"/>
          <w:u w:val="single"/>
        </w:rPr>
        <w:t xml:space="preserve"> y sus múltiplos,</w:t>
      </w:r>
      <w:r w:rsidRPr="008762D1">
        <w:rPr>
          <w:rFonts w:ascii="ITC Avant Garde" w:hAnsi="ITC Avant Garde"/>
          <w:color w:val="000000" w:themeColor="text1"/>
          <w:sz w:val="18"/>
          <w:szCs w:val="18"/>
        </w:rPr>
        <w:t xml:space="preserve"> </w:t>
      </w:r>
      <w:r w:rsidRPr="008762D1">
        <w:rPr>
          <w:rFonts w:ascii="ITC Avant Garde" w:hAnsi="ITC Avant Garde"/>
          <w:strike/>
          <w:color w:val="000000" w:themeColor="text1"/>
          <w:sz w:val="18"/>
          <w:szCs w:val="18"/>
        </w:rPr>
        <w:t>(2 Mbps),</w:t>
      </w:r>
      <w:r w:rsidRPr="008762D1">
        <w:rPr>
          <w:rFonts w:ascii="ITC Avant Garde" w:hAnsi="ITC Avant Garde"/>
          <w:color w:val="000000" w:themeColor="text1"/>
          <w:sz w:val="18"/>
          <w:szCs w:val="18"/>
        </w:rPr>
        <w:t xml:space="preserve"> </w:t>
      </w:r>
      <w:r w:rsidRPr="008762D1">
        <w:rPr>
          <w:rFonts w:ascii="ITC Avant Garde" w:hAnsi="ITC Avant Garde"/>
          <w:strike/>
          <w:color w:val="000000" w:themeColor="text1"/>
          <w:sz w:val="18"/>
          <w:szCs w:val="18"/>
        </w:rPr>
        <w:t>E3 (34 Mbps),</w:t>
      </w:r>
      <w:r w:rsidRPr="008762D1">
        <w:rPr>
          <w:rFonts w:ascii="ITC Avant Garde" w:hAnsi="ITC Avant Garde"/>
          <w:color w:val="000000" w:themeColor="text1"/>
          <w:sz w:val="18"/>
          <w:szCs w:val="18"/>
        </w:rPr>
        <w:t xml:space="preserve"> STM1 </w:t>
      </w:r>
      <w:r w:rsidRPr="008762D1">
        <w:rPr>
          <w:rFonts w:ascii="ITC Avant Garde" w:hAnsi="ITC Avant Garde"/>
          <w:color w:val="000000" w:themeColor="text1"/>
          <w:sz w:val="18"/>
          <w:szCs w:val="18"/>
          <w:u w:val="single"/>
        </w:rPr>
        <w:t xml:space="preserve">y sus múltiplos, </w:t>
      </w:r>
      <w:r w:rsidRPr="008762D1">
        <w:rPr>
          <w:rFonts w:ascii="ITC Avant Garde" w:hAnsi="ITC Avant Garde"/>
          <w:strike/>
          <w:color w:val="000000" w:themeColor="text1"/>
          <w:sz w:val="18"/>
          <w:szCs w:val="18"/>
        </w:rPr>
        <w:t>(155 Mbps)</w:t>
      </w:r>
      <w:r w:rsidRPr="008762D1">
        <w:rPr>
          <w:rFonts w:ascii="ITC Avant Garde" w:hAnsi="ITC Avant Garde"/>
          <w:color w:val="000000" w:themeColor="text1"/>
          <w:sz w:val="18"/>
          <w:szCs w:val="18"/>
        </w:rPr>
        <w:t xml:space="preserve">, así como Ethernet de 1 </w:t>
      </w:r>
      <w:proofErr w:type="spellStart"/>
      <w:r w:rsidRPr="008762D1">
        <w:rPr>
          <w:rFonts w:ascii="ITC Avant Garde" w:hAnsi="ITC Avant Garde"/>
          <w:color w:val="000000" w:themeColor="text1"/>
          <w:sz w:val="18"/>
          <w:szCs w:val="18"/>
        </w:rPr>
        <w:t>Gbps</w:t>
      </w:r>
      <w:proofErr w:type="spellEnd"/>
      <w:r w:rsidRPr="008762D1">
        <w:rPr>
          <w:rFonts w:ascii="ITC Avant Garde" w:hAnsi="ITC Avant Garde"/>
          <w:color w:val="000000" w:themeColor="text1"/>
          <w:sz w:val="18"/>
          <w:szCs w:val="18"/>
        </w:rPr>
        <w:t xml:space="preserve"> </w:t>
      </w:r>
      <w:r w:rsidRPr="008762D1">
        <w:rPr>
          <w:rFonts w:ascii="ITC Avant Garde" w:hAnsi="ITC Avant Garde"/>
          <w:color w:val="000000" w:themeColor="text1"/>
          <w:sz w:val="18"/>
          <w:szCs w:val="18"/>
          <w:u w:val="single"/>
        </w:rPr>
        <w:t xml:space="preserve">y 10 </w:t>
      </w:r>
      <w:proofErr w:type="spellStart"/>
      <w:r w:rsidRPr="008762D1">
        <w:rPr>
          <w:rFonts w:ascii="ITC Avant Garde" w:hAnsi="ITC Avant Garde"/>
          <w:color w:val="000000" w:themeColor="text1"/>
          <w:sz w:val="18"/>
          <w:szCs w:val="18"/>
          <w:u w:val="single"/>
        </w:rPr>
        <w:t>Gbps</w:t>
      </w:r>
      <w:proofErr w:type="spellEnd"/>
      <w:r w:rsidRPr="008762D1">
        <w:rPr>
          <w:rFonts w:ascii="ITC Avant Garde" w:hAnsi="ITC Avant Garde"/>
          <w:color w:val="000000" w:themeColor="text1"/>
          <w:sz w:val="18"/>
          <w:szCs w:val="18"/>
          <w:u w:val="single"/>
        </w:rPr>
        <w:t>, considerando de manera enunciativa más no limitativa como tipos de interface: V.35, G.703, RJ45, Óptica o Eléctrica según se define en la Norma G.703 de la Unión Internacional de Telecomunicaciones y para el caso de enlaces Ethernet el servicio será ofrecido de conformidad con la Norma 802.3 del IEEE (</w:t>
      </w:r>
      <w:proofErr w:type="spellStart"/>
      <w:r w:rsidRPr="008762D1">
        <w:rPr>
          <w:rFonts w:ascii="ITC Avant Garde" w:hAnsi="ITC Avant Garde"/>
          <w:color w:val="000000" w:themeColor="text1"/>
          <w:sz w:val="18"/>
          <w:szCs w:val="18"/>
          <w:u w:val="single"/>
        </w:rPr>
        <w:t>Institute</w:t>
      </w:r>
      <w:proofErr w:type="spellEnd"/>
      <w:r w:rsidRPr="008762D1">
        <w:rPr>
          <w:rFonts w:ascii="ITC Avant Garde" w:hAnsi="ITC Avant Garde"/>
          <w:color w:val="000000" w:themeColor="text1"/>
          <w:sz w:val="18"/>
          <w:szCs w:val="18"/>
          <w:u w:val="single"/>
        </w:rPr>
        <w:t xml:space="preserve"> of </w:t>
      </w:r>
      <w:proofErr w:type="spellStart"/>
      <w:r w:rsidRPr="008762D1">
        <w:rPr>
          <w:rFonts w:ascii="ITC Avant Garde" w:hAnsi="ITC Avant Garde"/>
          <w:color w:val="000000" w:themeColor="text1"/>
          <w:sz w:val="18"/>
          <w:szCs w:val="18"/>
          <w:u w:val="single"/>
        </w:rPr>
        <w:t>Electrical</w:t>
      </w:r>
      <w:proofErr w:type="spellEnd"/>
      <w:r w:rsidRPr="008762D1">
        <w:rPr>
          <w:rFonts w:ascii="ITC Avant Garde" w:hAnsi="ITC Avant Garde"/>
          <w:color w:val="000000" w:themeColor="text1"/>
          <w:sz w:val="18"/>
          <w:szCs w:val="18"/>
          <w:u w:val="single"/>
        </w:rPr>
        <w:t xml:space="preserve"> and </w:t>
      </w:r>
      <w:proofErr w:type="spellStart"/>
      <w:r w:rsidRPr="008762D1">
        <w:rPr>
          <w:rFonts w:ascii="ITC Avant Garde" w:hAnsi="ITC Avant Garde"/>
          <w:color w:val="000000" w:themeColor="text1"/>
          <w:sz w:val="18"/>
          <w:szCs w:val="18"/>
          <w:u w:val="single"/>
        </w:rPr>
        <w:t>Electronics</w:t>
      </w:r>
      <w:proofErr w:type="spellEnd"/>
      <w:r w:rsidRPr="008762D1">
        <w:rPr>
          <w:rFonts w:ascii="ITC Avant Garde" w:hAnsi="ITC Avant Garde"/>
          <w:color w:val="000000" w:themeColor="text1"/>
          <w:sz w:val="18"/>
          <w:szCs w:val="18"/>
          <w:u w:val="single"/>
        </w:rPr>
        <w:t xml:space="preserve"> </w:t>
      </w:r>
      <w:proofErr w:type="spellStart"/>
      <w:r w:rsidRPr="008762D1">
        <w:rPr>
          <w:rFonts w:ascii="ITC Avant Garde" w:hAnsi="ITC Avant Garde"/>
          <w:color w:val="000000" w:themeColor="text1"/>
          <w:sz w:val="18"/>
          <w:szCs w:val="18"/>
          <w:u w:val="single"/>
        </w:rPr>
        <w:t>Engineers</w:t>
      </w:r>
      <w:proofErr w:type="spellEnd"/>
      <w:r w:rsidRPr="008762D1">
        <w:rPr>
          <w:rFonts w:ascii="ITC Avant Garde" w:hAnsi="ITC Avant Garde"/>
          <w:color w:val="000000" w:themeColor="text1"/>
          <w:sz w:val="18"/>
          <w:szCs w:val="18"/>
          <w:u w:val="single"/>
        </w:rPr>
        <w:t>)</w:t>
      </w:r>
      <w:r w:rsidRPr="008762D1">
        <w:rPr>
          <w:rFonts w:ascii="ITC Avant Garde" w:hAnsi="ITC Avant Garde"/>
          <w:color w:val="000000" w:themeColor="text1"/>
          <w:sz w:val="18"/>
          <w:szCs w:val="18"/>
        </w:rPr>
        <w:t>.”</w:t>
      </w:r>
    </w:p>
    <w:p w14:paraId="3158C07C" w14:textId="77777777" w:rsidR="000F0B9F" w:rsidRPr="008762D1" w:rsidRDefault="001B611F"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2D342B4E" w14:textId="5A5CB356"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lastRenderedPageBreak/>
        <w:t>CMI Modificado</w:t>
      </w:r>
    </w:p>
    <w:p w14:paraId="24C1279D" w14:textId="77777777" w:rsidR="000F0B9F" w:rsidRPr="008762D1" w:rsidRDefault="00FE3D75"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los numerales </w:t>
      </w:r>
      <w:r w:rsidRPr="008762D1">
        <w:rPr>
          <w:color w:val="000000" w:themeColor="text1"/>
        </w:rPr>
        <w:t>2.1 Servicios Mayoristas de Arrendamiento de Enlaces Dedicados de Interconexión y 2.3 Capacidad de los Servicios</w:t>
      </w:r>
      <w:r w:rsidRPr="008762D1">
        <w:rPr>
          <w:rFonts w:cs="Arial"/>
          <w:color w:val="000000" w:themeColor="text1"/>
          <w:lang w:eastAsia="es-MX"/>
        </w:rPr>
        <w:t xml:space="preserve"> </w:t>
      </w:r>
      <w:r w:rsidR="00AB1284" w:rsidRPr="008762D1">
        <w:rPr>
          <w:rFonts w:cs="Arial"/>
          <w:color w:val="000000" w:themeColor="text1"/>
          <w:lang w:eastAsia="es-MX"/>
        </w:rPr>
        <w:t>en los términos señalados en el Acuerdo.</w:t>
      </w:r>
    </w:p>
    <w:p w14:paraId="29ACB74A" w14:textId="34DD3182"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67A87521" w14:textId="77777777" w:rsidR="000F0B9F" w:rsidRPr="008762D1" w:rsidRDefault="0035715F"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Respecto a las interfaces con las que se proveerán los enlaces dedicados, se señala que las mismas son las que se encuentran disponibles en el mercado, lo cual otorga flexibilidad a los CS para que, de acuerdo a la capacidad del enlace de interconexión que solicita seleccione la interfaz que le parezca más eficiente.</w:t>
      </w:r>
      <w:r w:rsidR="00C241AC" w:rsidRPr="008762D1">
        <w:rPr>
          <w:rFonts w:ascii="ITC Avant Garde" w:hAnsi="ITC Avant Garde"/>
          <w:color w:val="000000" w:themeColor="text1"/>
        </w:rPr>
        <w:t xml:space="preserve"> No obstante lo anterior, el Acuerdo de CTM y Tarifas 2017 establece en las condiciones Quinta y Sexta lo siguiente: </w:t>
      </w:r>
    </w:p>
    <w:p w14:paraId="2E24E275" w14:textId="21196E48" w:rsidR="00C241AC" w:rsidRPr="008762D1" w:rsidRDefault="00C241A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“QUINTA.- Los enlaces de transmisión para realizar la interconexión deberán tener las siguientes características:</w:t>
      </w:r>
    </w:p>
    <w:p w14:paraId="07EFD6A4" w14:textId="77777777" w:rsidR="00C241AC" w:rsidRPr="008762D1" w:rsidRDefault="00C241A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170A06A1" w14:textId="77777777" w:rsidR="00C241AC" w:rsidRPr="008762D1" w:rsidRDefault="00C241AC"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Los incrementos de capacidad de enlaces de transmisión entre redes y puertos de acceso se realizarán a través de la interconexión IP.</w:t>
      </w:r>
    </w:p>
    <w:p w14:paraId="76AD190A" w14:textId="77777777" w:rsidR="00C241AC" w:rsidRPr="008762D1" w:rsidRDefault="00C241AC"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w:t>
      </w:r>
    </w:p>
    <w:p w14:paraId="23D436E2" w14:textId="77777777" w:rsidR="000F0B9F" w:rsidRPr="008762D1" w:rsidRDefault="00C241AC"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7B827B9D" w14:textId="44A25CF0" w:rsidR="00C241AC" w:rsidRPr="008762D1" w:rsidRDefault="00C241A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“SEXTA.- Los puertos de acceso que proporcione el Concesionario Solicitado serán de capacidades acordes a la capacidad del enlace de transmisión de interconexión. </w:t>
      </w:r>
    </w:p>
    <w:p w14:paraId="57CD3BC8" w14:textId="77777777" w:rsidR="00C241AC" w:rsidRPr="008762D1" w:rsidRDefault="00C241A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0131B757" w14:textId="77777777" w:rsidR="000F0B9F" w:rsidRPr="008762D1" w:rsidRDefault="00C241A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Interconexión TDM.</w:t>
      </w:r>
    </w:p>
    <w:p w14:paraId="7202F627" w14:textId="77777777" w:rsidR="000F0B9F" w:rsidRPr="008762D1" w:rsidRDefault="00C241A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Los enlaces de transmisión entre redes y los puertos de acceso asociados, deberán establecerse de manera digital utilizando el formato TDM con capacidad de nivel E1, E3 (de acuerdo con la Disposición Técnica IFT-005-2016) o STM1 (de acuerdo a las Recomendaciones de la Unión Internacional de Telecomunicaciones ITU G.780, G.803 y G.810), a elección del Concesionario Solicitante.</w:t>
      </w:r>
    </w:p>
    <w:p w14:paraId="28D225ED" w14:textId="6B53341C" w:rsidR="0035715F" w:rsidRPr="008762D1" w:rsidRDefault="00C241AC"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u w:val="single"/>
        </w:rPr>
        <w:t>Los incrementos de capacidad de enlaces de transmisión entre redes y puertos de acceso se realizarán a través de la interconexión IP</w:t>
      </w:r>
      <w:r w:rsidRPr="008762D1">
        <w:rPr>
          <w:rFonts w:ascii="ITC Avant Garde" w:hAnsi="ITC Avant Garde"/>
          <w:color w:val="000000" w:themeColor="text1"/>
          <w:sz w:val="18"/>
          <w:szCs w:val="18"/>
        </w:rPr>
        <w:t>.</w:t>
      </w:r>
    </w:p>
    <w:p w14:paraId="7ADDAD4A" w14:textId="77777777" w:rsidR="000F0B9F" w:rsidRPr="008762D1" w:rsidRDefault="00C241AC"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3A2E4BAC" w14:textId="77777777" w:rsidR="000F0B9F" w:rsidRPr="008762D1" w:rsidRDefault="00C241AC"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Asimismo, la condición Séptima establece:</w:t>
      </w:r>
    </w:p>
    <w:p w14:paraId="0171892B" w14:textId="77777777" w:rsidR="000F0B9F" w:rsidRPr="008762D1" w:rsidRDefault="00C241AC"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lastRenderedPageBreak/>
        <w:t>“SÉPTIMA.- La interconexión de redes públicas de telecomunicaciones se sujetará a la utilización de los siguientes protocolos de señalización.</w:t>
      </w:r>
    </w:p>
    <w:p w14:paraId="74CC673E" w14:textId="77777777" w:rsidR="000F0B9F" w:rsidRPr="008762D1" w:rsidRDefault="00C241AC"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Interconexión IP</w:t>
      </w:r>
    </w:p>
    <w:p w14:paraId="5ED666FC" w14:textId="7BA7F0C3" w:rsidR="00C241AC" w:rsidRPr="008762D1" w:rsidRDefault="00C241AC"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El protocolo de señalización SIP-IP será obligatorio para la interconexión directa entre concesionarios, y de acuerdo a la Recomendación IETF RFC 3261 y recomendaciones complementarias.</w:t>
      </w:r>
    </w:p>
    <w:p w14:paraId="3538C42A" w14:textId="77777777" w:rsidR="000F0B9F" w:rsidRPr="008762D1" w:rsidRDefault="00C241AC" w:rsidP="000F0B9F">
      <w:pPr>
        <w:spacing w:before="240" w:after="0" w:line="276" w:lineRule="auto"/>
        <w:ind w:left="567" w:right="567"/>
        <w:jc w:val="both"/>
        <w:rPr>
          <w:rFonts w:ascii="ITC Avant Garde" w:hAnsi="ITC Avant Garde"/>
          <w:color w:val="000000" w:themeColor="text1"/>
          <w:sz w:val="18"/>
          <w:szCs w:val="18"/>
          <w:u w:val="single"/>
        </w:rPr>
      </w:pPr>
      <w:r w:rsidRPr="008762D1">
        <w:rPr>
          <w:rFonts w:ascii="ITC Avant Garde" w:hAnsi="ITC Avant Garde"/>
          <w:color w:val="000000" w:themeColor="text1"/>
          <w:sz w:val="18"/>
          <w:szCs w:val="18"/>
          <w:u w:val="single"/>
        </w:rPr>
        <w:t>(…)”</w:t>
      </w:r>
    </w:p>
    <w:p w14:paraId="36C04625" w14:textId="77777777" w:rsidR="000F0B9F" w:rsidRPr="008762D1" w:rsidRDefault="00C241AC"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 xml:space="preserve">De lo anterior, </w:t>
      </w:r>
      <w:r w:rsidR="00175295" w:rsidRPr="008762D1">
        <w:rPr>
          <w:rFonts w:ascii="ITC Avant Garde" w:hAnsi="ITC Avant Garde"/>
          <w:color w:val="000000" w:themeColor="text1"/>
        </w:rPr>
        <w:t xml:space="preserve">se observa que los incrementos de capacidad </w:t>
      </w:r>
      <w:r w:rsidR="00BC6504" w:rsidRPr="008762D1">
        <w:rPr>
          <w:rFonts w:ascii="ITC Avant Garde" w:hAnsi="ITC Avant Garde"/>
          <w:color w:val="000000" w:themeColor="text1"/>
        </w:rPr>
        <w:t xml:space="preserve">en los enlaces de señalización y puertos de acceso </w:t>
      </w:r>
      <w:r w:rsidR="00175295" w:rsidRPr="008762D1">
        <w:rPr>
          <w:rFonts w:ascii="ITC Avant Garde" w:hAnsi="ITC Avant Garde"/>
          <w:color w:val="000000" w:themeColor="text1"/>
        </w:rPr>
        <w:t xml:space="preserve">necesarios en las interconexiones </w:t>
      </w:r>
      <w:r w:rsidR="009F2F77" w:rsidRPr="008762D1">
        <w:rPr>
          <w:rFonts w:ascii="ITC Avant Garde" w:hAnsi="ITC Avant Garde"/>
          <w:color w:val="000000" w:themeColor="text1"/>
        </w:rPr>
        <w:t>realizadas mediante protocolo de señalización PAUSI-MX o a través de tecnología T</w:t>
      </w:r>
      <w:r w:rsidR="00175295" w:rsidRPr="008762D1">
        <w:rPr>
          <w:rFonts w:ascii="ITC Avant Garde" w:hAnsi="ITC Avant Garde"/>
          <w:color w:val="000000" w:themeColor="text1"/>
        </w:rPr>
        <w:t xml:space="preserve">DM </w:t>
      </w:r>
      <w:r w:rsidR="009F2F77" w:rsidRPr="008762D1">
        <w:rPr>
          <w:rFonts w:ascii="ITC Avant Garde" w:hAnsi="ITC Avant Garde"/>
          <w:color w:val="000000" w:themeColor="text1"/>
        </w:rPr>
        <w:t xml:space="preserve">(de sus siglas en inglés, “Time </w:t>
      </w:r>
      <w:proofErr w:type="spellStart"/>
      <w:r w:rsidR="009F2F77" w:rsidRPr="008762D1">
        <w:rPr>
          <w:rFonts w:ascii="ITC Avant Garde" w:hAnsi="ITC Avant Garde"/>
          <w:color w:val="000000" w:themeColor="text1"/>
        </w:rPr>
        <w:t>Division</w:t>
      </w:r>
      <w:proofErr w:type="spellEnd"/>
      <w:r w:rsidR="009F2F77" w:rsidRPr="008762D1">
        <w:rPr>
          <w:rFonts w:ascii="ITC Avant Garde" w:hAnsi="ITC Avant Garde"/>
          <w:color w:val="000000" w:themeColor="text1"/>
        </w:rPr>
        <w:t xml:space="preserve"> </w:t>
      </w:r>
      <w:proofErr w:type="spellStart"/>
      <w:r w:rsidR="009F2F77" w:rsidRPr="008762D1">
        <w:rPr>
          <w:rFonts w:ascii="ITC Avant Garde" w:hAnsi="ITC Avant Garde"/>
          <w:color w:val="000000" w:themeColor="text1"/>
        </w:rPr>
        <w:t>Multiplexing</w:t>
      </w:r>
      <w:proofErr w:type="spellEnd"/>
      <w:r w:rsidR="009F2F77" w:rsidRPr="008762D1">
        <w:rPr>
          <w:rFonts w:ascii="ITC Avant Garde" w:hAnsi="ITC Avant Garde"/>
          <w:color w:val="000000" w:themeColor="text1"/>
        </w:rPr>
        <w:t xml:space="preserve">”) </w:t>
      </w:r>
      <w:r w:rsidR="00BC6504" w:rsidRPr="008762D1">
        <w:rPr>
          <w:rFonts w:ascii="ITC Avant Garde" w:hAnsi="ITC Avant Garde"/>
          <w:color w:val="000000" w:themeColor="text1"/>
        </w:rPr>
        <w:t>se realizarán a través de interconexi</w:t>
      </w:r>
      <w:r w:rsidR="00F94B13" w:rsidRPr="008762D1">
        <w:rPr>
          <w:rFonts w:ascii="ITC Avant Garde" w:hAnsi="ITC Avant Garde"/>
          <w:color w:val="000000" w:themeColor="text1"/>
        </w:rPr>
        <w:t>ón IP</w:t>
      </w:r>
      <w:r w:rsidR="009F2F77" w:rsidRPr="008762D1">
        <w:rPr>
          <w:rFonts w:ascii="ITC Avant Garde" w:hAnsi="ITC Avant Garde"/>
          <w:color w:val="000000" w:themeColor="text1"/>
        </w:rPr>
        <w:t xml:space="preserve"> (de sus siglas en inglés, “Internet </w:t>
      </w:r>
      <w:proofErr w:type="spellStart"/>
      <w:r w:rsidR="009F2F77" w:rsidRPr="008762D1">
        <w:rPr>
          <w:rFonts w:ascii="ITC Avant Garde" w:hAnsi="ITC Avant Garde"/>
          <w:color w:val="000000" w:themeColor="text1"/>
        </w:rPr>
        <w:t>Protocol</w:t>
      </w:r>
      <w:proofErr w:type="spellEnd"/>
      <w:r w:rsidR="009F2F77" w:rsidRPr="008762D1">
        <w:rPr>
          <w:rFonts w:ascii="ITC Avant Garde" w:hAnsi="ITC Avant Garde"/>
          <w:color w:val="000000" w:themeColor="text1"/>
        </w:rPr>
        <w:t>”</w:t>
      </w:r>
      <w:r w:rsidR="00F94B13" w:rsidRPr="008762D1">
        <w:rPr>
          <w:rFonts w:ascii="ITC Avant Garde" w:hAnsi="ITC Avant Garde"/>
          <w:color w:val="000000" w:themeColor="text1"/>
        </w:rPr>
        <w:t>, es decir mediante interconexiones que utilicen el protocolo de señalización SIP (de sus siglas en inglés</w:t>
      </w:r>
      <w:r w:rsidR="009F2F77" w:rsidRPr="008762D1">
        <w:rPr>
          <w:rFonts w:ascii="ITC Avant Garde" w:hAnsi="ITC Avant Garde"/>
          <w:color w:val="000000" w:themeColor="text1"/>
        </w:rPr>
        <w:t>,</w:t>
      </w:r>
      <w:r w:rsidR="00F94B13" w:rsidRPr="008762D1">
        <w:rPr>
          <w:rFonts w:ascii="ITC Avant Garde" w:hAnsi="ITC Avant Garde"/>
          <w:color w:val="000000" w:themeColor="text1"/>
        </w:rPr>
        <w:t xml:space="preserve"> </w:t>
      </w:r>
      <w:proofErr w:type="spellStart"/>
      <w:r w:rsidR="00F94B13" w:rsidRPr="008762D1">
        <w:rPr>
          <w:rFonts w:ascii="ITC Avant Garde" w:hAnsi="ITC Avant Garde"/>
          <w:color w:val="000000" w:themeColor="text1"/>
        </w:rPr>
        <w:t>Session</w:t>
      </w:r>
      <w:proofErr w:type="spellEnd"/>
      <w:r w:rsidR="00F94B13" w:rsidRPr="008762D1">
        <w:rPr>
          <w:rFonts w:ascii="ITC Avant Garde" w:hAnsi="ITC Avant Garde"/>
          <w:color w:val="000000" w:themeColor="text1"/>
        </w:rPr>
        <w:t xml:space="preserve"> </w:t>
      </w:r>
      <w:proofErr w:type="spellStart"/>
      <w:r w:rsidR="00F94B13" w:rsidRPr="008762D1">
        <w:rPr>
          <w:rFonts w:ascii="ITC Avant Garde" w:hAnsi="ITC Avant Garde"/>
          <w:color w:val="000000" w:themeColor="text1"/>
        </w:rPr>
        <w:t>Initiation</w:t>
      </w:r>
      <w:proofErr w:type="spellEnd"/>
      <w:r w:rsidR="00F94B13" w:rsidRPr="008762D1">
        <w:rPr>
          <w:rFonts w:ascii="ITC Avant Garde" w:hAnsi="ITC Avant Garde"/>
          <w:color w:val="000000" w:themeColor="text1"/>
        </w:rPr>
        <w:t xml:space="preserve"> </w:t>
      </w:r>
      <w:proofErr w:type="spellStart"/>
      <w:r w:rsidR="00F94B13" w:rsidRPr="008762D1">
        <w:rPr>
          <w:rFonts w:ascii="ITC Avant Garde" w:hAnsi="ITC Avant Garde"/>
          <w:color w:val="000000" w:themeColor="text1"/>
        </w:rPr>
        <w:t>Protocol</w:t>
      </w:r>
      <w:proofErr w:type="spellEnd"/>
      <w:r w:rsidR="009F2F77" w:rsidRPr="008762D1">
        <w:rPr>
          <w:rFonts w:ascii="ITC Avant Garde" w:hAnsi="ITC Avant Garde"/>
          <w:color w:val="000000" w:themeColor="text1"/>
        </w:rPr>
        <w:t>”</w:t>
      </w:r>
      <w:r w:rsidR="00F94B13" w:rsidRPr="008762D1">
        <w:rPr>
          <w:rFonts w:ascii="ITC Avant Garde" w:hAnsi="ITC Avant Garde"/>
          <w:color w:val="000000" w:themeColor="text1"/>
        </w:rPr>
        <w:t>)</w:t>
      </w:r>
      <w:r w:rsidR="00BC6504" w:rsidRPr="008762D1">
        <w:rPr>
          <w:rFonts w:ascii="ITC Avant Garde" w:hAnsi="ITC Avant Garde"/>
          <w:color w:val="000000" w:themeColor="text1"/>
        </w:rPr>
        <w:t xml:space="preserve">. Asimismo, la condición Séptima establece que las nuevas interconexiones se realizarán utilizando </w:t>
      </w:r>
      <w:r w:rsidR="00F94B13" w:rsidRPr="008762D1">
        <w:rPr>
          <w:rFonts w:ascii="ITC Avant Garde" w:hAnsi="ITC Avant Garde"/>
          <w:color w:val="000000" w:themeColor="text1"/>
        </w:rPr>
        <w:t>dicho protocolo.</w:t>
      </w:r>
    </w:p>
    <w:p w14:paraId="5272907B" w14:textId="77777777" w:rsidR="000F0B9F" w:rsidRPr="008762D1" w:rsidRDefault="00F94B13"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En este sentido, para llevar a cabo la implementación del protocolo SIP en las interconexiones se requiere la utilización de tecnologías acordes al</w:t>
      </w:r>
      <w:r w:rsidR="00F61A38" w:rsidRPr="008762D1">
        <w:rPr>
          <w:rFonts w:ascii="ITC Avant Garde" w:hAnsi="ITC Avant Garde"/>
          <w:color w:val="000000" w:themeColor="text1"/>
        </w:rPr>
        <w:t xml:space="preserve"> mismo</w:t>
      </w:r>
      <w:r w:rsidRPr="008762D1">
        <w:rPr>
          <w:rFonts w:ascii="ITC Avant Garde" w:hAnsi="ITC Avant Garde"/>
          <w:color w:val="000000" w:themeColor="text1"/>
        </w:rPr>
        <w:t xml:space="preserve">, </w:t>
      </w:r>
      <w:r w:rsidR="000C3CD0" w:rsidRPr="008762D1">
        <w:rPr>
          <w:rFonts w:ascii="ITC Avant Garde" w:hAnsi="ITC Avant Garde"/>
          <w:color w:val="000000" w:themeColor="text1"/>
        </w:rPr>
        <w:t>por lo cual se hace necesaria la utilización de la tecnología Ethernet en los enlaces dedicados de interconexi</w:t>
      </w:r>
      <w:r w:rsidR="00F42D2C" w:rsidRPr="008762D1">
        <w:rPr>
          <w:rFonts w:ascii="ITC Avant Garde" w:hAnsi="ITC Avant Garde"/>
          <w:color w:val="000000" w:themeColor="text1"/>
        </w:rPr>
        <w:t xml:space="preserve">ón. </w:t>
      </w:r>
      <w:r w:rsidR="009F2F77" w:rsidRPr="008762D1">
        <w:rPr>
          <w:rFonts w:ascii="ITC Avant Garde" w:hAnsi="ITC Avant Garde"/>
          <w:color w:val="000000" w:themeColor="text1"/>
        </w:rPr>
        <w:t>Es así que el Servicio Mayorista de Arrendamiento de Enlaces Dedicados deberá prestarse con tecnología Ethernet, por lo que la tecnología SDH</w:t>
      </w:r>
      <w:r w:rsidR="00F61A38" w:rsidRPr="008762D1">
        <w:rPr>
          <w:rFonts w:ascii="ITC Avant Garde" w:hAnsi="ITC Avant Garde"/>
          <w:color w:val="000000" w:themeColor="text1"/>
        </w:rPr>
        <w:t xml:space="preserve"> (de sus siglas en inglés, “</w:t>
      </w:r>
      <w:proofErr w:type="spellStart"/>
      <w:r w:rsidR="00F61A38" w:rsidRPr="008762D1">
        <w:rPr>
          <w:rFonts w:ascii="ITC Avant Garde" w:hAnsi="ITC Avant Garde"/>
          <w:color w:val="000000" w:themeColor="text1"/>
        </w:rPr>
        <w:t>Synchronous</w:t>
      </w:r>
      <w:proofErr w:type="spellEnd"/>
      <w:r w:rsidR="00F61A38" w:rsidRPr="008762D1">
        <w:rPr>
          <w:rFonts w:ascii="ITC Avant Garde" w:hAnsi="ITC Avant Garde"/>
          <w:color w:val="000000" w:themeColor="text1"/>
        </w:rPr>
        <w:t xml:space="preserve"> Digital </w:t>
      </w:r>
      <w:proofErr w:type="spellStart"/>
      <w:r w:rsidR="00F61A38" w:rsidRPr="008762D1">
        <w:rPr>
          <w:rFonts w:ascii="ITC Avant Garde" w:hAnsi="ITC Avant Garde"/>
          <w:color w:val="000000" w:themeColor="text1"/>
        </w:rPr>
        <w:t>Hierarchy</w:t>
      </w:r>
      <w:proofErr w:type="spellEnd"/>
      <w:r w:rsidR="00F61A38" w:rsidRPr="008762D1">
        <w:rPr>
          <w:rFonts w:ascii="ITC Avant Garde" w:hAnsi="ITC Avant Garde"/>
          <w:color w:val="000000" w:themeColor="text1"/>
        </w:rPr>
        <w:t>”)</w:t>
      </w:r>
      <w:r w:rsidR="009F2F77" w:rsidRPr="008762D1">
        <w:rPr>
          <w:rFonts w:ascii="ITC Avant Garde" w:hAnsi="ITC Avant Garde"/>
          <w:color w:val="000000" w:themeColor="text1"/>
        </w:rPr>
        <w:t xml:space="preserve"> y PDH</w:t>
      </w:r>
      <w:r w:rsidR="00F61A38" w:rsidRPr="008762D1">
        <w:rPr>
          <w:rFonts w:ascii="ITC Avant Garde" w:hAnsi="ITC Avant Garde"/>
          <w:color w:val="000000" w:themeColor="text1"/>
        </w:rPr>
        <w:t xml:space="preserve"> (de sus siglas en inglés, </w:t>
      </w:r>
      <w:r w:rsidR="00B4606B" w:rsidRPr="008762D1">
        <w:rPr>
          <w:rFonts w:ascii="ITC Avant Garde" w:hAnsi="ITC Avant Garde"/>
          <w:color w:val="000000" w:themeColor="text1"/>
        </w:rPr>
        <w:t>“</w:t>
      </w:r>
      <w:proofErr w:type="spellStart"/>
      <w:r w:rsidR="00F61A38" w:rsidRPr="008762D1">
        <w:rPr>
          <w:rFonts w:ascii="ITC Avant Garde" w:hAnsi="ITC Avant Garde"/>
          <w:color w:val="000000" w:themeColor="text1"/>
        </w:rPr>
        <w:t>Pleosiochronous</w:t>
      </w:r>
      <w:proofErr w:type="spellEnd"/>
      <w:r w:rsidR="00F61A38" w:rsidRPr="008762D1">
        <w:rPr>
          <w:rFonts w:ascii="ITC Avant Garde" w:hAnsi="ITC Avant Garde"/>
          <w:color w:val="000000" w:themeColor="text1"/>
        </w:rPr>
        <w:t xml:space="preserve"> Digital </w:t>
      </w:r>
      <w:proofErr w:type="spellStart"/>
      <w:r w:rsidR="00F61A38" w:rsidRPr="008762D1">
        <w:rPr>
          <w:rFonts w:ascii="ITC Avant Garde" w:hAnsi="ITC Avant Garde"/>
          <w:color w:val="000000" w:themeColor="text1"/>
        </w:rPr>
        <w:t>Hierarchy</w:t>
      </w:r>
      <w:proofErr w:type="spellEnd"/>
      <w:r w:rsidR="00F61A38" w:rsidRPr="008762D1">
        <w:rPr>
          <w:rFonts w:ascii="ITC Avant Garde" w:hAnsi="ITC Avant Garde"/>
          <w:color w:val="000000" w:themeColor="text1"/>
        </w:rPr>
        <w:t>”</w:t>
      </w:r>
      <w:r w:rsidR="007F30CF" w:rsidRPr="008762D1">
        <w:rPr>
          <w:rFonts w:ascii="ITC Avant Garde" w:hAnsi="ITC Avant Garde"/>
          <w:color w:val="000000" w:themeColor="text1"/>
        </w:rPr>
        <w:t>) continuará utilizándose en interconexiones existentes con tecnología TDM.</w:t>
      </w:r>
    </w:p>
    <w:p w14:paraId="08A70523" w14:textId="1A2D34E1" w:rsidR="000C3CD0" w:rsidRPr="008762D1" w:rsidRDefault="00F42D2C"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 xml:space="preserve">Asimismo, respecto a  la disponibilidad de los enlaces dedicados de interconexión </w:t>
      </w:r>
      <w:r w:rsidR="007F30CF" w:rsidRPr="008762D1">
        <w:rPr>
          <w:rFonts w:ascii="ITC Avant Garde" w:hAnsi="ITC Avant Garde"/>
          <w:color w:val="000000" w:themeColor="text1"/>
        </w:rPr>
        <w:t xml:space="preserve">Ethernet </w:t>
      </w:r>
      <w:r w:rsidRPr="008762D1">
        <w:rPr>
          <w:rFonts w:ascii="ITC Avant Garde" w:hAnsi="ITC Avant Garde"/>
          <w:color w:val="000000" w:themeColor="text1"/>
        </w:rPr>
        <w:t xml:space="preserve">con capacidad de 10 </w:t>
      </w:r>
      <w:proofErr w:type="spellStart"/>
      <w:r w:rsidRPr="008762D1">
        <w:rPr>
          <w:rFonts w:ascii="ITC Avant Garde" w:hAnsi="ITC Avant Garde"/>
          <w:color w:val="000000" w:themeColor="text1"/>
        </w:rPr>
        <w:t>Gbps</w:t>
      </w:r>
      <w:proofErr w:type="spellEnd"/>
      <w:r w:rsidRPr="008762D1">
        <w:rPr>
          <w:rFonts w:ascii="ITC Avant Garde" w:hAnsi="ITC Avant Garde"/>
          <w:color w:val="000000" w:themeColor="text1"/>
        </w:rPr>
        <w:t xml:space="preserve"> </w:t>
      </w:r>
      <w:r w:rsidR="00764191" w:rsidRPr="008762D1">
        <w:rPr>
          <w:rFonts w:ascii="ITC Avant Garde" w:hAnsi="ITC Avant Garde"/>
          <w:color w:val="000000" w:themeColor="text1"/>
        </w:rPr>
        <w:t>la m</w:t>
      </w:r>
      <w:r w:rsidRPr="008762D1">
        <w:rPr>
          <w:rFonts w:ascii="ITC Avant Garde" w:hAnsi="ITC Avant Garde"/>
          <w:color w:val="000000" w:themeColor="text1"/>
        </w:rPr>
        <w:t>i</w:t>
      </w:r>
      <w:r w:rsidR="00764191" w:rsidRPr="008762D1">
        <w:rPr>
          <w:rFonts w:ascii="ITC Avant Garde" w:hAnsi="ITC Avant Garde"/>
          <w:color w:val="000000" w:themeColor="text1"/>
        </w:rPr>
        <w:t>s</w:t>
      </w:r>
      <w:r w:rsidRPr="008762D1">
        <w:rPr>
          <w:rFonts w:ascii="ITC Avant Garde" w:hAnsi="ITC Avant Garde"/>
          <w:color w:val="000000" w:themeColor="text1"/>
        </w:rPr>
        <w:t>ma se analizó  en el punto 6.5.3 del presente documento, por lo que a efecto de que lo establecido en el CMI sea acorde a lo establecido en el Acuerdo de CTM y Tarifas 2017, se modifica</w:t>
      </w:r>
      <w:r w:rsidR="00764191" w:rsidRPr="008762D1">
        <w:rPr>
          <w:rFonts w:ascii="ITC Avant Garde" w:hAnsi="ITC Avant Garde"/>
          <w:color w:val="000000" w:themeColor="text1"/>
        </w:rPr>
        <w:t>n los numerales 2.1 y 2.3</w:t>
      </w:r>
      <w:r w:rsidRPr="008762D1">
        <w:rPr>
          <w:rFonts w:ascii="ITC Avant Garde" w:hAnsi="ITC Avant Garde"/>
          <w:color w:val="000000" w:themeColor="text1"/>
        </w:rPr>
        <w:t xml:space="preserve"> en el siguiente sentido:</w:t>
      </w:r>
    </w:p>
    <w:p w14:paraId="0A7CB69B" w14:textId="77777777" w:rsidR="000C3CD0" w:rsidRPr="008762D1" w:rsidRDefault="000C3CD0"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 Servicio Comercial de Telecomunicaciones.</w:t>
      </w:r>
    </w:p>
    <w:p w14:paraId="59EA046E" w14:textId="77777777" w:rsidR="000F0B9F" w:rsidRPr="008762D1" w:rsidRDefault="000C3CD0"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2.1 Servicios Mayoristas de Arrendamiento de Enlaces Dedicados de Interconexión.</w:t>
      </w:r>
    </w:p>
    <w:p w14:paraId="29592CB0" w14:textId="77777777" w:rsidR="000F0B9F" w:rsidRPr="008762D1" w:rsidRDefault="000C3CD0"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En el formato de solicitud de servicio, señalado en el Anexo “C”, Telmex especifica las condiciones particulares aplicables a los servicios de Arrendamiento de Enlaces Dedicados de Interconexión, tales como condiciones técnicas y operativas.</w:t>
      </w:r>
    </w:p>
    <w:p w14:paraId="6B125F75" w14:textId="77777777" w:rsidR="000F0B9F" w:rsidRPr="008762D1" w:rsidRDefault="00DC4A6E" w:rsidP="000F0B9F">
      <w:pPr>
        <w:spacing w:before="240" w:after="0"/>
        <w:ind w:left="567" w:right="567"/>
        <w:jc w:val="both"/>
        <w:rPr>
          <w:rFonts w:ascii="ITC Avant Garde" w:hAnsi="ITC Avant Garde"/>
          <w:strike/>
          <w:color w:val="000000" w:themeColor="text1"/>
          <w:sz w:val="18"/>
          <w:szCs w:val="18"/>
        </w:rPr>
      </w:pPr>
      <w:r w:rsidRPr="008762D1">
        <w:rPr>
          <w:rFonts w:ascii="ITC Avant Garde" w:hAnsi="ITC Avant Garde"/>
          <w:color w:val="000000" w:themeColor="text1"/>
          <w:sz w:val="18"/>
          <w:szCs w:val="18"/>
        </w:rPr>
        <w:t>El servicio Mayorista de Arrendamiento de Enlaces Dedicados de Interconexión, será ofrecido con velocidad</w:t>
      </w:r>
      <w:r w:rsidRPr="008762D1">
        <w:rPr>
          <w:rFonts w:ascii="ITC Avant Garde" w:hAnsi="ITC Avant Garde"/>
          <w:strike/>
          <w:color w:val="000000" w:themeColor="text1"/>
          <w:sz w:val="18"/>
          <w:szCs w:val="18"/>
        </w:rPr>
        <w:t xml:space="preserve"> E1 (2 Mbps) y sus múltiplos, E3 (34 Mbps), STM1 (155 Mbps) así como</w:t>
      </w:r>
      <w:r w:rsidRPr="008762D1">
        <w:rPr>
          <w:rFonts w:ascii="ITC Avant Garde" w:hAnsi="ITC Avant Garde"/>
          <w:color w:val="000000" w:themeColor="text1"/>
          <w:sz w:val="18"/>
          <w:szCs w:val="18"/>
        </w:rPr>
        <w:t xml:space="preserve"> </w:t>
      </w:r>
      <w:r w:rsidRPr="008762D1">
        <w:rPr>
          <w:rFonts w:ascii="ITC Avant Garde" w:hAnsi="ITC Avant Garde"/>
          <w:color w:val="000000" w:themeColor="text1"/>
          <w:sz w:val="18"/>
          <w:szCs w:val="18"/>
          <w:u w:val="single"/>
        </w:rPr>
        <w:t xml:space="preserve">de </w:t>
      </w:r>
      <w:r w:rsidRPr="008762D1">
        <w:rPr>
          <w:rFonts w:ascii="ITC Avant Garde" w:hAnsi="ITC Avant Garde"/>
          <w:color w:val="000000" w:themeColor="text1"/>
          <w:sz w:val="18"/>
          <w:szCs w:val="18"/>
        </w:rPr>
        <w:t xml:space="preserve">1 </w:t>
      </w:r>
      <w:proofErr w:type="spellStart"/>
      <w:r w:rsidRPr="008762D1">
        <w:rPr>
          <w:rFonts w:ascii="ITC Avant Garde" w:hAnsi="ITC Avant Garde"/>
          <w:color w:val="000000" w:themeColor="text1"/>
          <w:sz w:val="18"/>
          <w:szCs w:val="18"/>
        </w:rPr>
        <w:t>Gbps</w:t>
      </w:r>
      <w:proofErr w:type="spellEnd"/>
      <w:r w:rsidRPr="008762D1">
        <w:rPr>
          <w:rFonts w:ascii="ITC Avant Garde" w:hAnsi="ITC Avant Garde"/>
          <w:color w:val="000000" w:themeColor="text1"/>
          <w:sz w:val="18"/>
          <w:szCs w:val="18"/>
        </w:rPr>
        <w:t xml:space="preserve"> </w:t>
      </w:r>
      <w:r w:rsidRPr="008762D1">
        <w:rPr>
          <w:rFonts w:ascii="ITC Avant Garde" w:hAnsi="ITC Avant Garde"/>
          <w:color w:val="000000" w:themeColor="text1"/>
          <w:sz w:val="18"/>
          <w:szCs w:val="18"/>
          <w:u w:val="single"/>
        </w:rPr>
        <w:t xml:space="preserve">Ethernet y </w:t>
      </w:r>
      <w:r w:rsidRPr="008762D1">
        <w:rPr>
          <w:rFonts w:ascii="ITC Avant Garde" w:hAnsi="ITC Avant Garde"/>
          <w:strike/>
          <w:color w:val="000000" w:themeColor="text1"/>
          <w:sz w:val="18"/>
          <w:szCs w:val="18"/>
          <w:u w:val="single"/>
        </w:rPr>
        <w:t xml:space="preserve">10 </w:t>
      </w:r>
      <w:proofErr w:type="spellStart"/>
      <w:r w:rsidRPr="008762D1">
        <w:rPr>
          <w:rFonts w:ascii="ITC Avant Garde" w:hAnsi="ITC Avant Garde"/>
          <w:strike/>
          <w:color w:val="000000" w:themeColor="text1"/>
          <w:sz w:val="18"/>
          <w:szCs w:val="18"/>
          <w:u w:val="single"/>
        </w:rPr>
        <w:t>Gbps</w:t>
      </w:r>
      <w:proofErr w:type="spellEnd"/>
      <w:r w:rsidRPr="008762D1">
        <w:rPr>
          <w:rFonts w:ascii="ITC Avant Garde" w:hAnsi="ITC Avant Garde"/>
          <w:strike/>
          <w:color w:val="000000" w:themeColor="text1"/>
          <w:sz w:val="18"/>
          <w:szCs w:val="18"/>
          <w:u w:val="single"/>
        </w:rPr>
        <w:t xml:space="preserve"> considerando de manera enunciativa más no </w:t>
      </w:r>
      <w:r w:rsidRPr="008762D1">
        <w:rPr>
          <w:rFonts w:ascii="ITC Avant Garde" w:hAnsi="ITC Avant Garde"/>
          <w:strike/>
          <w:color w:val="000000" w:themeColor="text1"/>
          <w:sz w:val="18"/>
          <w:szCs w:val="18"/>
          <w:u w:val="single"/>
        </w:rPr>
        <w:lastRenderedPageBreak/>
        <w:t>limitativa como tipos de i</w:t>
      </w:r>
      <w:r w:rsidR="003B49FA" w:rsidRPr="008762D1">
        <w:rPr>
          <w:rFonts w:ascii="ITC Avant Garde" w:hAnsi="ITC Avant Garde"/>
          <w:strike/>
          <w:color w:val="000000" w:themeColor="text1"/>
          <w:sz w:val="18"/>
          <w:szCs w:val="18"/>
          <w:u w:val="single"/>
        </w:rPr>
        <w:t>nterface</w:t>
      </w:r>
      <w:r w:rsidRPr="008762D1">
        <w:rPr>
          <w:rFonts w:ascii="ITC Avant Garde" w:hAnsi="ITC Avant Garde"/>
          <w:strike/>
          <w:color w:val="000000" w:themeColor="text1"/>
          <w:sz w:val="18"/>
          <w:szCs w:val="18"/>
          <w:u w:val="single"/>
        </w:rPr>
        <w:t>: V.35, G.703, RJ45, Óptica o Eléctrica</w:t>
      </w:r>
      <w:r w:rsidRPr="008762D1">
        <w:rPr>
          <w:rFonts w:ascii="ITC Avant Garde" w:hAnsi="ITC Avant Garde"/>
          <w:strike/>
          <w:color w:val="000000" w:themeColor="text1"/>
          <w:sz w:val="18"/>
          <w:szCs w:val="18"/>
        </w:rPr>
        <w:t xml:space="preserve"> según se define en la Norma G.703 de la Unión Internacional de Telecomunicaciones y para el caso de enlaces Ethernet el servicio será ofrecido de conformidad con la Norma 802.3 del IEEE (</w:t>
      </w:r>
      <w:proofErr w:type="spellStart"/>
      <w:r w:rsidRPr="008762D1">
        <w:rPr>
          <w:rFonts w:ascii="ITC Avant Garde" w:hAnsi="ITC Avant Garde"/>
          <w:strike/>
          <w:color w:val="000000" w:themeColor="text1"/>
          <w:sz w:val="18"/>
          <w:szCs w:val="18"/>
        </w:rPr>
        <w:t>Institute</w:t>
      </w:r>
      <w:proofErr w:type="spellEnd"/>
      <w:r w:rsidRPr="008762D1">
        <w:rPr>
          <w:rFonts w:ascii="ITC Avant Garde" w:hAnsi="ITC Avant Garde"/>
          <w:strike/>
          <w:color w:val="000000" w:themeColor="text1"/>
          <w:sz w:val="18"/>
          <w:szCs w:val="18"/>
        </w:rPr>
        <w:t xml:space="preserve"> of </w:t>
      </w:r>
      <w:proofErr w:type="spellStart"/>
      <w:r w:rsidRPr="008762D1">
        <w:rPr>
          <w:rFonts w:ascii="ITC Avant Garde" w:hAnsi="ITC Avant Garde"/>
          <w:strike/>
          <w:color w:val="000000" w:themeColor="text1"/>
          <w:sz w:val="18"/>
          <w:szCs w:val="18"/>
        </w:rPr>
        <w:t>Electrical</w:t>
      </w:r>
      <w:proofErr w:type="spellEnd"/>
      <w:r w:rsidRPr="008762D1">
        <w:rPr>
          <w:rFonts w:ascii="ITC Avant Garde" w:hAnsi="ITC Avant Garde"/>
          <w:strike/>
          <w:color w:val="000000" w:themeColor="text1"/>
          <w:sz w:val="18"/>
          <w:szCs w:val="18"/>
        </w:rPr>
        <w:t xml:space="preserve"> and </w:t>
      </w:r>
      <w:proofErr w:type="spellStart"/>
      <w:r w:rsidRPr="008762D1">
        <w:rPr>
          <w:rFonts w:ascii="ITC Avant Garde" w:hAnsi="ITC Avant Garde"/>
          <w:strike/>
          <w:color w:val="000000" w:themeColor="text1"/>
          <w:sz w:val="18"/>
          <w:szCs w:val="18"/>
        </w:rPr>
        <w:t>Electronics</w:t>
      </w:r>
      <w:proofErr w:type="spellEnd"/>
      <w:r w:rsidRPr="008762D1">
        <w:rPr>
          <w:rFonts w:ascii="ITC Avant Garde" w:hAnsi="ITC Avant Garde"/>
          <w:strike/>
          <w:color w:val="000000" w:themeColor="text1"/>
          <w:sz w:val="18"/>
          <w:szCs w:val="18"/>
        </w:rPr>
        <w:t xml:space="preserve"> </w:t>
      </w:r>
      <w:proofErr w:type="spellStart"/>
      <w:r w:rsidRPr="008762D1">
        <w:rPr>
          <w:rFonts w:ascii="ITC Avant Garde" w:hAnsi="ITC Avant Garde"/>
          <w:strike/>
          <w:color w:val="000000" w:themeColor="text1"/>
          <w:sz w:val="18"/>
          <w:szCs w:val="18"/>
        </w:rPr>
        <w:t>Engineers</w:t>
      </w:r>
      <w:proofErr w:type="spellEnd"/>
      <w:r w:rsidRPr="008762D1">
        <w:rPr>
          <w:rFonts w:ascii="ITC Avant Garde" w:hAnsi="ITC Avant Garde"/>
          <w:strike/>
          <w:color w:val="000000" w:themeColor="text1"/>
          <w:sz w:val="18"/>
          <w:szCs w:val="18"/>
        </w:rPr>
        <w:t>).</w:t>
      </w:r>
    </w:p>
    <w:p w14:paraId="7DFF4784" w14:textId="77777777" w:rsidR="000F0B9F" w:rsidRPr="008762D1" w:rsidRDefault="00DC4A6E"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u w:val="single"/>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r w:rsidRPr="008762D1">
        <w:rPr>
          <w:rFonts w:ascii="ITC Avant Garde" w:hAnsi="ITC Avant Garde"/>
          <w:color w:val="000000" w:themeColor="text1"/>
          <w:sz w:val="18"/>
          <w:szCs w:val="18"/>
        </w:rPr>
        <w:t>”</w:t>
      </w:r>
    </w:p>
    <w:p w14:paraId="333183EF" w14:textId="77777777" w:rsidR="000F0B9F" w:rsidRPr="008762D1" w:rsidRDefault="00DC4A6E"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“2.3 Capacidad de los Servicios.</w:t>
      </w:r>
    </w:p>
    <w:p w14:paraId="318D0998" w14:textId="77777777" w:rsidR="000F0B9F" w:rsidRPr="008762D1" w:rsidRDefault="00DC4A6E" w:rsidP="000F0B9F">
      <w:pPr>
        <w:spacing w:before="240" w:after="0"/>
        <w:ind w:left="567" w:right="567"/>
        <w:jc w:val="both"/>
        <w:rPr>
          <w:rFonts w:ascii="ITC Avant Garde" w:hAnsi="ITC Avant Garde"/>
          <w:strike/>
          <w:color w:val="000000" w:themeColor="text1"/>
          <w:sz w:val="18"/>
          <w:szCs w:val="18"/>
        </w:rPr>
      </w:pPr>
      <w:r w:rsidRPr="008762D1">
        <w:rPr>
          <w:rFonts w:ascii="ITC Avant Garde" w:hAnsi="ITC Avant Garde"/>
          <w:color w:val="000000" w:themeColor="text1"/>
          <w:sz w:val="18"/>
          <w:szCs w:val="18"/>
        </w:rPr>
        <w:t xml:space="preserve">El servicio Mayorista de Arrendamiento de Enlaces Dedicados de Interconexión, será ofrecido con velocidad </w:t>
      </w:r>
      <w:r w:rsidRPr="008762D1">
        <w:rPr>
          <w:rFonts w:ascii="ITC Avant Garde" w:hAnsi="ITC Avant Garde"/>
          <w:strike/>
          <w:color w:val="000000" w:themeColor="text1"/>
          <w:sz w:val="18"/>
          <w:szCs w:val="18"/>
        </w:rPr>
        <w:t>E1</w:t>
      </w:r>
      <w:r w:rsidRPr="008762D1">
        <w:rPr>
          <w:rFonts w:ascii="ITC Avant Garde" w:hAnsi="ITC Avant Garde"/>
          <w:strike/>
          <w:color w:val="000000" w:themeColor="text1"/>
          <w:sz w:val="18"/>
          <w:szCs w:val="18"/>
          <w:u w:val="single"/>
        </w:rPr>
        <w:t xml:space="preserve"> </w:t>
      </w:r>
      <w:r w:rsidRPr="008762D1">
        <w:rPr>
          <w:rFonts w:ascii="ITC Avant Garde" w:hAnsi="ITC Avant Garde"/>
          <w:strike/>
          <w:color w:val="000000" w:themeColor="text1"/>
          <w:sz w:val="18"/>
          <w:szCs w:val="18"/>
        </w:rPr>
        <w:t>y sus múltiplos, (2 Mbps), E3 (34 Mbps), STM1 y sus múltiplos</w:t>
      </w:r>
      <w:r w:rsidRPr="008762D1">
        <w:rPr>
          <w:rFonts w:ascii="ITC Avant Garde" w:hAnsi="ITC Avant Garde"/>
          <w:strike/>
          <w:color w:val="000000" w:themeColor="text1"/>
          <w:sz w:val="18"/>
          <w:szCs w:val="18"/>
          <w:u w:val="single"/>
        </w:rPr>
        <w:t xml:space="preserve">, </w:t>
      </w:r>
      <w:r w:rsidRPr="008762D1">
        <w:rPr>
          <w:rFonts w:ascii="ITC Avant Garde" w:hAnsi="ITC Avant Garde"/>
          <w:strike/>
          <w:color w:val="000000" w:themeColor="text1"/>
          <w:sz w:val="18"/>
          <w:szCs w:val="18"/>
        </w:rPr>
        <w:t>(155 Mbps), así como</w:t>
      </w:r>
      <w:r w:rsidRPr="008762D1">
        <w:rPr>
          <w:rFonts w:ascii="ITC Avant Garde" w:hAnsi="ITC Avant Garde"/>
          <w:color w:val="000000" w:themeColor="text1"/>
          <w:sz w:val="18"/>
          <w:szCs w:val="18"/>
        </w:rPr>
        <w:t xml:space="preserve"> de 1 </w:t>
      </w:r>
      <w:proofErr w:type="spellStart"/>
      <w:r w:rsidRPr="008762D1">
        <w:rPr>
          <w:rFonts w:ascii="ITC Avant Garde" w:hAnsi="ITC Avant Garde"/>
          <w:color w:val="000000" w:themeColor="text1"/>
          <w:sz w:val="18"/>
          <w:szCs w:val="18"/>
        </w:rPr>
        <w:t>Gbps</w:t>
      </w:r>
      <w:proofErr w:type="spellEnd"/>
      <w:r w:rsidRPr="008762D1">
        <w:rPr>
          <w:rFonts w:ascii="ITC Avant Garde" w:hAnsi="ITC Avant Garde"/>
          <w:color w:val="000000" w:themeColor="text1"/>
          <w:sz w:val="18"/>
          <w:szCs w:val="18"/>
        </w:rPr>
        <w:t xml:space="preserve"> Ethernet </w:t>
      </w:r>
      <w:r w:rsidRPr="008762D1">
        <w:rPr>
          <w:rFonts w:ascii="ITC Avant Garde" w:hAnsi="ITC Avant Garde"/>
          <w:strike/>
          <w:color w:val="000000" w:themeColor="text1"/>
          <w:sz w:val="18"/>
          <w:szCs w:val="18"/>
        </w:rPr>
        <w:t xml:space="preserve">y 10 </w:t>
      </w:r>
      <w:proofErr w:type="spellStart"/>
      <w:r w:rsidRPr="008762D1">
        <w:rPr>
          <w:rFonts w:ascii="ITC Avant Garde" w:hAnsi="ITC Avant Garde"/>
          <w:strike/>
          <w:color w:val="000000" w:themeColor="text1"/>
          <w:sz w:val="18"/>
          <w:szCs w:val="18"/>
        </w:rPr>
        <w:t>Gbps</w:t>
      </w:r>
      <w:proofErr w:type="spellEnd"/>
      <w:r w:rsidRPr="008762D1">
        <w:rPr>
          <w:rFonts w:ascii="ITC Avant Garde" w:hAnsi="ITC Avant Garde"/>
          <w:strike/>
          <w:color w:val="000000" w:themeColor="text1"/>
          <w:sz w:val="18"/>
          <w:szCs w:val="18"/>
        </w:rPr>
        <w:t>, considerando de manera enunciativa más no limitativa como tipos de interface: V.35, G.703, RJ45, Óptica o Eléctrica según se define en la Norma G.703 de la Unión Internacional de Telecomunicaciones y para el caso de enlaces Ethernet el servicio será ofrecido de conformidad con la Norma 802.3 del IEEE (</w:t>
      </w:r>
      <w:proofErr w:type="spellStart"/>
      <w:r w:rsidRPr="008762D1">
        <w:rPr>
          <w:rFonts w:ascii="ITC Avant Garde" w:hAnsi="ITC Avant Garde"/>
          <w:strike/>
          <w:color w:val="000000" w:themeColor="text1"/>
          <w:sz w:val="18"/>
          <w:szCs w:val="18"/>
        </w:rPr>
        <w:t>Institute</w:t>
      </w:r>
      <w:proofErr w:type="spellEnd"/>
      <w:r w:rsidRPr="008762D1">
        <w:rPr>
          <w:rFonts w:ascii="ITC Avant Garde" w:hAnsi="ITC Avant Garde"/>
          <w:strike/>
          <w:color w:val="000000" w:themeColor="text1"/>
          <w:sz w:val="18"/>
          <w:szCs w:val="18"/>
        </w:rPr>
        <w:t xml:space="preserve"> of </w:t>
      </w:r>
      <w:proofErr w:type="spellStart"/>
      <w:r w:rsidRPr="008762D1">
        <w:rPr>
          <w:rFonts w:ascii="ITC Avant Garde" w:hAnsi="ITC Avant Garde"/>
          <w:strike/>
          <w:color w:val="000000" w:themeColor="text1"/>
          <w:sz w:val="18"/>
          <w:szCs w:val="18"/>
        </w:rPr>
        <w:t>Electrical</w:t>
      </w:r>
      <w:proofErr w:type="spellEnd"/>
      <w:r w:rsidRPr="008762D1">
        <w:rPr>
          <w:rFonts w:ascii="ITC Avant Garde" w:hAnsi="ITC Avant Garde"/>
          <w:strike/>
          <w:color w:val="000000" w:themeColor="text1"/>
          <w:sz w:val="18"/>
          <w:szCs w:val="18"/>
        </w:rPr>
        <w:t xml:space="preserve"> and </w:t>
      </w:r>
      <w:proofErr w:type="spellStart"/>
      <w:r w:rsidRPr="008762D1">
        <w:rPr>
          <w:rFonts w:ascii="ITC Avant Garde" w:hAnsi="ITC Avant Garde"/>
          <w:strike/>
          <w:color w:val="000000" w:themeColor="text1"/>
          <w:sz w:val="18"/>
          <w:szCs w:val="18"/>
        </w:rPr>
        <w:t>Electronics</w:t>
      </w:r>
      <w:proofErr w:type="spellEnd"/>
      <w:r w:rsidRPr="008762D1">
        <w:rPr>
          <w:rFonts w:ascii="ITC Avant Garde" w:hAnsi="ITC Avant Garde"/>
          <w:strike/>
          <w:color w:val="000000" w:themeColor="text1"/>
          <w:sz w:val="18"/>
          <w:szCs w:val="18"/>
        </w:rPr>
        <w:t xml:space="preserve"> </w:t>
      </w:r>
      <w:proofErr w:type="spellStart"/>
      <w:r w:rsidRPr="008762D1">
        <w:rPr>
          <w:rFonts w:ascii="ITC Avant Garde" w:hAnsi="ITC Avant Garde"/>
          <w:strike/>
          <w:color w:val="000000" w:themeColor="text1"/>
          <w:sz w:val="18"/>
          <w:szCs w:val="18"/>
        </w:rPr>
        <w:t>Engineers</w:t>
      </w:r>
      <w:proofErr w:type="spellEnd"/>
      <w:r w:rsidRPr="008762D1">
        <w:rPr>
          <w:rFonts w:ascii="ITC Avant Garde" w:hAnsi="ITC Avant Garde"/>
          <w:strike/>
          <w:color w:val="000000" w:themeColor="text1"/>
          <w:sz w:val="18"/>
          <w:szCs w:val="18"/>
        </w:rPr>
        <w:t>).</w:t>
      </w:r>
    </w:p>
    <w:p w14:paraId="72337EA1" w14:textId="0D9F40FE" w:rsidR="001F5D0E" w:rsidRPr="008762D1" w:rsidRDefault="00DC4A6E" w:rsidP="000F0B9F">
      <w:pPr>
        <w:spacing w:before="240" w:after="0"/>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u w:val="single"/>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r w:rsidRPr="008762D1">
        <w:rPr>
          <w:rFonts w:ascii="ITC Avant Garde" w:hAnsi="ITC Avant Garde"/>
          <w:color w:val="000000" w:themeColor="text1"/>
          <w:sz w:val="18"/>
          <w:szCs w:val="18"/>
        </w:rPr>
        <w:t>”</w:t>
      </w:r>
    </w:p>
    <w:p w14:paraId="5ED424EE" w14:textId="77777777" w:rsidR="00C241AC" w:rsidRPr="008762D1" w:rsidRDefault="000C3CD0"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7F058218" w14:textId="77777777" w:rsidR="000F0B9F" w:rsidRPr="008762D1" w:rsidRDefault="001F1755" w:rsidP="000F0B9F">
      <w:pPr>
        <w:pStyle w:val="IFT1"/>
        <w:numPr>
          <w:ilvl w:val="2"/>
          <w:numId w:val="9"/>
        </w:numPr>
        <w:tabs>
          <w:tab w:val="left" w:pos="284"/>
          <w:tab w:val="left" w:pos="567"/>
        </w:tabs>
        <w:spacing w:before="240" w:after="0"/>
        <w:ind w:left="863" w:hanging="863"/>
        <w:rPr>
          <w:b/>
          <w:color w:val="000000" w:themeColor="text1"/>
        </w:rPr>
      </w:pPr>
      <w:r w:rsidRPr="008762D1">
        <w:rPr>
          <w:b/>
          <w:color w:val="000000" w:themeColor="text1"/>
        </w:rPr>
        <w:t>PLAZOS DE ENTREGA</w:t>
      </w:r>
      <w:r w:rsidR="00564D55" w:rsidRPr="008762D1">
        <w:rPr>
          <w:b/>
          <w:color w:val="000000" w:themeColor="text1"/>
        </w:rPr>
        <w:t>.</w:t>
      </w:r>
    </w:p>
    <w:p w14:paraId="18265DFB" w14:textId="0AB5E457" w:rsidR="00392A75" w:rsidRPr="008762D1" w:rsidRDefault="00392A75"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2DF83D61" w14:textId="77777777" w:rsidR="000F0B9F" w:rsidRPr="008762D1" w:rsidRDefault="00496020"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D</w:t>
      </w:r>
      <w:r w:rsidR="00564D55" w:rsidRPr="008762D1">
        <w:rPr>
          <w:rFonts w:ascii="ITC Avant Garde" w:eastAsia="Times New Roman" w:hAnsi="ITC Avant Garde" w:cs="Arial"/>
          <w:iCs/>
          <w:color w:val="000000" w:themeColor="text1"/>
        </w:rPr>
        <w:t>el análisis del numeral 2.4.1 Plazos de entrega del Anexo G se observó que los términos no se apega</w:t>
      </w:r>
      <w:r w:rsidR="001F1755" w:rsidRPr="008762D1">
        <w:rPr>
          <w:rFonts w:ascii="ITC Avant Garde" w:eastAsia="Times New Roman" w:hAnsi="ITC Avant Garde" w:cs="Arial"/>
          <w:iCs/>
          <w:color w:val="000000" w:themeColor="text1"/>
        </w:rPr>
        <w:t>ba</w:t>
      </w:r>
      <w:r w:rsidR="00564D55" w:rsidRPr="008762D1">
        <w:rPr>
          <w:rFonts w:ascii="ITC Avant Garde" w:eastAsia="Times New Roman" w:hAnsi="ITC Avant Garde" w:cs="Arial"/>
          <w:iCs/>
          <w:color w:val="000000" w:themeColor="text1"/>
        </w:rPr>
        <w:t xml:space="preserve">n al marco regulatorio vigente </w:t>
      </w:r>
      <w:r w:rsidR="00564D55" w:rsidRPr="008762D1">
        <w:rPr>
          <w:rFonts w:ascii="ITC Avant Garde" w:hAnsi="ITC Avant Garde" w:cs="Arial"/>
          <w:color w:val="000000" w:themeColor="text1"/>
        </w:rPr>
        <w:t>ni a</w:t>
      </w:r>
      <w:r w:rsidR="00564D55" w:rsidRPr="008762D1">
        <w:rPr>
          <w:rFonts w:ascii="ITC Avant Garde" w:hAnsi="ITC Avant Garde"/>
          <w:color w:val="000000" w:themeColor="text1"/>
        </w:rPr>
        <w:t xml:space="preserve"> los términos y condiciones </w:t>
      </w:r>
      <w:r w:rsidR="00564D55" w:rsidRPr="008762D1">
        <w:rPr>
          <w:rFonts w:ascii="ITC Avant Garde" w:hAnsi="ITC Avant Garde"/>
          <w:bCs/>
          <w:color w:val="000000" w:themeColor="text1"/>
        </w:rPr>
        <w:t xml:space="preserve">establecidos en el CMI 2017 </w:t>
      </w:r>
      <w:r w:rsidR="00564D55" w:rsidRPr="008762D1">
        <w:rPr>
          <w:rFonts w:ascii="ITC Avant Garde" w:hAnsi="ITC Avant Garde"/>
          <w:color w:val="000000" w:themeColor="text1"/>
        </w:rPr>
        <w:t xml:space="preserve">autorizado mediante Acuerdo </w:t>
      </w:r>
      <w:r w:rsidR="00DA661D" w:rsidRPr="008762D1">
        <w:rPr>
          <w:rFonts w:ascii="ITC Avant Garde" w:hAnsi="ITC Avant Garde" w:cs="Arial"/>
          <w:bCs/>
          <w:color w:val="000000" w:themeColor="text1"/>
          <w:lang w:eastAsia="es-ES"/>
        </w:rPr>
        <w:t>P/IFT/EXT/241116/40</w:t>
      </w:r>
      <w:r w:rsidR="00564D55" w:rsidRPr="008762D1">
        <w:rPr>
          <w:rFonts w:ascii="ITC Avant Garde" w:hAnsi="ITC Avant Garde" w:cs="Arial"/>
          <w:bCs/>
          <w:color w:val="000000" w:themeColor="text1"/>
          <w:lang w:eastAsia="es-ES"/>
        </w:rPr>
        <w:t xml:space="preserve"> </w:t>
      </w:r>
      <w:r w:rsidR="00564D55"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1F1755" w:rsidRPr="008762D1">
        <w:rPr>
          <w:rFonts w:ascii="ITC Avant Garde" w:hAnsi="ITC Avant Garde"/>
          <w:bCs/>
          <w:color w:val="000000" w:themeColor="text1"/>
        </w:rPr>
        <w:t>ación; el Instituto no consideró</w:t>
      </w:r>
      <w:r w:rsidR="00564D55" w:rsidRPr="008762D1">
        <w:rPr>
          <w:rFonts w:ascii="ITC Avant Garde" w:hAnsi="ITC Avant Garde"/>
          <w:bCs/>
          <w:color w:val="000000" w:themeColor="text1"/>
        </w:rPr>
        <w:t xml:space="preserve"> procedente que en una revisión posterior del convenio ma</w:t>
      </w:r>
      <w:r w:rsidR="001F1755" w:rsidRPr="008762D1">
        <w:rPr>
          <w:rFonts w:ascii="ITC Avant Garde" w:hAnsi="ITC Avant Garde"/>
          <w:bCs/>
          <w:color w:val="000000" w:themeColor="text1"/>
        </w:rPr>
        <w:t>rco de interconexión se plantearan</w:t>
      </w:r>
      <w:r w:rsidR="00564D55" w:rsidRPr="008762D1">
        <w:rPr>
          <w:rFonts w:ascii="ITC Avant Garde" w:hAnsi="ITC Avant Garde"/>
          <w:bCs/>
          <w:color w:val="000000" w:themeColor="text1"/>
        </w:rPr>
        <w:t xml:space="preserve"> términos y condiciones menos favorables que los ya autorizados por el Instituto.</w:t>
      </w:r>
    </w:p>
    <w:p w14:paraId="6543C5D3" w14:textId="77777777" w:rsidR="000F0B9F" w:rsidRPr="008762D1" w:rsidRDefault="00564D55" w:rsidP="000F0B9F">
      <w:pPr>
        <w:pStyle w:val="IFT1"/>
        <w:tabs>
          <w:tab w:val="left" w:pos="0"/>
          <w:tab w:val="left" w:pos="567"/>
        </w:tabs>
        <w:autoSpaceDE w:val="0"/>
        <w:autoSpaceDN w:val="0"/>
        <w:adjustRightInd w:val="0"/>
        <w:spacing w:before="240" w:after="0"/>
        <w:rPr>
          <w:snapToGrid w:val="0"/>
          <w:color w:val="000000" w:themeColor="text1"/>
        </w:rPr>
      </w:pPr>
      <w:r w:rsidRPr="008762D1">
        <w:rPr>
          <w:rFonts w:eastAsiaTheme="minorHAnsi" w:cstheme="minorBidi"/>
          <w:iCs w:val="0"/>
          <w:color w:val="000000" w:themeColor="text1"/>
        </w:rPr>
        <w:t xml:space="preserve">Lo anterior, dado que los plazos de entrega de </w:t>
      </w:r>
      <w:r w:rsidR="005B73E7" w:rsidRPr="008762D1">
        <w:rPr>
          <w:rFonts w:eastAsiaTheme="minorHAnsi" w:cstheme="minorBidi"/>
          <w:iCs w:val="0"/>
          <w:color w:val="000000" w:themeColor="text1"/>
        </w:rPr>
        <w:t xml:space="preserve">los enlaces de interconexión y de señalización </w:t>
      </w:r>
      <w:r w:rsidRPr="008762D1">
        <w:rPr>
          <w:rFonts w:eastAsiaTheme="minorHAnsi" w:cstheme="minorBidi"/>
          <w:iCs w:val="0"/>
          <w:color w:val="000000" w:themeColor="text1"/>
        </w:rPr>
        <w:t xml:space="preserve">no </w:t>
      </w:r>
      <w:proofErr w:type="gramStart"/>
      <w:r w:rsidR="005B73E7" w:rsidRPr="008762D1">
        <w:rPr>
          <w:color w:val="000000" w:themeColor="text1"/>
        </w:rPr>
        <w:t>correspondían</w:t>
      </w:r>
      <w:proofErr w:type="gramEnd"/>
      <w:r w:rsidR="005B73E7" w:rsidRPr="008762D1">
        <w:rPr>
          <w:color w:val="000000" w:themeColor="text1"/>
        </w:rPr>
        <w:t xml:space="preserve"> con lo establecido en el CMI 2017</w:t>
      </w:r>
      <w:r w:rsidR="00082154" w:rsidRPr="008762D1">
        <w:rPr>
          <w:color w:val="000000" w:themeColor="text1"/>
        </w:rPr>
        <w:t>,</w:t>
      </w:r>
      <w:r w:rsidR="005B73E7" w:rsidRPr="008762D1">
        <w:rPr>
          <w:color w:val="000000" w:themeColor="text1"/>
        </w:rPr>
        <w:t xml:space="preserve"> </w:t>
      </w:r>
      <w:r w:rsidR="00633311" w:rsidRPr="008762D1">
        <w:rPr>
          <w:color w:val="000000" w:themeColor="text1"/>
        </w:rPr>
        <w:t>por lo que se modific</w:t>
      </w:r>
      <w:r w:rsidR="00082154" w:rsidRPr="008762D1">
        <w:rPr>
          <w:color w:val="000000" w:themeColor="text1"/>
        </w:rPr>
        <w:t>ó el</w:t>
      </w:r>
      <w:r w:rsidR="00FD3550" w:rsidRPr="008762D1">
        <w:rPr>
          <w:color w:val="000000" w:themeColor="text1"/>
        </w:rPr>
        <w:t xml:space="preserve"> </w:t>
      </w:r>
      <w:r w:rsidR="005B73E7" w:rsidRPr="008762D1">
        <w:rPr>
          <w:color w:val="000000" w:themeColor="text1"/>
        </w:rPr>
        <w:t xml:space="preserve">numeral 2.4.1 </w:t>
      </w:r>
      <w:r w:rsidR="00633311" w:rsidRPr="008762D1">
        <w:rPr>
          <w:snapToGrid w:val="0"/>
          <w:color w:val="000000" w:themeColor="text1"/>
        </w:rPr>
        <w:t>del Anexo G del CMI</w:t>
      </w:r>
      <w:r w:rsidR="005B73E7" w:rsidRPr="008762D1">
        <w:rPr>
          <w:snapToGrid w:val="0"/>
          <w:color w:val="000000" w:themeColor="text1"/>
        </w:rPr>
        <w:t>, en el siguiente sentido:</w:t>
      </w:r>
      <w:r w:rsidR="00633311" w:rsidRPr="008762D1">
        <w:rPr>
          <w:snapToGrid w:val="0"/>
          <w:color w:val="000000" w:themeColor="text1"/>
        </w:rPr>
        <w:t xml:space="preserve"> </w:t>
      </w:r>
    </w:p>
    <w:p w14:paraId="1A33D325" w14:textId="77777777" w:rsidR="000F0B9F" w:rsidRPr="008762D1" w:rsidRDefault="00AA00DF"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lastRenderedPageBreak/>
        <w:t>“2.4.1 Plazos de entrega.</w:t>
      </w:r>
    </w:p>
    <w:p w14:paraId="42615C88" w14:textId="74090C90" w:rsidR="00AA00DF" w:rsidRPr="008762D1" w:rsidRDefault="00AA00DF"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2.4.1.1 Los plazos de entrega indicados en la tabla del presente numeral, no podrán excederse en:</w:t>
      </w:r>
    </w:p>
    <w:p w14:paraId="2C2797E3" w14:textId="77777777" w:rsidR="00AA00DF" w:rsidRPr="008762D1" w:rsidRDefault="00AA00DF"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tbl>
      <w:tblPr>
        <w:tblStyle w:val="Cuadrculadetablaclara"/>
        <w:tblW w:w="0" w:type="auto"/>
        <w:jc w:val="center"/>
        <w:tblLook w:val="01E0" w:firstRow="1" w:lastRow="1" w:firstColumn="1" w:lastColumn="1" w:noHBand="0" w:noVBand="0"/>
        <w:tblCaption w:val="Tabla"/>
        <w:tblDescription w:val="Plazos de entrega."/>
      </w:tblPr>
      <w:tblGrid>
        <w:gridCol w:w="5103"/>
        <w:gridCol w:w="1559"/>
      </w:tblGrid>
      <w:tr w:rsidR="008762D1" w:rsidRPr="008762D1" w14:paraId="566D7E43" w14:textId="77777777" w:rsidTr="00036A6A">
        <w:trPr>
          <w:tblHeader/>
          <w:jc w:val="center"/>
        </w:trPr>
        <w:tc>
          <w:tcPr>
            <w:tcW w:w="5103" w:type="dxa"/>
          </w:tcPr>
          <w:p w14:paraId="05FAA813" w14:textId="77777777" w:rsidR="005B73E7" w:rsidRPr="008762D1" w:rsidRDefault="005B73E7" w:rsidP="00233A05">
            <w:pPr>
              <w:jc w:val="both"/>
              <w:rPr>
                <w:rFonts w:ascii="ITC Avant Garde" w:hAnsi="ITC Avant Garde" w:cs="Arial"/>
                <w:color w:val="000000" w:themeColor="text1"/>
                <w:sz w:val="18"/>
                <w:szCs w:val="18"/>
              </w:rPr>
            </w:pPr>
          </w:p>
        </w:tc>
        <w:tc>
          <w:tcPr>
            <w:tcW w:w="1559" w:type="dxa"/>
          </w:tcPr>
          <w:p w14:paraId="7C0E94C0" w14:textId="77777777" w:rsidR="005B73E7" w:rsidRPr="008762D1" w:rsidRDefault="005B73E7" w:rsidP="00233A05">
            <w:pPr>
              <w:jc w:val="center"/>
              <w:rPr>
                <w:rFonts w:ascii="ITC Avant Garde" w:hAnsi="ITC Avant Garde" w:cs="Arial"/>
                <w:b/>
                <w:color w:val="000000" w:themeColor="text1"/>
                <w:sz w:val="18"/>
                <w:szCs w:val="18"/>
              </w:rPr>
            </w:pPr>
            <w:r w:rsidRPr="008762D1">
              <w:rPr>
                <w:rFonts w:ascii="ITC Avant Garde" w:eastAsia="Calibri" w:hAnsi="ITC Avant Garde" w:cs="Arial"/>
                <w:b/>
                <w:color w:val="000000" w:themeColor="text1"/>
                <w:sz w:val="18"/>
                <w:szCs w:val="18"/>
              </w:rPr>
              <w:t>Días hábiles</w:t>
            </w:r>
          </w:p>
        </w:tc>
      </w:tr>
      <w:tr w:rsidR="008762D1" w:rsidRPr="008762D1" w14:paraId="29F917A0" w14:textId="77777777" w:rsidTr="00036A6A">
        <w:trPr>
          <w:jc w:val="center"/>
        </w:trPr>
        <w:tc>
          <w:tcPr>
            <w:tcW w:w="5103" w:type="dxa"/>
          </w:tcPr>
          <w:p w14:paraId="4191BB90" w14:textId="77777777" w:rsidR="005B73E7" w:rsidRPr="008762D1" w:rsidRDefault="005B73E7" w:rsidP="00233A05">
            <w:pPr>
              <w:jc w:val="both"/>
              <w:rPr>
                <w:rFonts w:ascii="ITC Avant Garde" w:hAnsi="ITC Avant Garde" w:cs="Arial"/>
                <w:b/>
                <w:color w:val="000000" w:themeColor="text1"/>
                <w:sz w:val="18"/>
                <w:szCs w:val="18"/>
              </w:rPr>
            </w:pPr>
            <w:r w:rsidRPr="008762D1">
              <w:rPr>
                <w:rFonts w:ascii="ITC Avant Garde" w:eastAsia="Calibri" w:hAnsi="ITC Avant Garde" w:cs="Arial"/>
                <w:b/>
                <w:color w:val="000000" w:themeColor="text1"/>
                <w:sz w:val="18"/>
                <w:szCs w:val="18"/>
              </w:rPr>
              <w:t>Enlaces Dedicados de Interconexión Locales</w:t>
            </w:r>
          </w:p>
        </w:tc>
        <w:tc>
          <w:tcPr>
            <w:tcW w:w="1559" w:type="dxa"/>
          </w:tcPr>
          <w:p w14:paraId="0ED55A62" w14:textId="77777777" w:rsidR="005B73E7" w:rsidRPr="008762D1" w:rsidRDefault="00AA00DF" w:rsidP="00233A05">
            <w:pPr>
              <w:jc w:val="center"/>
              <w:rPr>
                <w:rFonts w:ascii="ITC Avant Garde" w:hAnsi="ITC Avant Garde" w:cs="Arial"/>
                <w:color w:val="000000" w:themeColor="text1"/>
                <w:sz w:val="18"/>
                <w:szCs w:val="18"/>
              </w:rPr>
            </w:pPr>
            <w:r w:rsidRPr="008762D1">
              <w:rPr>
                <w:rFonts w:ascii="ITC Avant Garde" w:eastAsia="Calibri" w:hAnsi="ITC Avant Garde" w:cs="Arial"/>
                <w:strike/>
                <w:color w:val="000000" w:themeColor="text1"/>
                <w:sz w:val="18"/>
                <w:szCs w:val="18"/>
              </w:rPr>
              <w:t>2</w:t>
            </w:r>
            <w:r w:rsidR="005B73E7" w:rsidRPr="008762D1">
              <w:rPr>
                <w:rFonts w:ascii="ITC Avant Garde" w:eastAsia="Calibri" w:hAnsi="ITC Avant Garde" w:cs="Arial"/>
                <w:color w:val="000000" w:themeColor="text1"/>
                <w:sz w:val="18"/>
                <w:szCs w:val="18"/>
                <w:u w:val="single"/>
              </w:rPr>
              <w:t>1</w:t>
            </w:r>
            <w:r w:rsidR="005B73E7" w:rsidRPr="008762D1">
              <w:rPr>
                <w:rFonts w:ascii="ITC Avant Garde" w:eastAsia="Calibri" w:hAnsi="ITC Avant Garde" w:cs="Arial"/>
                <w:color w:val="000000" w:themeColor="text1"/>
                <w:sz w:val="18"/>
                <w:szCs w:val="18"/>
              </w:rPr>
              <w:t>5</w:t>
            </w:r>
          </w:p>
        </w:tc>
      </w:tr>
      <w:tr w:rsidR="008762D1" w:rsidRPr="008762D1" w14:paraId="0020EBE4" w14:textId="77777777" w:rsidTr="00036A6A">
        <w:trPr>
          <w:jc w:val="center"/>
        </w:trPr>
        <w:tc>
          <w:tcPr>
            <w:tcW w:w="5103" w:type="dxa"/>
          </w:tcPr>
          <w:p w14:paraId="540C2D8A" w14:textId="77777777" w:rsidR="005B73E7" w:rsidRPr="008762D1" w:rsidRDefault="005B73E7" w:rsidP="00233A05">
            <w:pPr>
              <w:jc w:val="both"/>
              <w:rPr>
                <w:rFonts w:ascii="ITC Avant Garde" w:hAnsi="ITC Avant Garde" w:cs="Arial"/>
                <w:b/>
                <w:color w:val="000000" w:themeColor="text1"/>
                <w:sz w:val="18"/>
                <w:szCs w:val="18"/>
              </w:rPr>
            </w:pPr>
            <w:r w:rsidRPr="008762D1">
              <w:rPr>
                <w:rFonts w:ascii="ITC Avant Garde" w:eastAsia="Calibri" w:hAnsi="ITC Avant Garde" w:cs="Arial"/>
                <w:b/>
                <w:color w:val="000000" w:themeColor="text1"/>
                <w:sz w:val="18"/>
                <w:szCs w:val="18"/>
              </w:rPr>
              <w:t>Enlaces Dedicados de Interconexión Nacionales</w:t>
            </w:r>
          </w:p>
        </w:tc>
        <w:tc>
          <w:tcPr>
            <w:tcW w:w="1559" w:type="dxa"/>
          </w:tcPr>
          <w:p w14:paraId="723BEDDB" w14:textId="77777777" w:rsidR="005B73E7" w:rsidRPr="008762D1" w:rsidRDefault="00AA00DF" w:rsidP="00233A05">
            <w:pPr>
              <w:jc w:val="center"/>
              <w:rPr>
                <w:rFonts w:ascii="ITC Avant Garde" w:hAnsi="ITC Avant Garde" w:cs="Arial"/>
                <w:color w:val="000000" w:themeColor="text1"/>
                <w:sz w:val="18"/>
                <w:szCs w:val="18"/>
              </w:rPr>
            </w:pPr>
            <w:r w:rsidRPr="008762D1">
              <w:rPr>
                <w:rFonts w:ascii="ITC Avant Garde" w:eastAsia="Calibri" w:hAnsi="ITC Avant Garde" w:cs="Arial"/>
                <w:strike/>
                <w:color w:val="000000" w:themeColor="text1"/>
                <w:sz w:val="18"/>
                <w:szCs w:val="18"/>
              </w:rPr>
              <w:t>3</w:t>
            </w:r>
            <w:r w:rsidR="005B73E7" w:rsidRPr="008762D1">
              <w:rPr>
                <w:rFonts w:ascii="ITC Avant Garde" w:eastAsia="Calibri" w:hAnsi="ITC Avant Garde" w:cs="Arial"/>
                <w:color w:val="000000" w:themeColor="text1"/>
                <w:sz w:val="18"/>
                <w:szCs w:val="18"/>
                <w:u w:val="single"/>
              </w:rPr>
              <w:t>1</w:t>
            </w:r>
            <w:r w:rsidR="005B73E7" w:rsidRPr="008762D1">
              <w:rPr>
                <w:rFonts w:ascii="ITC Avant Garde" w:eastAsia="Calibri" w:hAnsi="ITC Avant Garde" w:cs="Arial"/>
                <w:color w:val="000000" w:themeColor="text1"/>
                <w:sz w:val="18"/>
                <w:szCs w:val="18"/>
              </w:rPr>
              <w:t>5</w:t>
            </w:r>
          </w:p>
        </w:tc>
      </w:tr>
      <w:tr w:rsidR="008762D1" w:rsidRPr="008762D1" w14:paraId="3EF8BE9C" w14:textId="77777777" w:rsidTr="00036A6A">
        <w:trPr>
          <w:jc w:val="center"/>
        </w:trPr>
        <w:tc>
          <w:tcPr>
            <w:tcW w:w="5103" w:type="dxa"/>
          </w:tcPr>
          <w:p w14:paraId="0A062ABA" w14:textId="77777777" w:rsidR="005B73E7" w:rsidRPr="008762D1" w:rsidRDefault="005B73E7" w:rsidP="00233A05">
            <w:pPr>
              <w:jc w:val="both"/>
              <w:rPr>
                <w:rFonts w:ascii="ITC Avant Garde" w:eastAsia="Calibri" w:hAnsi="ITC Avant Garde" w:cs="Arial"/>
                <w:b/>
                <w:color w:val="000000" w:themeColor="text1"/>
                <w:sz w:val="18"/>
                <w:szCs w:val="18"/>
              </w:rPr>
            </w:pPr>
            <w:r w:rsidRPr="008762D1">
              <w:rPr>
                <w:rFonts w:ascii="ITC Avant Garde" w:eastAsia="Calibri" w:hAnsi="ITC Avant Garde" w:cs="Arial"/>
                <w:b/>
                <w:color w:val="000000" w:themeColor="text1"/>
                <w:sz w:val="18"/>
                <w:szCs w:val="18"/>
              </w:rPr>
              <w:t>Enlaces de Señalización Locales</w:t>
            </w:r>
          </w:p>
        </w:tc>
        <w:tc>
          <w:tcPr>
            <w:tcW w:w="1559" w:type="dxa"/>
          </w:tcPr>
          <w:p w14:paraId="29A1CB15" w14:textId="77777777" w:rsidR="005B73E7" w:rsidRPr="008762D1" w:rsidRDefault="00AA00DF" w:rsidP="00233A05">
            <w:pPr>
              <w:jc w:val="center"/>
              <w:rPr>
                <w:rFonts w:ascii="ITC Avant Garde" w:eastAsia="Calibri" w:hAnsi="ITC Avant Garde" w:cs="Arial"/>
                <w:color w:val="000000" w:themeColor="text1"/>
                <w:sz w:val="18"/>
                <w:szCs w:val="18"/>
              </w:rPr>
            </w:pPr>
            <w:r w:rsidRPr="008762D1">
              <w:rPr>
                <w:rFonts w:ascii="ITC Avant Garde" w:eastAsia="Calibri" w:hAnsi="ITC Avant Garde" w:cs="Arial"/>
                <w:strike/>
                <w:color w:val="000000" w:themeColor="text1"/>
                <w:sz w:val="18"/>
                <w:szCs w:val="18"/>
              </w:rPr>
              <w:t>2</w:t>
            </w:r>
            <w:r w:rsidR="005B73E7" w:rsidRPr="008762D1">
              <w:rPr>
                <w:rFonts w:ascii="ITC Avant Garde" w:eastAsia="Calibri" w:hAnsi="ITC Avant Garde" w:cs="Arial"/>
                <w:color w:val="000000" w:themeColor="text1"/>
                <w:sz w:val="18"/>
                <w:szCs w:val="18"/>
                <w:u w:val="single"/>
              </w:rPr>
              <w:t>1</w:t>
            </w:r>
            <w:r w:rsidR="005B73E7" w:rsidRPr="008762D1">
              <w:rPr>
                <w:rFonts w:ascii="ITC Avant Garde" w:eastAsia="Calibri" w:hAnsi="ITC Avant Garde" w:cs="Arial"/>
                <w:color w:val="000000" w:themeColor="text1"/>
                <w:sz w:val="18"/>
                <w:szCs w:val="18"/>
              </w:rPr>
              <w:t>5</w:t>
            </w:r>
          </w:p>
        </w:tc>
      </w:tr>
      <w:tr w:rsidR="008762D1" w:rsidRPr="008762D1" w14:paraId="46B8077F" w14:textId="77777777" w:rsidTr="00036A6A">
        <w:trPr>
          <w:jc w:val="center"/>
        </w:trPr>
        <w:tc>
          <w:tcPr>
            <w:tcW w:w="5103" w:type="dxa"/>
          </w:tcPr>
          <w:p w14:paraId="67B53708" w14:textId="77777777" w:rsidR="005B73E7" w:rsidRPr="008762D1" w:rsidRDefault="005B73E7" w:rsidP="00233A05">
            <w:pPr>
              <w:jc w:val="both"/>
              <w:rPr>
                <w:rFonts w:ascii="ITC Avant Garde" w:eastAsia="Calibri" w:hAnsi="ITC Avant Garde" w:cs="Arial"/>
                <w:b/>
                <w:color w:val="000000" w:themeColor="text1"/>
                <w:sz w:val="18"/>
                <w:szCs w:val="18"/>
              </w:rPr>
            </w:pPr>
            <w:r w:rsidRPr="008762D1">
              <w:rPr>
                <w:rFonts w:ascii="ITC Avant Garde" w:eastAsia="Calibri" w:hAnsi="ITC Avant Garde" w:cs="Arial"/>
                <w:b/>
                <w:color w:val="000000" w:themeColor="text1"/>
                <w:sz w:val="18"/>
                <w:szCs w:val="18"/>
              </w:rPr>
              <w:t>Enlaces de Señalización Nacionales</w:t>
            </w:r>
          </w:p>
        </w:tc>
        <w:tc>
          <w:tcPr>
            <w:tcW w:w="1559" w:type="dxa"/>
          </w:tcPr>
          <w:p w14:paraId="2E0D13A9" w14:textId="77777777" w:rsidR="005B73E7" w:rsidRPr="008762D1" w:rsidRDefault="00AA00DF" w:rsidP="00233A05">
            <w:pPr>
              <w:jc w:val="center"/>
              <w:rPr>
                <w:rFonts w:ascii="ITC Avant Garde" w:eastAsia="Calibri" w:hAnsi="ITC Avant Garde" w:cs="Arial"/>
                <w:color w:val="000000" w:themeColor="text1"/>
                <w:sz w:val="18"/>
                <w:szCs w:val="18"/>
              </w:rPr>
            </w:pPr>
            <w:r w:rsidRPr="008762D1">
              <w:rPr>
                <w:rFonts w:ascii="ITC Avant Garde" w:eastAsia="Calibri" w:hAnsi="ITC Avant Garde" w:cs="Arial"/>
                <w:strike/>
                <w:color w:val="000000" w:themeColor="text1"/>
                <w:sz w:val="18"/>
                <w:szCs w:val="18"/>
              </w:rPr>
              <w:t>3</w:t>
            </w:r>
            <w:r w:rsidR="005B73E7" w:rsidRPr="008762D1">
              <w:rPr>
                <w:rFonts w:ascii="ITC Avant Garde" w:eastAsia="Calibri" w:hAnsi="ITC Avant Garde" w:cs="Arial"/>
                <w:color w:val="000000" w:themeColor="text1"/>
                <w:sz w:val="18"/>
                <w:szCs w:val="18"/>
                <w:u w:val="single"/>
              </w:rPr>
              <w:t>1</w:t>
            </w:r>
            <w:r w:rsidR="005B73E7" w:rsidRPr="008762D1">
              <w:rPr>
                <w:rFonts w:ascii="ITC Avant Garde" w:eastAsia="Calibri" w:hAnsi="ITC Avant Garde" w:cs="Arial"/>
                <w:color w:val="000000" w:themeColor="text1"/>
                <w:sz w:val="18"/>
                <w:szCs w:val="18"/>
              </w:rPr>
              <w:t>5</w:t>
            </w:r>
          </w:p>
        </w:tc>
      </w:tr>
      <w:tr w:rsidR="008762D1" w:rsidRPr="008762D1" w14:paraId="545B3E4D" w14:textId="77777777" w:rsidTr="00036A6A">
        <w:trPr>
          <w:jc w:val="center"/>
        </w:trPr>
        <w:tc>
          <w:tcPr>
            <w:tcW w:w="5103" w:type="dxa"/>
          </w:tcPr>
          <w:p w14:paraId="1D046975" w14:textId="77777777" w:rsidR="005B73E7" w:rsidRPr="008762D1" w:rsidRDefault="005B73E7" w:rsidP="00233A05">
            <w:pPr>
              <w:pStyle w:val="Textosinformato"/>
              <w:jc w:val="both"/>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t xml:space="preserve">Enlace de Transmisión entre </w:t>
            </w:r>
            <w:proofErr w:type="spellStart"/>
            <w:r w:rsidRPr="008762D1">
              <w:rPr>
                <w:rFonts w:ascii="ITC Avant Garde" w:hAnsi="ITC Avant Garde" w:cs="Arial"/>
                <w:b/>
                <w:color w:val="000000" w:themeColor="text1"/>
                <w:sz w:val="18"/>
                <w:szCs w:val="18"/>
              </w:rPr>
              <w:t>coubicaciones</w:t>
            </w:r>
            <w:proofErr w:type="spellEnd"/>
            <w:r w:rsidRPr="008762D1">
              <w:rPr>
                <w:rFonts w:ascii="ITC Avant Garde" w:hAnsi="ITC Avant Garde" w:cs="Arial"/>
                <w:b/>
                <w:color w:val="000000" w:themeColor="text1"/>
                <w:sz w:val="18"/>
                <w:szCs w:val="18"/>
              </w:rPr>
              <w:t xml:space="preserve"> </w:t>
            </w:r>
            <w:r w:rsidRPr="008762D1">
              <w:rPr>
                <w:rFonts w:ascii="ITC Avant Garde" w:hAnsi="ITC Avant Garde" w:cs="Arial"/>
                <w:b/>
                <w:color w:val="000000" w:themeColor="text1"/>
                <w:sz w:val="18"/>
                <w:szCs w:val="18"/>
                <w:u w:val="single"/>
              </w:rPr>
              <w:t>gestionado</w:t>
            </w:r>
          </w:p>
        </w:tc>
        <w:tc>
          <w:tcPr>
            <w:tcW w:w="1559" w:type="dxa"/>
          </w:tcPr>
          <w:p w14:paraId="4D4E6A92" w14:textId="77777777" w:rsidR="005B73E7" w:rsidRPr="008762D1" w:rsidRDefault="005B73E7" w:rsidP="00233A05">
            <w:pPr>
              <w:jc w:val="center"/>
              <w:rPr>
                <w:rFonts w:ascii="ITC Avant Garde" w:hAnsi="ITC Avant Garde" w:cs="Arial"/>
                <w:color w:val="000000" w:themeColor="text1"/>
                <w:sz w:val="18"/>
                <w:szCs w:val="18"/>
              </w:rPr>
            </w:pPr>
            <w:r w:rsidRPr="008762D1">
              <w:rPr>
                <w:rFonts w:ascii="ITC Avant Garde" w:eastAsia="Calibri" w:hAnsi="ITC Avant Garde" w:cs="Arial"/>
                <w:color w:val="000000" w:themeColor="text1"/>
                <w:sz w:val="18"/>
                <w:szCs w:val="18"/>
              </w:rPr>
              <w:t>25</w:t>
            </w:r>
          </w:p>
        </w:tc>
      </w:tr>
    </w:tbl>
    <w:p w14:paraId="6BDA933E" w14:textId="77777777" w:rsidR="000F0B9F" w:rsidRPr="008762D1" w:rsidRDefault="00496020"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3BA227D9" w14:textId="5137FC65" w:rsidR="005216C5" w:rsidRPr="008762D1" w:rsidRDefault="005216C5"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03DDB32D" w14:textId="77777777" w:rsidR="00CA66A0" w:rsidRPr="008762D1" w:rsidRDefault="00CA66A0"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7A034E17" w14:textId="77777777" w:rsidR="000F0B9F" w:rsidRPr="008762D1" w:rsidRDefault="00AB1284"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 xml:space="preserve">Telmex presentó </w:t>
      </w:r>
      <w:r w:rsidR="002E7484" w:rsidRPr="008762D1">
        <w:rPr>
          <w:color w:val="000000" w:themeColor="text1"/>
        </w:rPr>
        <w:t xml:space="preserve">2.4.1 y 2.6.2 </w:t>
      </w:r>
      <w:r w:rsidR="002E7484" w:rsidRPr="008762D1">
        <w:rPr>
          <w:snapToGrid w:val="0"/>
          <w:color w:val="000000" w:themeColor="text1"/>
        </w:rPr>
        <w:t>del Anexo G del CMI</w:t>
      </w:r>
      <w:r w:rsidRPr="008762D1">
        <w:rPr>
          <w:rFonts w:cs="Arial"/>
          <w:color w:val="000000" w:themeColor="text1"/>
          <w:lang w:eastAsia="es-MX"/>
        </w:rPr>
        <w:t xml:space="preserve"> en los términos señalados en el Acuerdo.</w:t>
      </w:r>
    </w:p>
    <w:p w14:paraId="3340ECFA" w14:textId="3B4FA896" w:rsidR="00CA66A0" w:rsidRPr="008762D1" w:rsidRDefault="00CA66A0"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5CCFF5A8" w14:textId="77777777" w:rsidR="00766816" w:rsidRPr="008762D1" w:rsidRDefault="00766816"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 xml:space="preserve">El Acuerdo de CTM y Tarifas 2017 establece en las condiciones Quinta y Sexta que los incrementos de capacidad en los enlaces de señalización y puertos de acceso necesarios en las interconexiones TDM se realizarán a través de la interconexión IP, es decir mediante interconexiones que utilicen el protocolo de señalización SIP (de sus siglas en inglés </w:t>
      </w:r>
      <w:proofErr w:type="spellStart"/>
      <w:r w:rsidRPr="008762D1">
        <w:rPr>
          <w:rFonts w:ascii="ITC Avant Garde" w:hAnsi="ITC Avant Garde"/>
          <w:color w:val="000000" w:themeColor="text1"/>
        </w:rPr>
        <w:t>Session</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Initiation</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Protocol</w:t>
      </w:r>
      <w:proofErr w:type="spellEnd"/>
      <w:r w:rsidRPr="008762D1">
        <w:rPr>
          <w:rFonts w:ascii="ITC Avant Garde" w:hAnsi="ITC Avant Garde"/>
          <w:color w:val="000000" w:themeColor="text1"/>
        </w:rPr>
        <w:t xml:space="preserve">). </w:t>
      </w:r>
    </w:p>
    <w:p w14:paraId="51CB3563" w14:textId="77777777" w:rsidR="000F0B9F" w:rsidRPr="008762D1" w:rsidRDefault="00766816" w:rsidP="000F0B9F">
      <w:pPr>
        <w:spacing w:before="240" w:after="0" w:line="276" w:lineRule="auto"/>
        <w:ind w:right="-93"/>
        <w:jc w:val="both"/>
        <w:rPr>
          <w:rFonts w:ascii="ITC Avant Garde" w:hAnsi="ITC Avant Garde"/>
          <w:color w:val="000000" w:themeColor="text1"/>
        </w:rPr>
      </w:pPr>
      <w:r w:rsidRPr="008762D1">
        <w:rPr>
          <w:rFonts w:ascii="ITC Avant Garde" w:hAnsi="ITC Avant Garde"/>
          <w:color w:val="000000" w:themeColor="text1"/>
        </w:rPr>
        <w:t xml:space="preserve">Asimismo, la condición Séptima establece que las nuevas interconexiones se realizarán utilizando dicho protocolo. En este sentido, </w:t>
      </w:r>
      <w:r w:rsidR="002758F0" w:rsidRPr="008762D1">
        <w:rPr>
          <w:rFonts w:ascii="ITC Avant Garde" w:hAnsi="ITC Avant Garde"/>
          <w:color w:val="000000" w:themeColor="text1"/>
        </w:rPr>
        <w:t xml:space="preserve">no resulta necesaria la utilización de enlaces de señalización adicionales ya que dicha señalización se lleva a cabo a través del mismo enlace en el que se intercambia el tráfico entre las redes interconectadas. Es así que se modifica el numeral 2.4.1 y 2.6.2 del Anexo G del CMI, en el siguiente sentido: </w:t>
      </w:r>
    </w:p>
    <w:p w14:paraId="58FBEADA" w14:textId="77777777" w:rsidR="000F0B9F" w:rsidRPr="008762D1" w:rsidRDefault="002758F0"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“2.4.1 Plazos de entrega.</w:t>
      </w:r>
    </w:p>
    <w:p w14:paraId="6C582554" w14:textId="7BCBEACE" w:rsidR="002758F0" w:rsidRPr="008762D1" w:rsidRDefault="002758F0"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2.4.1.1 Los plazos de entrega indicados en la tabla del presente numeral, no podrán excederse en:</w:t>
      </w:r>
    </w:p>
    <w:p w14:paraId="0C9CFEE1" w14:textId="77777777" w:rsidR="002758F0" w:rsidRPr="008762D1" w:rsidRDefault="002758F0"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tbl>
      <w:tblPr>
        <w:tblStyle w:val="Cuadrculadetablaclara"/>
        <w:tblW w:w="0" w:type="auto"/>
        <w:jc w:val="center"/>
        <w:tblLook w:val="01E0" w:firstRow="1" w:lastRow="1" w:firstColumn="1" w:lastColumn="1" w:noHBand="0" w:noVBand="0"/>
        <w:tblCaption w:val="Tabla"/>
        <w:tblDescription w:val="Plazos de entrega."/>
      </w:tblPr>
      <w:tblGrid>
        <w:gridCol w:w="5103"/>
        <w:gridCol w:w="1559"/>
      </w:tblGrid>
      <w:tr w:rsidR="008762D1" w:rsidRPr="008762D1" w14:paraId="29079429" w14:textId="77777777" w:rsidTr="00A04FEF">
        <w:trPr>
          <w:tblHeader/>
          <w:jc w:val="center"/>
        </w:trPr>
        <w:tc>
          <w:tcPr>
            <w:tcW w:w="5103" w:type="dxa"/>
            <w:vAlign w:val="center"/>
          </w:tcPr>
          <w:p w14:paraId="7DEABED9" w14:textId="77777777" w:rsidR="002758F0" w:rsidRPr="008762D1" w:rsidRDefault="002758F0" w:rsidP="00A04FEF">
            <w:pPr>
              <w:jc w:val="center"/>
              <w:rPr>
                <w:rFonts w:ascii="ITC Avant Garde" w:hAnsi="ITC Avant Garde" w:cs="Arial"/>
                <w:color w:val="000000" w:themeColor="text1"/>
                <w:sz w:val="18"/>
                <w:szCs w:val="18"/>
              </w:rPr>
            </w:pPr>
          </w:p>
        </w:tc>
        <w:tc>
          <w:tcPr>
            <w:tcW w:w="1559" w:type="dxa"/>
            <w:vAlign w:val="center"/>
          </w:tcPr>
          <w:p w14:paraId="31A8851E" w14:textId="77777777" w:rsidR="002758F0" w:rsidRPr="008762D1" w:rsidRDefault="002758F0" w:rsidP="00A04FEF">
            <w:pPr>
              <w:jc w:val="center"/>
              <w:rPr>
                <w:rFonts w:ascii="ITC Avant Garde" w:hAnsi="ITC Avant Garde" w:cs="Arial"/>
                <w:b/>
                <w:color w:val="000000" w:themeColor="text1"/>
                <w:sz w:val="18"/>
                <w:szCs w:val="18"/>
              </w:rPr>
            </w:pPr>
            <w:r w:rsidRPr="008762D1">
              <w:rPr>
                <w:rFonts w:ascii="ITC Avant Garde" w:eastAsia="Calibri" w:hAnsi="ITC Avant Garde" w:cs="Arial"/>
                <w:b/>
                <w:color w:val="000000" w:themeColor="text1"/>
                <w:sz w:val="18"/>
                <w:szCs w:val="18"/>
              </w:rPr>
              <w:t>Días hábiles</w:t>
            </w:r>
          </w:p>
        </w:tc>
      </w:tr>
      <w:tr w:rsidR="008762D1" w:rsidRPr="008762D1" w14:paraId="2CDBF9E5" w14:textId="77777777" w:rsidTr="00036A6A">
        <w:trPr>
          <w:jc w:val="center"/>
        </w:trPr>
        <w:tc>
          <w:tcPr>
            <w:tcW w:w="5103" w:type="dxa"/>
          </w:tcPr>
          <w:p w14:paraId="22CBAE94" w14:textId="77777777" w:rsidR="002758F0" w:rsidRPr="008762D1" w:rsidRDefault="002758F0" w:rsidP="00233A05">
            <w:pPr>
              <w:jc w:val="both"/>
              <w:rPr>
                <w:rFonts w:ascii="ITC Avant Garde" w:hAnsi="ITC Avant Garde" w:cs="Arial"/>
                <w:b/>
                <w:color w:val="000000" w:themeColor="text1"/>
                <w:sz w:val="18"/>
                <w:szCs w:val="18"/>
              </w:rPr>
            </w:pPr>
            <w:r w:rsidRPr="008762D1">
              <w:rPr>
                <w:rFonts w:ascii="ITC Avant Garde" w:eastAsia="Calibri" w:hAnsi="ITC Avant Garde" w:cs="Arial"/>
                <w:b/>
                <w:color w:val="000000" w:themeColor="text1"/>
                <w:sz w:val="18"/>
                <w:szCs w:val="18"/>
              </w:rPr>
              <w:t>Enlaces Dedicados de Interconexión Locales</w:t>
            </w:r>
          </w:p>
        </w:tc>
        <w:tc>
          <w:tcPr>
            <w:tcW w:w="1559" w:type="dxa"/>
          </w:tcPr>
          <w:p w14:paraId="7AF53AC1" w14:textId="77777777" w:rsidR="002758F0" w:rsidRPr="008762D1" w:rsidRDefault="002758F0" w:rsidP="00233A05">
            <w:pPr>
              <w:jc w:val="center"/>
              <w:rPr>
                <w:rFonts w:ascii="ITC Avant Garde" w:hAnsi="ITC Avant Garde" w:cs="Arial"/>
                <w:color w:val="000000" w:themeColor="text1"/>
                <w:sz w:val="18"/>
                <w:szCs w:val="18"/>
              </w:rPr>
            </w:pPr>
            <w:r w:rsidRPr="008762D1">
              <w:rPr>
                <w:rFonts w:ascii="ITC Avant Garde" w:eastAsia="Calibri" w:hAnsi="ITC Avant Garde" w:cs="Arial"/>
                <w:color w:val="000000" w:themeColor="text1"/>
                <w:sz w:val="18"/>
                <w:szCs w:val="18"/>
                <w:u w:val="single"/>
              </w:rPr>
              <w:t>1</w:t>
            </w:r>
            <w:r w:rsidRPr="008762D1">
              <w:rPr>
                <w:rFonts w:ascii="ITC Avant Garde" w:eastAsia="Calibri" w:hAnsi="ITC Avant Garde" w:cs="Arial"/>
                <w:color w:val="000000" w:themeColor="text1"/>
                <w:sz w:val="18"/>
                <w:szCs w:val="18"/>
              </w:rPr>
              <w:t>5</w:t>
            </w:r>
          </w:p>
        </w:tc>
      </w:tr>
      <w:tr w:rsidR="008762D1" w:rsidRPr="008762D1" w14:paraId="3B54FF38" w14:textId="77777777" w:rsidTr="00036A6A">
        <w:trPr>
          <w:jc w:val="center"/>
        </w:trPr>
        <w:tc>
          <w:tcPr>
            <w:tcW w:w="5103" w:type="dxa"/>
          </w:tcPr>
          <w:p w14:paraId="0E0EA2BB" w14:textId="77777777" w:rsidR="002758F0" w:rsidRPr="008762D1" w:rsidRDefault="002758F0" w:rsidP="00233A05">
            <w:pPr>
              <w:jc w:val="both"/>
              <w:rPr>
                <w:rFonts w:ascii="ITC Avant Garde" w:hAnsi="ITC Avant Garde" w:cs="Arial"/>
                <w:b/>
                <w:color w:val="000000" w:themeColor="text1"/>
                <w:sz w:val="18"/>
                <w:szCs w:val="18"/>
              </w:rPr>
            </w:pPr>
            <w:r w:rsidRPr="008762D1">
              <w:rPr>
                <w:rFonts w:ascii="ITC Avant Garde" w:eastAsia="Calibri" w:hAnsi="ITC Avant Garde" w:cs="Arial"/>
                <w:b/>
                <w:color w:val="000000" w:themeColor="text1"/>
                <w:sz w:val="18"/>
                <w:szCs w:val="18"/>
              </w:rPr>
              <w:t>Enlaces Dedicados de Interconexión Nacionales</w:t>
            </w:r>
          </w:p>
        </w:tc>
        <w:tc>
          <w:tcPr>
            <w:tcW w:w="1559" w:type="dxa"/>
          </w:tcPr>
          <w:p w14:paraId="62859FEC" w14:textId="77777777" w:rsidR="002758F0" w:rsidRPr="008762D1" w:rsidRDefault="002758F0" w:rsidP="00233A05">
            <w:pPr>
              <w:jc w:val="center"/>
              <w:rPr>
                <w:rFonts w:ascii="ITC Avant Garde" w:hAnsi="ITC Avant Garde" w:cs="Arial"/>
                <w:color w:val="000000" w:themeColor="text1"/>
                <w:sz w:val="18"/>
                <w:szCs w:val="18"/>
              </w:rPr>
            </w:pPr>
            <w:r w:rsidRPr="008762D1">
              <w:rPr>
                <w:rFonts w:ascii="ITC Avant Garde" w:eastAsia="Calibri" w:hAnsi="ITC Avant Garde" w:cs="Arial"/>
                <w:color w:val="000000" w:themeColor="text1"/>
                <w:sz w:val="18"/>
                <w:szCs w:val="18"/>
                <w:u w:val="single"/>
              </w:rPr>
              <w:t>1</w:t>
            </w:r>
            <w:r w:rsidRPr="008762D1">
              <w:rPr>
                <w:rFonts w:ascii="ITC Avant Garde" w:eastAsia="Calibri" w:hAnsi="ITC Avant Garde" w:cs="Arial"/>
                <w:color w:val="000000" w:themeColor="text1"/>
                <w:sz w:val="18"/>
                <w:szCs w:val="18"/>
              </w:rPr>
              <w:t>5</w:t>
            </w:r>
          </w:p>
        </w:tc>
      </w:tr>
      <w:tr w:rsidR="008762D1" w:rsidRPr="008762D1" w14:paraId="1A3D650C" w14:textId="77777777" w:rsidTr="00036A6A">
        <w:trPr>
          <w:jc w:val="center"/>
        </w:trPr>
        <w:tc>
          <w:tcPr>
            <w:tcW w:w="5103" w:type="dxa"/>
          </w:tcPr>
          <w:p w14:paraId="46CFE30E" w14:textId="77777777" w:rsidR="002758F0" w:rsidRPr="008762D1" w:rsidRDefault="002758F0" w:rsidP="00233A05">
            <w:pPr>
              <w:jc w:val="both"/>
              <w:rPr>
                <w:rFonts w:ascii="ITC Avant Garde" w:eastAsia="Calibri" w:hAnsi="ITC Avant Garde" w:cs="Arial"/>
                <w:b/>
                <w:strike/>
                <w:color w:val="000000" w:themeColor="text1"/>
                <w:sz w:val="18"/>
                <w:szCs w:val="18"/>
              </w:rPr>
            </w:pPr>
            <w:r w:rsidRPr="008762D1">
              <w:rPr>
                <w:rFonts w:ascii="ITC Avant Garde" w:eastAsia="Calibri" w:hAnsi="ITC Avant Garde" w:cs="Arial"/>
                <w:b/>
                <w:strike/>
                <w:color w:val="000000" w:themeColor="text1"/>
                <w:sz w:val="18"/>
                <w:szCs w:val="18"/>
              </w:rPr>
              <w:t>Enlaces de Señalización Locales</w:t>
            </w:r>
          </w:p>
        </w:tc>
        <w:tc>
          <w:tcPr>
            <w:tcW w:w="1559" w:type="dxa"/>
          </w:tcPr>
          <w:p w14:paraId="30467684" w14:textId="77777777" w:rsidR="002758F0" w:rsidRPr="008762D1" w:rsidRDefault="002758F0" w:rsidP="00233A05">
            <w:pPr>
              <w:jc w:val="center"/>
              <w:rPr>
                <w:rFonts w:ascii="ITC Avant Garde" w:eastAsia="Calibri" w:hAnsi="ITC Avant Garde" w:cs="Arial"/>
                <w:strike/>
                <w:color w:val="000000" w:themeColor="text1"/>
                <w:sz w:val="18"/>
                <w:szCs w:val="18"/>
              </w:rPr>
            </w:pPr>
            <w:r w:rsidRPr="008762D1">
              <w:rPr>
                <w:rFonts w:ascii="ITC Avant Garde" w:eastAsia="Calibri" w:hAnsi="ITC Avant Garde" w:cs="Arial"/>
                <w:strike/>
                <w:color w:val="000000" w:themeColor="text1"/>
                <w:sz w:val="18"/>
                <w:szCs w:val="18"/>
              </w:rPr>
              <w:t>2</w:t>
            </w:r>
            <w:r w:rsidRPr="008762D1">
              <w:rPr>
                <w:rFonts w:ascii="ITC Avant Garde" w:eastAsia="Calibri" w:hAnsi="ITC Avant Garde" w:cs="Arial"/>
                <w:strike/>
                <w:color w:val="000000" w:themeColor="text1"/>
                <w:sz w:val="18"/>
                <w:szCs w:val="18"/>
                <w:u w:val="single"/>
              </w:rPr>
              <w:t>1</w:t>
            </w:r>
            <w:r w:rsidRPr="008762D1">
              <w:rPr>
                <w:rFonts w:ascii="ITC Avant Garde" w:eastAsia="Calibri" w:hAnsi="ITC Avant Garde" w:cs="Arial"/>
                <w:strike/>
                <w:color w:val="000000" w:themeColor="text1"/>
                <w:sz w:val="18"/>
                <w:szCs w:val="18"/>
              </w:rPr>
              <w:t>5</w:t>
            </w:r>
          </w:p>
        </w:tc>
      </w:tr>
      <w:tr w:rsidR="008762D1" w:rsidRPr="008762D1" w14:paraId="241C7A2E" w14:textId="77777777" w:rsidTr="00036A6A">
        <w:trPr>
          <w:jc w:val="center"/>
        </w:trPr>
        <w:tc>
          <w:tcPr>
            <w:tcW w:w="5103" w:type="dxa"/>
          </w:tcPr>
          <w:p w14:paraId="405A2E96" w14:textId="77777777" w:rsidR="002758F0" w:rsidRPr="008762D1" w:rsidRDefault="002758F0" w:rsidP="00233A05">
            <w:pPr>
              <w:jc w:val="both"/>
              <w:rPr>
                <w:rFonts w:ascii="ITC Avant Garde" w:eastAsia="Calibri" w:hAnsi="ITC Avant Garde" w:cs="Arial"/>
                <w:b/>
                <w:strike/>
                <w:color w:val="000000" w:themeColor="text1"/>
                <w:sz w:val="18"/>
                <w:szCs w:val="18"/>
              </w:rPr>
            </w:pPr>
            <w:r w:rsidRPr="008762D1">
              <w:rPr>
                <w:rFonts w:ascii="ITC Avant Garde" w:eastAsia="Calibri" w:hAnsi="ITC Avant Garde" w:cs="Arial"/>
                <w:b/>
                <w:strike/>
                <w:color w:val="000000" w:themeColor="text1"/>
                <w:sz w:val="18"/>
                <w:szCs w:val="18"/>
              </w:rPr>
              <w:t>Enlaces de Señalización Nacionales</w:t>
            </w:r>
          </w:p>
        </w:tc>
        <w:tc>
          <w:tcPr>
            <w:tcW w:w="1559" w:type="dxa"/>
          </w:tcPr>
          <w:p w14:paraId="5EBA174B" w14:textId="77777777" w:rsidR="002758F0" w:rsidRPr="008762D1" w:rsidRDefault="002758F0" w:rsidP="00233A05">
            <w:pPr>
              <w:jc w:val="center"/>
              <w:rPr>
                <w:rFonts w:ascii="ITC Avant Garde" w:eastAsia="Calibri" w:hAnsi="ITC Avant Garde" w:cs="Arial"/>
                <w:strike/>
                <w:color w:val="000000" w:themeColor="text1"/>
                <w:sz w:val="18"/>
                <w:szCs w:val="18"/>
              </w:rPr>
            </w:pPr>
            <w:r w:rsidRPr="008762D1">
              <w:rPr>
                <w:rFonts w:ascii="ITC Avant Garde" w:eastAsia="Calibri" w:hAnsi="ITC Avant Garde" w:cs="Arial"/>
                <w:strike/>
                <w:color w:val="000000" w:themeColor="text1"/>
                <w:sz w:val="18"/>
                <w:szCs w:val="18"/>
              </w:rPr>
              <w:t>3</w:t>
            </w:r>
            <w:r w:rsidRPr="008762D1">
              <w:rPr>
                <w:rFonts w:ascii="ITC Avant Garde" w:eastAsia="Calibri" w:hAnsi="ITC Avant Garde" w:cs="Arial"/>
                <w:strike/>
                <w:color w:val="000000" w:themeColor="text1"/>
                <w:sz w:val="18"/>
                <w:szCs w:val="18"/>
                <w:u w:val="single"/>
              </w:rPr>
              <w:t>1</w:t>
            </w:r>
            <w:r w:rsidRPr="008762D1">
              <w:rPr>
                <w:rFonts w:ascii="ITC Avant Garde" w:eastAsia="Calibri" w:hAnsi="ITC Avant Garde" w:cs="Arial"/>
                <w:strike/>
                <w:color w:val="000000" w:themeColor="text1"/>
                <w:sz w:val="18"/>
                <w:szCs w:val="18"/>
              </w:rPr>
              <w:t>5</w:t>
            </w:r>
          </w:p>
        </w:tc>
      </w:tr>
      <w:tr w:rsidR="008762D1" w:rsidRPr="008762D1" w14:paraId="38307C01" w14:textId="77777777" w:rsidTr="00036A6A">
        <w:trPr>
          <w:jc w:val="center"/>
        </w:trPr>
        <w:tc>
          <w:tcPr>
            <w:tcW w:w="5103" w:type="dxa"/>
          </w:tcPr>
          <w:p w14:paraId="7387F9B2" w14:textId="77777777" w:rsidR="002758F0" w:rsidRPr="008762D1" w:rsidRDefault="002758F0" w:rsidP="00233A05">
            <w:pPr>
              <w:pStyle w:val="Textosinformato"/>
              <w:jc w:val="both"/>
              <w:rPr>
                <w:rFonts w:ascii="ITC Avant Garde" w:hAnsi="ITC Avant Garde" w:cs="Arial"/>
                <w:b/>
                <w:color w:val="000000" w:themeColor="text1"/>
                <w:sz w:val="18"/>
                <w:szCs w:val="18"/>
              </w:rPr>
            </w:pPr>
            <w:r w:rsidRPr="008762D1">
              <w:rPr>
                <w:rFonts w:ascii="ITC Avant Garde" w:hAnsi="ITC Avant Garde" w:cs="Arial"/>
                <w:b/>
                <w:color w:val="000000" w:themeColor="text1"/>
                <w:sz w:val="18"/>
                <w:szCs w:val="18"/>
              </w:rPr>
              <w:lastRenderedPageBreak/>
              <w:t xml:space="preserve">Enlace de Transmisión entre </w:t>
            </w:r>
            <w:proofErr w:type="spellStart"/>
            <w:r w:rsidRPr="008762D1">
              <w:rPr>
                <w:rFonts w:ascii="ITC Avant Garde" w:hAnsi="ITC Avant Garde" w:cs="Arial"/>
                <w:b/>
                <w:color w:val="000000" w:themeColor="text1"/>
                <w:sz w:val="18"/>
                <w:szCs w:val="18"/>
              </w:rPr>
              <w:t>coubicaciones</w:t>
            </w:r>
            <w:proofErr w:type="spellEnd"/>
            <w:r w:rsidRPr="008762D1">
              <w:rPr>
                <w:rFonts w:ascii="ITC Avant Garde" w:hAnsi="ITC Avant Garde" w:cs="Arial"/>
                <w:b/>
                <w:color w:val="000000" w:themeColor="text1"/>
                <w:sz w:val="18"/>
                <w:szCs w:val="18"/>
              </w:rPr>
              <w:t xml:space="preserve"> </w:t>
            </w:r>
            <w:r w:rsidRPr="008762D1">
              <w:rPr>
                <w:rFonts w:ascii="ITC Avant Garde" w:hAnsi="ITC Avant Garde" w:cs="Arial"/>
                <w:b/>
                <w:color w:val="000000" w:themeColor="text1"/>
                <w:sz w:val="18"/>
                <w:szCs w:val="18"/>
                <w:u w:val="single"/>
              </w:rPr>
              <w:t>gestionado</w:t>
            </w:r>
          </w:p>
        </w:tc>
        <w:tc>
          <w:tcPr>
            <w:tcW w:w="1559" w:type="dxa"/>
          </w:tcPr>
          <w:p w14:paraId="42830A57" w14:textId="7A642FBF" w:rsidR="002758F0" w:rsidRPr="008762D1" w:rsidRDefault="00CE4AB7" w:rsidP="00233A05">
            <w:pPr>
              <w:jc w:val="center"/>
              <w:rPr>
                <w:rFonts w:ascii="ITC Avant Garde" w:hAnsi="ITC Avant Garde" w:cs="Arial"/>
                <w:color w:val="000000" w:themeColor="text1"/>
                <w:sz w:val="18"/>
                <w:szCs w:val="18"/>
              </w:rPr>
            </w:pPr>
            <w:r w:rsidRPr="008762D1">
              <w:rPr>
                <w:rFonts w:ascii="ITC Avant Garde" w:eastAsia="Calibri" w:hAnsi="ITC Avant Garde" w:cs="Arial"/>
                <w:color w:val="000000" w:themeColor="text1"/>
                <w:sz w:val="18"/>
                <w:szCs w:val="18"/>
                <w:u w:val="single"/>
              </w:rPr>
              <w:t>1</w:t>
            </w:r>
            <w:r w:rsidR="002758F0" w:rsidRPr="008762D1">
              <w:rPr>
                <w:rFonts w:ascii="ITC Avant Garde" w:eastAsia="Calibri" w:hAnsi="ITC Avant Garde" w:cs="Arial"/>
                <w:color w:val="000000" w:themeColor="text1"/>
                <w:sz w:val="18"/>
                <w:szCs w:val="18"/>
              </w:rPr>
              <w:t>5</w:t>
            </w:r>
          </w:p>
        </w:tc>
      </w:tr>
    </w:tbl>
    <w:p w14:paraId="2276146B" w14:textId="77777777" w:rsidR="000F0B9F" w:rsidRPr="008762D1" w:rsidRDefault="002758F0" w:rsidP="000F0B9F">
      <w:pPr>
        <w:spacing w:before="240" w:after="0" w:line="276" w:lineRule="auto"/>
        <w:ind w:left="567" w:right="567"/>
        <w:jc w:val="both"/>
        <w:rPr>
          <w:rFonts w:ascii="ITC Avant Garde" w:hAnsi="ITC Avant Garde"/>
          <w:color w:val="000000" w:themeColor="text1"/>
          <w:sz w:val="18"/>
          <w:szCs w:val="18"/>
        </w:rPr>
      </w:pPr>
      <w:r w:rsidRPr="008762D1">
        <w:rPr>
          <w:rFonts w:ascii="ITC Avant Garde" w:hAnsi="ITC Avant Garde"/>
          <w:color w:val="000000" w:themeColor="text1"/>
          <w:sz w:val="18"/>
          <w:szCs w:val="18"/>
        </w:rPr>
        <w:t>(…)”</w:t>
      </w:r>
    </w:p>
    <w:p w14:paraId="1EA8E39C" w14:textId="37891EF9" w:rsidR="000F0B9F" w:rsidRPr="008762D1" w:rsidRDefault="00F722EB" w:rsidP="000F0B9F">
      <w:pPr>
        <w:pStyle w:val="IFT1"/>
        <w:numPr>
          <w:ilvl w:val="2"/>
          <w:numId w:val="9"/>
        </w:numPr>
        <w:tabs>
          <w:tab w:val="left" w:pos="284"/>
          <w:tab w:val="left" w:pos="567"/>
        </w:tabs>
        <w:spacing w:before="240" w:after="0"/>
        <w:ind w:left="863" w:hanging="863"/>
        <w:rPr>
          <w:rFonts w:cs="Arial"/>
          <w:b/>
          <w:color w:val="000000" w:themeColor="text1"/>
          <w:lang w:eastAsia="es-MX"/>
        </w:rPr>
      </w:pPr>
      <w:r w:rsidRPr="008762D1">
        <w:rPr>
          <w:b/>
          <w:snapToGrid w:val="0"/>
          <w:color w:val="000000" w:themeColor="text1"/>
        </w:rPr>
        <w:t>MEDICIÓN DEL CUMPLIMIENTO DE LOS PLAZOS DE ENTREGA</w:t>
      </w:r>
      <w:r w:rsidR="008A786C" w:rsidRPr="008762D1">
        <w:rPr>
          <w:rFonts w:cs="Arial"/>
          <w:b/>
          <w:color w:val="000000" w:themeColor="text1"/>
        </w:rPr>
        <w:t>.</w:t>
      </w:r>
    </w:p>
    <w:p w14:paraId="076E4956" w14:textId="5AC04F23" w:rsidR="00392A75" w:rsidRPr="008762D1" w:rsidRDefault="00392A75"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71E0FC44" w14:textId="77777777" w:rsidR="000F0B9F" w:rsidRPr="008762D1" w:rsidRDefault="003714CF"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Del análisis del numeral 2.4.3 Medición</w:t>
      </w:r>
      <w:r w:rsidRPr="008762D1">
        <w:rPr>
          <w:color w:val="000000" w:themeColor="text1"/>
        </w:rPr>
        <w:t xml:space="preserve"> </w:t>
      </w:r>
      <w:r w:rsidRPr="008762D1">
        <w:rPr>
          <w:rFonts w:ascii="ITC Avant Garde" w:eastAsia="Times New Roman" w:hAnsi="ITC Avant Garde" w:cs="Arial"/>
          <w:iCs/>
          <w:color w:val="000000" w:themeColor="text1"/>
        </w:rPr>
        <w:t>del cumplimiento de los plazos de entrega del Anexo G se observó que los términos establecidos no se apega</w:t>
      </w:r>
      <w:r w:rsidR="00A70CB3"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DA661D"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regulación; el I</w:t>
      </w:r>
      <w:r w:rsidR="00A70CB3" w:rsidRPr="008762D1">
        <w:rPr>
          <w:rFonts w:ascii="ITC Avant Garde" w:hAnsi="ITC Avant Garde"/>
          <w:bCs/>
          <w:color w:val="000000" w:themeColor="text1"/>
        </w:rPr>
        <w:t>nstituto no consideró</w:t>
      </w:r>
      <w:r w:rsidRPr="008762D1">
        <w:rPr>
          <w:rFonts w:ascii="ITC Avant Garde" w:hAnsi="ITC Avant Garde"/>
          <w:bCs/>
          <w:color w:val="000000" w:themeColor="text1"/>
        </w:rPr>
        <w:t xml:space="preserve"> procedente que en una revisión posterior del convenio m</w:t>
      </w:r>
      <w:r w:rsidR="00AF0405" w:rsidRPr="008762D1">
        <w:rPr>
          <w:rFonts w:ascii="ITC Avant Garde" w:hAnsi="ITC Avant Garde"/>
          <w:bCs/>
          <w:color w:val="000000" w:themeColor="text1"/>
        </w:rPr>
        <w:t>arco de interconexión se planteara</w:t>
      </w:r>
      <w:r w:rsidRPr="008762D1">
        <w:rPr>
          <w:rFonts w:ascii="ITC Avant Garde" w:hAnsi="ITC Avant Garde"/>
          <w:bCs/>
          <w:color w:val="000000" w:themeColor="text1"/>
        </w:rPr>
        <w:t>n términos y condiciones menos favorables que los ya autorizados por el Instituto.</w:t>
      </w:r>
    </w:p>
    <w:p w14:paraId="6A76AD26" w14:textId="77777777" w:rsidR="000F0B9F" w:rsidRPr="008762D1" w:rsidRDefault="003714CF" w:rsidP="000F0B9F">
      <w:pPr>
        <w:pStyle w:val="IFT1"/>
        <w:tabs>
          <w:tab w:val="left" w:pos="426"/>
        </w:tabs>
        <w:spacing w:before="240" w:after="0"/>
        <w:rPr>
          <w:color w:val="000000" w:themeColor="text1"/>
        </w:rPr>
      </w:pPr>
      <w:r w:rsidRPr="008762D1">
        <w:rPr>
          <w:color w:val="000000" w:themeColor="text1"/>
        </w:rPr>
        <w:t>Lo anterior dado que, e</w:t>
      </w:r>
      <w:r w:rsidR="0042368B" w:rsidRPr="008762D1">
        <w:rPr>
          <w:color w:val="000000" w:themeColor="text1"/>
        </w:rPr>
        <w:t xml:space="preserve">n el numeral 2.4.3 se señala que </w:t>
      </w:r>
      <w:r w:rsidR="008A01FA" w:rsidRPr="008762D1">
        <w:rPr>
          <w:color w:val="000000" w:themeColor="text1"/>
        </w:rPr>
        <w:t xml:space="preserve">no se computarán los días de retraso atribuibles </w:t>
      </w:r>
      <w:r w:rsidRPr="008762D1">
        <w:rPr>
          <w:color w:val="000000" w:themeColor="text1"/>
        </w:rPr>
        <w:t xml:space="preserve">a eventos de Caso Fortuito o Fuerza Mayor, los imputables al CS, entre otros. De </w:t>
      </w:r>
      <w:r w:rsidR="0042368B" w:rsidRPr="008762D1">
        <w:rPr>
          <w:color w:val="000000" w:themeColor="text1"/>
        </w:rPr>
        <w:t>lo cual de acuerdo a la Medida Decimosexta de las Medidas Fijas</w:t>
      </w:r>
      <w:r w:rsidR="00AE1744" w:rsidRPr="008762D1">
        <w:rPr>
          <w:color w:val="000000" w:themeColor="text1"/>
        </w:rPr>
        <w:t xml:space="preserve"> </w:t>
      </w:r>
      <w:r w:rsidRPr="008762D1">
        <w:rPr>
          <w:color w:val="000000" w:themeColor="text1"/>
        </w:rPr>
        <w:t>se modifica</w:t>
      </w:r>
      <w:r w:rsidR="00AE1744" w:rsidRPr="008762D1">
        <w:rPr>
          <w:color w:val="000000" w:themeColor="text1"/>
        </w:rPr>
        <w:t xml:space="preserve"> la redacción efecto de </w:t>
      </w:r>
      <w:r w:rsidR="00612B88" w:rsidRPr="008762D1">
        <w:rPr>
          <w:color w:val="000000" w:themeColor="text1"/>
        </w:rPr>
        <w:t xml:space="preserve">considerar los retrasos imputables al CS considerados en el CMI 2017 y en el mismo sentido, </w:t>
      </w:r>
      <w:r w:rsidR="00AE1744" w:rsidRPr="008762D1">
        <w:rPr>
          <w:color w:val="000000" w:themeColor="text1"/>
        </w:rPr>
        <w:t xml:space="preserve">señalar que </w:t>
      </w:r>
      <w:r w:rsidRPr="008762D1">
        <w:rPr>
          <w:color w:val="000000" w:themeColor="text1"/>
        </w:rPr>
        <w:t xml:space="preserve">deberá </w:t>
      </w:r>
      <w:r w:rsidR="00144BB2" w:rsidRPr="008762D1">
        <w:rPr>
          <w:color w:val="000000" w:themeColor="text1"/>
        </w:rPr>
        <w:t>ofrecer pruebas</w:t>
      </w:r>
      <w:r w:rsidR="00AE1744" w:rsidRPr="008762D1">
        <w:rPr>
          <w:color w:val="000000" w:themeColor="text1"/>
        </w:rPr>
        <w:t xml:space="preserve"> feha</w:t>
      </w:r>
      <w:r w:rsidR="00144BB2" w:rsidRPr="008762D1">
        <w:rPr>
          <w:color w:val="000000" w:themeColor="text1"/>
        </w:rPr>
        <w:t>cientes las causas del retraso del que se trate</w:t>
      </w:r>
      <w:r w:rsidR="00AE1744" w:rsidRPr="008762D1">
        <w:rPr>
          <w:color w:val="000000" w:themeColor="text1"/>
        </w:rPr>
        <w:t>.</w:t>
      </w:r>
    </w:p>
    <w:p w14:paraId="456C35B7" w14:textId="5F3AB676" w:rsidR="00B373D0" w:rsidRPr="008762D1" w:rsidRDefault="00B373D0"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“b) Causas imputables al Concesionario Solicitante </w:t>
      </w:r>
    </w:p>
    <w:p w14:paraId="5F035169" w14:textId="60A2E413" w:rsidR="00B373D0" w:rsidRPr="008762D1" w:rsidRDefault="00B373D0" w:rsidP="000F0B9F">
      <w:pPr>
        <w:autoSpaceDE w:val="0"/>
        <w:autoSpaceDN w:val="0"/>
        <w:adjustRightInd w:val="0"/>
        <w:spacing w:before="240" w:after="0"/>
        <w:ind w:left="567" w:right="567"/>
        <w:jc w:val="both"/>
        <w:rPr>
          <w:rFonts w:ascii="ITC Avant Garde" w:hAnsi="ITC Avant Garde" w:cs="Arial"/>
          <w:strike/>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r>
      <w:r w:rsidRPr="008762D1">
        <w:rPr>
          <w:rFonts w:ascii="ITC Avant Garde" w:hAnsi="ITC Avant Garde" w:cs="Arial"/>
          <w:strike/>
          <w:color w:val="000000" w:themeColor="text1"/>
          <w:sz w:val="18"/>
          <w:szCs w:val="18"/>
        </w:rPr>
        <w:t>La negación o</w:t>
      </w:r>
      <w:r w:rsidRPr="008762D1">
        <w:rPr>
          <w:rFonts w:ascii="ITC Avant Garde" w:hAnsi="ITC Avant Garde" w:cs="Arial"/>
          <w:color w:val="000000" w:themeColor="text1"/>
          <w:sz w:val="18"/>
          <w:szCs w:val="18"/>
        </w:rPr>
        <w:t xml:space="preserve"> retrasos imputables al Concesionario Solicitante en la obtención de permisos para acceder a los sitios del propio Concesionario Solicitante, </w:t>
      </w:r>
      <w:r w:rsidRPr="008762D1">
        <w:rPr>
          <w:rFonts w:ascii="ITC Avant Garde" w:hAnsi="ITC Avant Garde" w:cs="Arial"/>
          <w:strike/>
          <w:color w:val="000000" w:themeColor="text1"/>
          <w:sz w:val="18"/>
          <w:szCs w:val="18"/>
        </w:rPr>
        <w:t>Tiempo de traslado del personal técnico del Concesionario Solicitante, reportes con datos erróneos y fallas en equipos del Concesionario Solicitante.</w:t>
      </w:r>
    </w:p>
    <w:p w14:paraId="6FFCC180" w14:textId="27176FF4" w:rsidR="00B4236E" w:rsidRPr="008762D1" w:rsidRDefault="00B4236E"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p>
    <w:p w14:paraId="65A24DB0" w14:textId="3E7D1823" w:rsidR="00C0552C" w:rsidRPr="008762D1" w:rsidRDefault="00B4236E"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00C0552C" w:rsidRPr="008762D1">
        <w:rPr>
          <w:rFonts w:ascii="ITC Avant Garde" w:hAnsi="ITC Avant Garde" w:cs="Arial"/>
          <w:color w:val="000000" w:themeColor="text1"/>
          <w:sz w:val="18"/>
          <w:szCs w:val="18"/>
        </w:rPr>
        <w:t>c) Causas imputables a terceros</w:t>
      </w:r>
    </w:p>
    <w:p w14:paraId="7BC3A495" w14:textId="77777777" w:rsidR="000F0B9F" w:rsidRPr="008762D1" w:rsidRDefault="00C0552C"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2B6D955A" w14:textId="77777777" w:rsidR="000F0B9F" w:rsidRPr="008762D1" w:rsidRDefault="00C0552C"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t xml:space="preserve">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instalación, y una vez restablecidas las condiciones de seguridad se informará la reanudación de los trabajos, </w:t>
      </w:r>
      <w:r w:rsidRPr="008762D1">
        <w:rPr>
          <w:rFonts w:ascii="ITC Avant Garde" w:hAnsi="ITC Avant Garde" w:cs="Arial"/>
          <w:color w:val="000000" w:themeColor="text1"/>
          <w:sz w:val="18"/>
          <w:szCs w:val="18"/>
        </w:rPr>
        <w:lastRenderedPageBreak/>
        <w:t>ofreciendo pruebas fehacientes al Concesionario Solicitante o al Instituto, que justifiquen las causas del retraso de que se trate.</w:t>
      </w:r>
      <w:r w:rsidR="00B373D0" w:rsidRPr="008762D1">
        <w:rPr>
          <w:rFonts w:ascii="ITC Avant Garde" w:hAnsi="ITC Avant Garde" w:cs="Arial"/>
          <w:color w:val="000000" w:themeColor="text1"/>
          <w:sz w:val="18"/>
          <w:szCs w:val="18"/>
        </w:rPr>
        <w:t>”</w:t>
      </w:r>
    </w:p>
    <w:p w14:paraId="27838E54" w14:textId="1B8DD693"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066AC0FD" w14:textId="77777777" w:rsidR="000F0B9F" w:rsidRPr="008762D1" w:rsidRDefault="00FB432E"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 presentó el numeral 2.4.3 del Anexo G</w:t>
      </w:r>
      <w:r w:rsidR="00AB1284" w:rsidRPr="008762D1">
        <w:rPr>
          <w:rFonts w:cs="Arial"/>
          <w:color w:val="000000" w:themeColor="text1"/>
          <w:lang w:eastAsia="es-MX"/>
        </w:rPr>
        <w:t xml:space="preserve"> en los términos señalados en el Acuerdo.</w:t>
      </w:r>
    </w:p>
    <w:p w14:paraId="04CB7A8A" w14:textId="26077045"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1BB6359C" w14:textId="77777777" w:rsidR="000F0B9F" w:rsidRPr="008762D1" w:rsidRDefault="006C4656" w:rsidP="000F0B9F">
      <w:pPr>
        <w:spacing w:before="240" w:after="0" w:line="276" w:lineRule="auto"/>
        <w:jc w:val="both"/>
        <w:rPr>
          <w:rFonts w:ascii="ITC Avant Garde" w:hAnsi="ITC Avant Garde"/>
          <w:color w:val="000000" w:themeColor="text1"/>
          <w:u w:val="single"/>
        </w:rPr>
      </w:pPr>
      <w:r w:rsidRPr="008762D1">
        <w:rPr>
          <w:rFonts w:ascii="ITC Avant Garde" w:hAnsi="ITC Avant Garde"/>
          <w:color w:val="000000" w:themeColor="text1"/>
        </w:rPr>
        <w:t>El numeral 2.4.3 es acorde a lo establecido en el CMI 2017 y dado que Telmex no realizó manifestaciones al respecto se considera procedente la aprobación de dicho numeral en los términos señalados.</w:t>
      </w:r>
    </w:p>
    <w:p w14:paraId="276CE0EA" w14:textId="77777777" w:rsidR="000F0B9F" w:rsidRPr="008762D1" w:rsidRDefault="00CF3326" w:rsidP="000F0B9F">
      <w:pPr>
        <w:pStyle w:val="IFT1"/>
        <w:numPr>
          <w:ilvl w:val="2"/>
          <w:numId w:val="9"/>
        </w:numPr>
        <w:tabs>
          <w:tab w:val="left" w:pos="284"/>
          <w:tab w:val="left" w:pos="567"/>
        </w:tabs>
        <w:spacing w:before="240" w:after="0"/>
        <w:ind w:left="863" w:hanging="863"/>
        <w:rPr>
          <w:b/>
          <w:color w:val="000000" w:themeColor="text1"/>
        </w:rPr>
      </w:pPr>
      <w:r w:rsidRPr="008762D1">
        <w:rPr>
          <w:b/>
          <w:color w:val="000000" w:themeColor="text1"/>
        </w:rPr>
        <w:t>PLAZOS DE ENTREGA</w:t>
      </w:r>
      <w:r w:rsidR="0038500B" w:rsidRPr="008762D1">
        <w:rPr>
          <w:b/>
          <w:color w:val="000000" w:themeColor="text1"/>
        </w:rPr>
        <w:t>.</w:t>
      </w:r>
    </w:p>
    <w:p w14:paraId="02DDBCCB" w14:textId="383369C1" w:rsidR="00392A75" w:rsidRPr="008762D1" w:rsidRDefault="00392A75"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0AFFBD1B" w14:textId="77777777" w:rsidR="000F0B9F" w:rsidRPr="008762D1" w:rsidRDefault="00B2645F" w:rsidP="000F0B9F">
      <w:pPr>
        <w:spacing w:before="240" w:after="0" w:line="276" w:lineRule="auto"/>
        <w:jc w:val="both"/>
        <w:rPr>
          <w:rFonts w:ascii="ITC Avant Garde" w:hAnsi="ITC Avant Garde"/>
          <w:bCs/>
          <w:color w:val="000000" w:themeColor="text1"/>
        </w:rPr>
      </w:pPr>
      <w:r w:rsidRPr="008762D1">
        <w:rPr>
          <w:rFonts w:ascii="ITC Avant Garde" w:eastAsia="Times New Roman" w:hAnsi="ITC Avant Garde" w:cs="Arial"/>
          <w:iCs/>
          <w:color w:val="000000" w:themeColor="text1"/>
        </w:rPr>
        <w:t>Del análisis del Anexo G se observó que los términos establecidos no se apega</w:t>
      </w:r>
      <w:r w:rsidR="00470B4A"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DA661D"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regulación; el Instituto no considera procedente que en una revisión posterior del convenio ma</w:t>
      </w:r>
      <w:r w:rsidR="00EC6CB7"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63179074" w14:textId="77777777" w:rsidR="000F0B9F" w:rsidRPr="008762D1" w:rsidRDefault="00797811" w:rsidP="000F0B9F">
      <w:pPr>
        <w:pStyle w:val="IFT1"/>
        <w:tabs>
          <w:tab w:val="left" w:pos="0"/>
          <w:tab w:val="left" w:pos="567"/>
        </w:tabs>
        <w:autoSpaceDE w:val="0"/>
        <w:autoSpaceDN w:val="0"/>
        <w:adjustRightInd w:val="0"/>
        <w:spacing w:before="240" w:after="0"/>
        <w:rPr>
          <w:color w:val="000000" w:themeColor="text1"/>
        </w:rPr>
      </w:pPr>
      <w:r w:rsidRPr="008762D1">
        <w:rPr>
          <w:color w:val="000000" w:themeColor="text1"/>
        </w:rPr>
        <w:t>En el Anexo G</w:t>
      </w:r>
      <w:r w:rsidR="00CF3326" w:rsidRPr="008762D1">
        <w:rPr>
          <w:color w:val="000000" w:themeColor="text1"/>
        </w:rPr>
        <w:t xml:space="preserve"> como parte de la Propuesta de CMI, en específico el numeral 2.4.1 Plazos de entrega se estableció que </w:t>
      </w:r>
      <w:r w:rsidR="0038500B" w:rsidRPr="008762D1">
        <w:rPr>
          <w:color w:val="000000" w:themeColor="text1"/>
        </w:rPr>
        <w:t>cualquier solicitud de servicio adicional fuera de pronóstico sería entregado en la fecha en que sea acordada por las partes bajo esquema fecha compromiso (</w:t>
      </w:r>
      <w:proofErr w:type="spellStart"/>
      <w:r w:rsidR="0038500B" w:rsidRPr="008762D1">
        <w:rPr>
          <w:color w:val="000000" w:themeColor="text1"/>
        </w:rPr>
        <w:t>Due</w:t>
      </w:r>
      <w:proofErr w:type="spellEnd"/>
      <w:r w:rsidR="0038500B" w:rsidRPr="008762D1">
        <w:rPr>
          <w:color w:val="000000" w:themeColor="text1"/>
        </w:rPr>
        <w:t xml:space="preserve"> Date).</w:t>
      </w:r>
    </w:p>
    <w:p w14:paraId="17C513E5" w14:textId="741E6C21" w:rsidR="0057777E" w:rsidRPr="008762D1" w:rsidRDefault="0038500B" w:rsidP="000F0B9F">
      <w:pPr>
        <w:pStyle w:val="IFT1"/>
        <w:tabs>
          <w:tab w:val="left" w:pos="0"/>
          <w:tab w:val="left" w:pos="567"/>
        </w:tabs>
        <w:autoSpaceDE w:val="0"/>
        <w:autoSpaceDN w:val="0"/>
        <w:adjustRightInd w:val="0"/>
        <w:spacing w:before="240" w:after="0"/>
        <w:rPr>
          <w:color w:val="000000" w:themeColor="text1"/>
        </w:rPr>
      </w:pPr>
      <w:r w:rsidRPr="008762D1">
        <w:rPr>
          <w:color w:val="000000" w:themeColor="text1"/>
        </w:rPr>
        <w:t>De lo cual, de acuerdo a la evidencia internacional, una desviación con respecto a los pronósticos sólo debería tener efecto en el cumplimiento de los tiempos de entrega siempre y cuando exista una d</w:t>
      </w:r>
      <w:r w:rsidR="00797811" w:rsidRPr="008762D1">
        <w:rPr>
          <w:color w:val="000000" w:themeColor="text1"/>
        </w:rPr>
        <w:t>emanda excepcional sobre lo pron</w:t>
      </w:r>
      <w:r w:rsidRPr="008762D1">
        <w:rPr>
          <w:color w:val="000000" w:themeColor="text1"/>
        </w:rPr>
        <w:t>osticado, es así que el Instituto</w:t>
      </w:r>
      <w:r w:rsidR="00EC6CB7" w:rsidRPr="008762D1">
        <w:rPr>
          <w:color w:val="000000" w:themeColor="text1"/>
        </w:rPr>
        <w:t xml:space="preserve"> modificó</w:t>
      </w:r>
      <w:r w:rsidR="00797811" w:rsidRPr="008762D1">
        <w:rPr>
          <w:color w:val="000000" w:themeColor="text1"/>
        </w:rPr>
        <w:t xml:space="preserve"> la redacción del Anexo G </w:t>
      </w:r>
      <w:r w:rsidR="00EC6CB7" w:rsidRPr="008762D1">
        <w:rPr>
          <w:color w:val="000000" w:themeColor="text1"/>
        </w:rPr>
        <w:t xml:space="preserve">a efecto de precisar que en caso de que los servicios </w:t>
      </w:r>
      <w:r w:rsidR="00B5580E" w:rsidRPr="008762D1">
        <w:rPr>
          <w:color w:val="000000" w:themeColor="text1"/>
        </w:rPr>
        <w:t>solicitados</w:t>
      </w:r>
      <w:r w:rsidR="00EC6CB7" w:rsidRPr="008762D1">
        <w:rPr>
          <w:color w:val="000000" w:themeColor="text1"/>
        </w:rPr>
        <w:t xml:space="preserve"> exceden un 20% o más de los pronosticados los enlaces excedentes serán instalados en un plazo definido por mutuo acuerdo</w:t>
      </w:r>
      <w:r w:rsidR="00F50963" w:rsidRPr="008762D1">
        <w:rPr>
          <w:color w:val="000000" w:themeColor="text1"/>
        </w:rPr>
        <w:t>, de acuerdo a lo siguiente:</w:t>
      </w:r>
    </w:p>
    <w:p w14:paraId="47E3F8AA" w14:textId="4BEB102C" w:rsidR="00614204" w:rsidRPr="008762D1" w:rsidRDefault="00F50963" w:rsidP="00A04FE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0068539D" w:rsidRPr="008762D1">
        <w:rPr>
          <w:rFonts w:ascii="ITC Avant Garde" w:hAnsi="ITC Avant Garde" w:cs="Arial"/>
          <w:color w:val="000000" w:themeColor="text1"/>
          <w:sz w:val="18"/>
          <w:szCs w:val="18"/>
        </w:rPr>
        <w:t xml:space="preserve">2.4.1.4 En caso de que los servicios solicitados excedan </w:t>
      </w:r>
      <w:r w:rsidR="0068539D" w:rsidRPr="008762D1">
        <w:rPr>
          <w:rFonts w:ascii="ITC Avant Garde" w:hAnsi="ITC Avant Garde" w:cs="Arial"/>
          <w:strike/>
          <w:color w:val="000000" w:themeColor="text1"/>
          <w:sz w:val="18"/>
          <w:szCs w:val="18"/>
        </w:rPr>
        <w:t>el pronóstico</w:t>
      </w:r>
      <w:r w:rsidR="0068539D" w:rsidRPr="008762D1">
        <w:rPr>
          <w:rFonts w:ascii="ITC Avant Garde" w:hAnsi="ITC Avant Garde" w:cs="Arial"/>
          <w:color w:val="000000" w:themeColor="text1"/>
          <w:sz w:val="18"/>
          <w:szCs w:val="18"/>
        </w:rPr>
        <w:t xml:space="preserve"> </w:t>
      </w:r>
      <w:r w:rsidR="0068539D" w:rsidRPr="008762D1">
        <w:rPr>
          <w:rFonts w:ascii="ITC Avant Garde" w:hAnsi="ITC Avant Garde" w:cs="Arial"/>
          <w:color w:val="000000" w:themeColor="text1"/>
          <w:sz w:val="18"/>
          <w:szCs w:val="18"/>
          <w:u w:val="single"/>
        </w:rPr>
        <w:t>un 20% o más de los pronosticados</w:t>
      </w:r>
      <w:r w:rsidR="0068539D" w:rsidRPr="008762D1">
        <w:rPr>
          <w:rFonts w:ascii="ITC Avant Garde" w:hAnsi="ITC Avant Garde" w:cs="Arial"/>
          <w:color w:val="000000" w:themeColor="text1"/>
          <w:sz w:val="18"/>
          <w:szCs w:val="18"/>
        </w:rPr>
        <w:t xml:space="preserve">, los Enlaces excedentes serán instalados en un plazo definido por </w:t>
      </w:r>
      <w:r w:rsidR="0068539D" w:rsidRPr="008762D1">
        <w:rPr>
          <w:rFonts w:ascii="ITC Avant Garde" w:hAnsi="ITC Avant Garde" w:cs="Arial"/>
          <w:color w:val="000000" w:themeColor="text1"/>
          <w:sz w:val="18"/>
          <w:szCs w:val="18"/>
        </w:rPr>
        <w:lastRenderedPageBreak/>
        <w:t>mutuo acuerdo bajo esquema fecha compromiso (</w:t>
      </w:r>
      <w:proofErr w:type="spellStart"/>
      <w:r w:rsidR="0068539D" w:rsidRPr="008762D1">
        <w:rPr>
          <w:rFonts w:ascii="ITC Avant Garde" w:hAnsi="ITC Avant Garde" w:cs="Arial"/>
          <w:color w:val="000000" w:themeColor="text1"/>
          <w:sz w:val="18"/>
          <w:szCs w:val="18"/>
        </w:rPr>
        <w:t>Due</w:t>
      </w:r>
      <w:proofErr w:type="spellEnd"/>
      <w:r w:rsidR="0068539D" w:rsidRPr="008762D1">
        <w:rPr>
          <w:rFonts w:ascii="ITC Avant Garde" w:hAnsi="ITC Avant Garde" w:cs="Arial"/>
          <w:color w:val="000000" w:themeColor="text1"/>
          <w:sz w:val="18"/>
          <w:szCs w:val="18"/>
        </w:rPr>
        <w:t xml:space="preserve"> Date). </w:t>
      </w:r>
      <w:r w:rsidR="0068539D" w:rsidRPr="008762D1">
        <w:rPr>
          <w:rFonts w:ascii="ITC Avant Garde" w:hAnsi="ITC Avant Garde" w:cs="Arial"/>
          <w:color w:val="000000" w:themeColor="text1"/>
          <w:sz w:val="18"/>
          <w:szCs w:val="18"/>
          <w:u w:val="single"/>
        </w:rPr>
        <w:t>Situación que será informada al Instituto, junto con las nuevas fechas de entrega.</w:t>
      </w:r>
      <w:r w:rsidRPr="008762D1">
        <w:rPr>
          <w:rFonts w:ascii="ITC Avant Garde" w:hAnsi="ITC Avant Garde" w:cs="Arial"/>
          <w:color w:val="000000" w:themeColor="text1"/>
          <w:sz w:val="18"/>
          <w:szCs w:val="18"/>
        </w:rPr>
        <w:t>”</w:t>
      </w:r>
    </w:p>
    <w:p w14:paraId="0FC77604" w14:textId="77777777" w:rsidR="0068539D" w:rsidRPr="008762D1" w:rsidRDefault="0068539D"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183A7BCF" w14:textId="77777777"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1843A561" w14:textId="77777777" w:rsidR="000F0B9F" w:rsidRPr="008762D1" w:rsidRDefault="008602ED"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 presentó el numeral 2.4.1.4</w:t>
      </w:r>
      <w:r w:rsidR="00AB1284" w:rsidRPr="008762D1">
        <w:rPr>
          <w:rFonts w:cs="Arial"/>
          <w:color w:val="000000" w:themeColor="text1"/>
          <w:lang w:eastAsia="es-MX"/>
        </w:rPr>
        <w:t xml:space="preserve"> </w:t>
      </w:r>
      <w:r w:rsidRPr="008762D1">
        <w:rPr>
          <w:rFonts w:cs="Arial"/>
          <w:color w:val="000000" w:themeColor="text1"/>
          <w:lang w:eastAsia="es-MX"/>
        </w:rPr>
        <w:t xml:space="preserve">del Anexo G </w:t>
      </w:r>
      <w:r w:rsidR="00AB1284" w:rsidRPr="008762D1">
        <w:rPr>
          <w:rFonts w:cs="Arial"/>
          <w:color w:val="000000" w:themeColor="text1"/>
          <w:lang w:eastAsia="es-MX"/>
        </w:rPr>
        <w:t>en los términos señalados en el Acuerdo.</w:t>
      </w:r>
    </w:p>
    <w:p w14:paraId="368341A5" w14:textId="1A0DA36F"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19FC1EF9" w14:textId="77777777" w:rsidR="000F0B9F" w:rsidRPr="008762D1" w:rsidRDefault="006C4656" w:rsidP="000F0B9F">
      <w:pPr>
        <w:spacing w:before="240" w:after="0" w:line="276" w:lineRule="auto"/>
        <w:jc w:val="both"/>
        <w:rPr>
          <w:rFonts w:ascii="ITC Avant Garde" w:hAnsi="ITC Avant Garde"/>
          <w:color w:val="000000" w:themeColor="text1"/>
          <w:u w:val="single"/>
        </w:rPr>
      </w:pPr>
      <w:r w:rsidRPr="008762D1">
        <w:rPr>
          <w:rFonts w:ascii="ITC Avant Garde" w:hAnsi="ITC Avant Garde"/>
          <w:color w:val="000000" w:themeColor="text1"/>
        </w:rPr>
        <w:t>El numeral 2.4.1.4 es acorde a lo establecido en el CMI 2017 y dado que Telmex no realizó manifestaciones al respecto se considera procedente la aprobación de dicho numeral en los términos señalados.</w:t>
      </w:r>
    </w:p>
    <w:p w14:paraId="53578DF6" w14:textId="77777777" w:rsidR="000F0B9F" w:rsidRPr="008762D1" w:rsidRDefault="00551BBD" w:rsidP="000F0B9F">
      <w:pPr>
        <w:pStyle w:val="IFT1"/>
        <w:numPr>
          <w:ilvl w:val="2"/>
          <w:numId w:val="9"/>
        </w:numPr>
        <w:tabs>
          <w:tab w:val="left" w:pos="284"/>
          <w:tab w:val="left" w:pos="567"/>
        </w:tabs>
        <w:spacing w:before="240" w:after="0"/>
        <w:ind w:left="863" w:hanging="863"/>
        <w:rPr>
          <w:b/>
          <w:color w:val="000000" w:themeColor="text1"/>
        </w:rPr>
      </w:pPr>
      <w:r w:rsidRPr="008762D1">
        <w:rPr>
          <w:b/>
          <w:color w:val="000000" w:themeColor="text1"/>
        </w:rPr>
        <w:t>PLAZOS DE ATENCIÓN A FALLAS.</w:t>
      </w:r>
    </w:p>
    <w:p w14:paraId="31EAD2D0" w14:textId="783CE62F" w:rsidR="0032518D" w:rsidRPr="008762D1" w:rsidRDefault="0032518D"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2535DB22" w14:textId="77777777" w:rsidR="000F0B9F" w:rsidRPr="008762D1" w:rsidRDefault="0032518D" w:rsidP="000F0B9F">
      <w:pPr>
        <w:spacing w:before="240" w:after="0"/>
        <w:jc w:val="both"/>
        <w:rPr>
          <w:rFonts w:ascii="ITC Avant Garde" w:hAnsi="ITC Avant Garde"/>
          <w:bCs/>
          <w:color w:val="000000" w:themeColor="text1"/>
        </w:rPr>
      </w:pPr>
      <w:r w:rsidRPr="008762D1">
        <w:rPr>
          <w:rFonts w:ascii="ITC Avant Garde" w:eastAsia="Times New Roman" w:hAnsi="ITC Avant Garde" w:cs="Arial"/>
          <w:iCs/>
          <w:color w:val="000000" w:themeColor="text1"/>
        </w:rPr>
        <w:t>Del análisis del Anexo G se observó que los términos establecidos no se apega</w:t>
      </w:r>
      <w:r w:rsidR="00EC6CB7"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DA661D"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 xml:space="preserve">y, toda vez que el propósito de revisar anualmente el instrumento regulatorio es mejorar, o precisar las condiciones, así como ajustarse a la evolución tecnológica del sector, y de ninguna forma se justifica la existencia de retrocesos en la regulación; el Instituto no </w:t>
      </w:r>
      <w:r w:rsidR="00EC6CB7" w:rsidRPr="008762D1">
        <w:rPr>
          <w:rFonts w:ascii="ITC Avant Garde" w:hAnsi="ITC Avant Garde"/>
          <w:bCs/>
          <w:color w:val="000000" w:themeColor="text1"/>
        </w:rPr>
        <w:t>consideró</w:t>
      </w:r>
      <w:r w:rsidRPr="008762D1">
        <w:rPr>
          <w:rFonts w:ascii="ITC Avant Garde" w:hAnsi="ITC Avant Garde"/>
          <w:bCs/>
          <w:color w:val="000000" w:themeColor="text1"/>
        </w:rPr>
        <w:t xml:space="preserve"> procedente que en una revisión posterior del convenio m</w:t>
      </w:r>
      <w:r w:rsidR="002B2CCE" w:rsidRPr="008762D1">
        <w:rPr>
          <w:rFonts w:ascii="ITC Avant Garde" w:hAnsi="ITC Avant Garde"/>
          <w:bCs/>
          <w:color w:val="000000" w:themeColor="text1"/>
        </w:rPr>
        <w:t>arco de interconexión se planteara</w:t>
      </w:r>
      <w:r w:rsidRPr="008762D1">
        <w:rPr>
          <w:rFonts w:ascii="ITC Avant Garde" w:hAnsi="ITC Avant Garde"/>
          <w:bCs/>
          <w:color w:val="000000" w:themeColor="text1"/>
        </w:rPr>
        <w:t>n términos y condiciones menos favorables que los ya autorizados por el Instituto</w:t>
      </w:r>
      <w:r w:rsidR="00EC6CB7" w:rsidRPr="008762D1">
        <w:rPr>
          <w:rFonts w:ascii="ITC Avant Garde" w:hAnsi="ITC Avant Garde"/>
          <w:bCs/>
          <w:color w:val="000000" w:themeColor="text1"/>
        </w:rPr>
        <w:t>, por lo que se modificó</w:t>
      </w:r>
      <w:r w:rsidRPr="008762D1">
        <w:rPr>
          <w:rFonts w:ascii="ITC Avant Garde" w:hAnsi="ITC Avant Garde"/>
          <w:bCs/>
          <w:color w:val="000000" w:themeColor="text1"/>
        </w:rPr>
        <w:t xml:space="preserve"> el Anexo G a efecto de que los plazos de atención a fallas sean consistentes con lo establecido en las Medidas Fijas.</w:t>
      </w:r>
    </w:p>
    <w:p w14:paraId="7504F9F1" w14:textId="77777777" w:rsidR="000F0B9F" w:rsidRPr="008762D1" w:rsidRDefault="00082154" w:rsidP="000F0B9F">
      <w:pPr>
        <w:pStyle w:val="IFT1"/>
        <w:tabs>
          <w:tab w:val="left" w:pos="0"/>
          <w:tab w:val="left" w:pos="567"/>
        </w:tabs>
        <w:autoSpaceDE w:val="0"/>
        <w:autoSpaceDN w:val="0"/>
        <w:adjustRightInd w:val="0"/>
        <w:spacing w:before="240" w:after="0"/>
        <w:rPr>
          <w:snapToGrid w:val="0"/>
          <w:color w:val="000000" w:themeColor="text1"/>
        </w:rPr>
      </w:pPr>
      <w:r w:rsidRPr="008762D1">
        <w:rPr>
          <w:rFonts w:eastAsiaTheme="minorHAnsi" w:cstheme="minorBidi"/>
          <w:iCs w:val="0"/>
          <w:color w:val="000000" w:themeColor="text1"/>
        </w:rPr>
        <w:t xml:space="preserve">Lo anterior, dado que los plazos </w:t>
      </w:r>
      <w:r w:rsidRPr="008762D1">
        <w:rPr>
          <w:color w:val="000000" w:themeColor="text1"/>
        </w:rPr>
        <w:t xml:space="preserve">de atención a fallas no se </w:t>
      </w:r>
      <w:proofErr w:type="gramStart"/>
      <w:r w:rsidRPr="008762D1">
        <w:rPr>
          <w:color w:val="000000" w:themeColor="text1"/>
        </w:rPr>
        <w:t>apegaban</w:t>
      </w:r>
      <w:proofErr w:type="gramEnd"/>
      <w:r w:rsidRPr="008762D1">
        <w:rPr>
          <w:color w:val="000000" w:themeColor="text1"/>
        </w:rPr>
        <w:t xml:space="preserve"> a las Medidas Fijas, por lo que se modificó el numeral 2.6.2 </w:t>
      </w:r>
      <w:r w:rsidRPr="008762D1">
        <w:rPr>
          <w:snapToGrid w:val="0"/>
          <w:color w:val="000000" w:themeColor="text1"/>
        </w:rPr>
        <w:t xml:space="preserve">del Anexo G del CMI, en el siguiente sentido: </w:t>
      </w:r>
    </w:p>
    <w:p w14:paraId="189058EF" w14:textId="77777777" w:rsidR="000F0B9F" w:rsidRPr="008762D1" w:rsidRDefault="00082154"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“2.6.2 Los reportes de afectaciones que pudieran ocurrir en la prestación de los Enlaces Dedicados de Interconexión podrán presentarse mediante el Sistema Electrónico de Gestión (SEG), el cual se mantendrán operando las 24 (veinticuatro) horas del día, los 7 (siete) días de la semana.</w:t>
      </w:r>
    </w:p>
    <w:p w14:paraId="64643488" w14:textId="77777777" w:rsidR="000F0B9F" w:rsidRPr="008762D1" w:rsidRDefault="00082154"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En relación con las afectaciones que pudieran ocurrir con el Servicio de Arrendamiento de Enlaces Dedicados de Interconexión, Telmex se compromete a solucionarlos considerando su ubicación y gravedad, contados a partir de la debida y formal notificación a Telmex, de conformidad con los siguientes plazos:</w:t>
      </w:r>
    </w:p>
    <w:p w14:paraId="248B30A1" w14:textId="26FA1E2C" w:rsidR="00082154" w:rsidRPr="008762D1" w:rsidRDefault="00082154" w:rsidP="000F0B9F">
      <w:pPr>
        <w:autoSpaceDE w:val="0"/>
        <w:autoSpaceDN w:val="0"/>
        <w:adjustRightInd w:val="0"/>
        <w:spacing w:before="240" w:after="0"/>
        <w:ind w:left="567" w:right="567"/>
        <w:jc w:val="both"/>
        <w:rPr>
          <w:rFonts w:ascii="ITC Avant Garde" w:hAnsi="ITC Avant Garde" w:cs="Arial"/>
          <w:color w:val="000000" w:themeColor="text1"/>
          <w:sz w:val="2"/>
          <w:szCs w:val="18"/>
        </w:rPr>
      </w:pPr>
    </w:p>
    <w:tbl>
      <w:tblPr>
        <w:tblStyle w:val="Cuadrculadetablaclara"/>
        <w:tblW w:w="0" w:type="auto"/>
        <w:jc w:val="center"/>
        <w:tblLayout w:type="fixed"/>
        <w:tblLook w:val="0000" w:firstRow="0" w:lastRow="0" w:firstColumn="0" w:lastColumn="0" w:noHBand="0" w:noVBand="0"/>
        <w:tblCaption w:val="Tabla"/>
        <w:tblDescription w:val="Tipo de servicio"/>
      </w:tblPr>
      <w:tblGrid>
        <w:gridCol w:w="1690"/>
        <w:gridCol w:w="1165"/>
        <w:gridCol w:w="1165"/>
        <w:gridCol w:w="1281"/>
      </w:tblGrid>
      <w:tr w:rsidR="008762D1" w:rsidRPr="008762D1" w14:paraId="3A05A722" w14:textId="77777777" w:rsidTr="00036A6A">
        <w:trPr>
          <w:tblHeader/>
          <w:jc w:val="center"/>
        </w:trPr>
        <w:tc>
          <w:tcPr>
            <w:tcW w:w="1690" w:type="dxa"/>
          </w:tcPr>
          <w:p w14:paraId="0AD551E7" w14:textId="77777777" w:rsidR="00082154" w:rsidRPr="008762D1" w:rsidRDefault="00082154" w:rsidP="000F0B9F">
            <w:pPr>
              <w:pStyle w:val="Textoindependiente3"/>
              <w:spacing w:before="240" w:after="0"/>
              <w:rPr>
                <w:rStyle w:val="Textoennegrita"/>
                <w:rFonts w:ascii="ITC Avant Garde" w:hAnsi="ITC Avant Garde" w:cs="Arial"/>
                <w:b w:val="0"/>
                <w:bCs/>
                <w:color w:val="000000" w:themeColor="text1"/>
                <w:sz w:val="18"/>
                <w:szCs w:val="18"/>
              </w:rPr>
            </w:pPr>
            <w:r w:rsidRPr="008762D1">
              <w:rPr>
                <w:rStyle w:val="Textoennegrita"/>
                <w:rFonts w:ascii="ITC Avant Garde" w:hAnsi="ITC Avant Garde" w:cs="Arial"/>
                <w:color w:val="000000" w:themeColor="text1"/>
                <w:sz w:val="18"/>
                <w:szCs w:val="18"/>
              </w:rPr>
              <w:lastRenderedPageBreak/>
              <w:t>Tipo de</w:t>
            </w:r>
            <w:r w:rsidRPr="008762D1">
              <w:rPr>
                <w:rStyle w:val="Textoennegrita"/>
                <w:rFonts w:ascii="ITC Avant Garde" w:hAnsi="ITC Avant Garde" w:cs="Arial"/>
                <w:color w:val="000000" w:themeColor="text1"/>
                <w:sz w:val="18"/>
                <w:szCs w:val="18"/>
              </w:rPr>
              <w:br/>
              <w:t>Servicio</w:t>
            </w:r>
          </w:p>
        </w:tc>
        <w:tc>
          <w:tcPr>
            <w:tcW w:w="1165" w:type="dxa"/>
          </w:tcPr>
          <w:p w14:paraId="34B3D459" w14:textId="77777777" w:rsidR="00082154" w:rsidRPr="008762D1" w:rsidRDefault="00082154" w:rsidP="000F0B9F">
            <w:pPr>
              <w:pStyle w:val="Textoindependiente3"/>
              <w:spacing w:before="240" w:after="0"/>
              <w:rPr>
                <w:rStyle w:val="Textoennegrita"/>
                <w:rFonts w:ascii="ITC Avant Garde" w:hAnsi="ITC Avant Garde" w:cs="Arial"/>
                <w:b w:val="0"/>
                <w:color w:val="000000" w:themeColor="text1"/>
                <w:sz w:val="18"/>
                <w:szCs w:val="18"/>
              </w:rPr>
            </w:pPr>
            <w:r w:rsidRPr="008762D1">
              <w:rPr>
                <w:rStyle w:val="Textoennegrita"/>
                <w:rFonts w:ascii="ITC Avant Garde" w:hAnsi="ITC Avant Garde" w:cs="Arial"/>
                <w:color w:val="000000" w:themeColor="text1"/>
                <w:sz w:val="18"/>
                <w:szCs w:val="18"/>
              </w:rPr>
              <w:t>Prioridad 1</w:t>
            </w:r>
          </w:p>
        </w:tc>
        <w:tc>
          <w:tcPr>
            <w:tcW w:w="1165" w:type="dxa"/>
          </w:tcPr>
          <w:p w14:paraId="71E63478" w14:textId="77777777" w:rsidR="00082154" w:rsidRPr="008762D1" w:rsidRDefault="00082154" w:rsidP="000F0B9F">
            <w:pPr>
              <w:pStyle w:val="Textoindependiente3"/>
              <w:spacing w:before="240" w:after="0"/>
              <w:rPr>
                <w:rStyle w:val="Textoennegrita"/>
                <w:rFonts w:ascii="ITC Avant Garde" w:hAnsi="ITC Avant Garde" w:cs="Arial"/>
                <w:b w:val="0"/>
                <w:color w:val="000000" w:themeColor="text1"/>
                <w:sz w:val="18"/>
                <w:szCs w:val="18"/>
              </w:rPr>
            </w:pPr>
            <w:r w:rsidRPr="008762D1">
              <w:rPr>
                <w:rStyle w:val="Textoennegrita"/>
                <w:rFonts w:ascii="ITC Avant Garde" w:hAnsi="ITC Avant Garde" w:cs="Arial"/>
                <w:color w:val="000000" w:themeColor="text1"/>
                <w:sz w:val="18"/>
                <w:szCs w:val="18"/>
              </w:rPr>
              <w:t>Prioridad 2</w:t>
            </w:r>
          </w:p>
        </w:tc>
        <w:tc>
          <w:tcPr>
            <w:tcW w:w="1281" w:type="dxa"/>
          </w:tcPr>
          <w:p w14:paraId="2777CD24" w14:textId="77777777" w:rsidR="00082154" w:rsidRPr="008762D1" w:rsidRDefault="00082154" w:rsidP="000F0B9F">
            <w:pPr>
              <w:pStyle w:val="Textoindependiente3"/>
              <w:spacing w:before="240" w:after="0"/>
              <w:rPr>
                <w:rStyle w:val="Textoennegrita"/>
                <w:rFonts w:ascii="ITC Avant Garde" w:hAnsi="ITC Avant Garde" w:cs="Arial"/>
                <w:color w:val="000000" w:themeColor="text1"/>
                <w:sz w:val="18"/>
                <w:szCs w:val="18"/>
              </w:rPr>
            </w:pPr>
            <w:r w:rsidRPr="008762D1">
              <w:rPr>
                <w:rStyle w:val="Textoennegrita"/>
                <w:rFonts w:ascii="ITC Avant Garde" w:hAnsi="ITC Avant Garde" w:cs="Arial"/>
                <w:color w:val="000000" w:themeColor="text1"/>
                <w:sz w:val="18"/>
                <w:szCs w:val="18"/>
              </w:rPr>
              <w:t>Prioridad 3</w:t>
            </w:r>
          </w:p>
        </w:tc>
      </w:tr>
      <w:tr w:rsidR="00082154" w:rsidRPr="008762D1" w14:paraId="1AF74286" w14:textId="77777777" w:rsidTr="00036A6A">
        <w:trPr>
          <w:trHeight w:val="419"/>
          <w:jc w:val="center"/>
        </w:trPr>
        <w:tc>
          <w:tcPr>
            <w:tcW w:w="1690" w:type="dxa"/>
          </w:tcPr>
          <w:p w14:paraId="05E9A104" w14:textId="77777777" w:rsidR="00082154" w:rsidRPr="008762D1" w:rsidRDefault="00082154" w:rsidP="000F0B9F">
            <w:pPr>
              <w:pStyle w:val="Textoindependiente3"/>
              <w:spacing w:before="240" w:after="0"/>
              <w:rPr>
                <w:rStyle w:val="Textoennegrita"/>
                <w:rFonts w:ascii="ITC Avant Garde" w:hAnsi="ITC Avant Garde" w:cs="Arial"/>
                <w:b w:val="0"/>
                <w:color w:val="000000" w:themeColor="text1"/>
                <w:sz w:val="18"/>
                <w:szCs w:val="18"/>
                <w:highlight w:val="yellow"/>
              </w:rPr>
            </w:pPr>
            <w:r w:rsidRPr="008762D1">
              <w:rPr>
                <w:rStyle w:val="Textoennegrita"/>
                <w:rFonts w:ascii="ITC Avant Garde" w:hAnsi="ITC Avant Garde" w:cs="Arial"/>
                <w:b w:val="0"/>
                <w:color w:val="000000" w:themeColor="text1"/>
                <w:sz w:val="18"/>
                <w:szCs w:val="18"/>
              </w:rPr>
              <w:t>Interconexión</w:t>
            </w:r>
          </w:p>
        </w:tc>
        <w:tc>
          <w:tcPr>
            <w:tcW w:w="1165" w:type="dxa"/>
          </w:tcPr>
          <w:p w14:paraId="6ED2CBE0" w14:textId="77777777" w:rsidR="00082154" w:rsidRPr="008762D1" w:rsidRDefault="00082154" w:rsidP="000F0B9F">
            <w:pPr>
              <w:pStyle w:val="Textoindependiente3"/>
              <w:spacing w:before="240" w:after="0"/>
              <w:rPr>
                <w:rStyle w:val="Textoennegrita"/>
                <w:rFonts w:ascii="ITC Avant Garde" w:hAnsi="ITC Avant Garde" w:cs="Arial"/>
                <w:b w:val="0"/>
                <w:color w:val="000000" w:themeColor="text1"/>
                <w:sz w:val="18"/>
                <w:szCs w:val="18"/>
              </w:rPr>
            </w:pPr>
            <w:r w:rsidRPr="008762D1">
              <w:rPr>
                <w:rStyle w:val="Textoennegrita"/>
                <w:rFonts w:ascii="ITC Avant Garde" w:hAnsi="ITC Avant Garde" w:cs="Arial"/>
                <w:b w:val="0"/>
                <w:color w:val="000000" w:themeColor="text1"/>
                <w:sz w:val="18"/>
                <w:szCs w:val="18"/>
              </w:rPr>
              <w:t xml:space="preserve"> </w:t>
            </w:r>
            <w:r w:rsidRPr="008762D1">
              <w:rPr>
                <w:rStyle w:val="Textoennegrita"/>
                <w:rFonts w:ascii="ITC Avant Garde" w:hAnsi="ITC Avant Garde" w:cs="Arial"/>
                <w:b w:val="0"/>
                <w:strike/>
                <w:color w:val="000000" w:themeColor="text1"/>
                <w:sz w:val="18"/>
                <w:szCs w:val="18"/>
              </w:rPr>
              <w:t>4</w:t>
            </w:r>
            <w:r w:rsidRPr="008762D1">
              <w:rPr>
                <w:rStyle w:val="Textoennegrita"/>
                <w:rFonts w:ascii="ITC Avant Garde" w:hAnsi="ITC Avant Garde" w:cs="Arial"/>
                <w:b w:val="0"/>
                <w:color w:val="000000" w:themeColor="text1"/>
                <w:sz w:val="18"/>
                <w:szCs w:val="18"/>
                <w:u w:val="single"/>
              </w:rPr>
              <w:t>1</w:t>
            </w:r>
            <w:r w:rsidRPr="008762D1">
              <w:rPr>
                <w:rStyle w:val="Textoennegrita"/>
                <w:rFonts w:ascii="ITC Avant Garde" w:hAnsi="ITC Avant Garde" w:cs="Arial"/>
                <w:b w:val="0"/>
                <w:color w:val="000000" w:themeColor="text1"/>
                <w:sz w:val="18"/>
                <w:szCs w:val="18"/>
              </w:rPr>
              <w:t xml:space="preserve"> </w:t>
            </w:r>
            <w:proofErr w:type="spellStart"/>
            <w:r w:rsidRPr="008762D1">
              <w:rPr>
                <w:rStyle w:val="Textoennegrita"/>
                <w:rFonts w:ascii="ITC Avant Garde" w:hAnsi="ITC Avant Garde" w:cs="Arial"/>
                <w:b w:val="0"/>
                <w:color w:val="000000" w:themeColor="text1"/>
                <w:sz w:val="18"/>
                <w:szCs w:val="18"/>
              </w:rPr>
              <w:t>Hrs</w:t>
            </w:r>
            <w:proofErr w:type="spellEnd"/>
          </w:p>
        </w:tc>
        <w:tc>
          <w:tcPr>
            <w:tcW w:w="1165" w:type="dxa"/>
          </w:tcPr>
          <w:p w14:paraId="27E43DC6" w14:textId="77777777" w:rsidR="00082154" w:rsidRPr="008762D1" w:rsidRDefault="00082154" w:rsidP="000F0B9F">
            <w:pPr>
              <w:pStyle w:val="Textoindependiente3"/>
              <w:spacing w:before="240" w:after="0"/>
              <w:rPr>
                <w:rStyle w:val="Textoennegrita"/>
                <w:rFonts w:ascii="ITC Avant Garde" w:hAnsi="ITC Avant Garde" w:cs="Arial"/>
                <w:b w:val="0"/>
                <w:color w:val="000000" w:themeColor="text1"/>
                <w:sz w:val="18"/>
                <w:szCs w:val="18"/>
              </w:rPr>
            </w:pPr>
            <w:r w:rsidRPr="008762D1">
              <w:rPr>
                <w:rStyle w:val="Textoennegrita"/>
                <w:rFonts w:ascii="ITC Avant Garde" w:hAnsi="ITC Avant Garde" w:cs="Arial"/>
                <w:b w:val="0"/>
                <w:strike/>
                <w:color w:val="000000" w:themeColor="text1"/>
                <w:sz w:val="18"/>
                <w:szCs w:val="18"/>
              </w:rPr>
              <w:t>6</w:t>
            </w:r>
            <w:r w:rsidRPr="008762D1">
              <w:rPr>
                <w:rStyle w:val="Textoennegrita"/>
                <w:rFonts w:ascii="ITC Avant Garde" w:hAnsi="ITC Avant Garde" w:cs="Arial"/>
                <w:b w:val="0"/>
                <w:color w:val="000000" w:themeColor="text1"/>
                <w:sz w:val="18"/>
                <w:szCs w:val="18"/>
                <w:u w:val="single"/>
              </w:rPr>
              <w:t>2</w:t>
            </w:r>
            <w:r w:rsidRPr="008762D1">
              <w:rPr>
                <w:rStyle w:val="Textoennegrita"/>
                <w:rFonts w:ascii="ITC Avant Garde" w:hAnsi="ITC Avant Garde" w:cs="Arial"/>
                <w:b w:val="0"/>
                <w:color w:val="000000" w:themeColor="text1"/>
                <w:sz w:val="18"/>
                <w:szCs w:val="18"/>
              </w:rPr>
              <w:t>Hrs</w:t>
            </w:r>
          </w:p>
        </w:tc>
        <w:tc>
          <w:tcPr>
            <w:tcW w:w="1281" w:type="dxa"/>
          </w:tcPr>
          <w:p w14:paraId="7A228FE5" w14:textId="77777777" w:rsidR="00082154" w:rsidRPr="008762D1" w:rsidRDefault="00082154" w:rsidP="000F0B9F">
            <w:pPr>
              <w:pStyle w:val="Textoindependiente3"/>
              <w:spacing w:before="240" w:after="0"/>
              <w:rPr>
                <w:rStyle w:val="Textoennegrita"/>
                <w:rFonts w:ascii="ITC Avant Garde" w:hAnsi="ITC Avant Garde" w:cs="Arial"/>
                <w:b w:val="0"/>
                <w:color w:val="000000" w:themeColor="text1"/>
                <w:sz w:val="18"/>
                <w:szCs w:val="18"/>
              </w:rPr>
            </w:pPr>
            <w:r w:rsidRPr="008762D1">
              <w:rPr>
                <w:rStyle w:val="Textoennegrita"/>
                <w:rFonts w:ascii="ITC Avant Garde" w:hAnsi="ITC Avant Garde" w:cs="Arial"/>
                <w:b w:val="0"/>
                <w:color w:val="000000" w:themeColor="text1"/>
                <w:sz w:val="18"/>
                <w:szCs w:val="18"/>
              </w:rPr>
              <w:t xml:space="preserve"> </w:t>
            </w:r>
            <w:r w:rsidRPr="008762D1">
              <w:rPr>
                <w:rStyle w:val="Textoennegrita"/>
                <w:rFonts w:ascii="ITC Avant Garde" w:hAnsi="ITC Avant Garde" w:cs="Arial"/>
                <w:b w:val="0"/>
                <w:strike/>
                <w:color w:val="000000" w:themeColor="text1"/>
                <w:sz w:val="18"/>
                <w:szCs w:val="18"/>
              </w:rPr>
              <w:t>8</w:t>
            </w:r>
            <w:r w:rsidRPr="008762D1">
              <w:rPr>
                <w:rStyle w:val="Textoennegrita"/>
                <w:rFonts w:ascii="ITC Avant Garde" w:hAnsi="ITC Avant Garde" w:cs="Arial"/>
                <w:b w:val="0"/>
                <w:color w:val="000000" w:themeColor="text1"/>
                <w:sz w:val="18"/>
                <w:szCs w:val="18"/>
                <w:u w:val="single"/>
              </w:rPr>
              <w:t>5</w:t>
            </w:r>
            <w:r w:rsidRPr="008762D1">
              <w:rPr>
                <w:rStyle w:val="Textoennegrita"/>
                <w:rFonts w:ascii="ITC Avant Garde" w:hAnsi="ITC Avant Garde" w:cs="Arial"/>
                <w:b w:val="0"/>
                <w:color w:val="000000" w:themeColor="text1"/>
                <w:sz w:val="18"/>
                <w:szCs w:val="18"/>
              </w:rPr>
              <w:t xml:space="preserve"> </w:t>
            </w:r>
            <w:proofErr w:type="spellStart"/>
            <w:r w:rsidRPr="008762D1">
              <w:rPr>
                <w:rStyle w:val="Textoennegrita"/>
                <w:rFonts w:ascii="ITC Avant Garde" w:hAnsi="ITC Avant Garde" w:cs="Arial"/>
                <w:b w:val="0"/>
                <w:color w:val="000000" w:themeColor="text1"/>
                <w:sz w:val="18"/>
                <w:szCs w:val="18"/>
              </w:rPr>
              <w:t>Hrs</w:t>
            </w:r>
            <w:proofErr w:type="spellEnd"/>
          </w:p>
        </w:tc>
      </w:tr>
    </w:tbl>
    <w:p w14:paraId="4AF839A6" w14:textId="77777777" w:rsidR="00082154" w:rsidRPr="008762D1" w:rsidRDefault="00082154"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38BB6056" w14:textId="77777777"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5C91C545" w14:textId="77777777" w:rsidR="000F0B9F" w:rsidRPr="008762D1" w:rsidRDefault="00764191"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 presentó el numeral 2.6.2 del Anexo G en los términos señalados en el Acuerdo.</w:t>
      </w:r>
    </w:p>
    <w:p w14:paraId="5F7591EC" w14:textId="19DA08D6"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2C2AACBF" w14:textId="77777777" w:rsidR="000F0B9F" w:rsidRPr="008762D1" w:rsidRDefault="00764191" w:rsidP="000F0B9F">
      <w:pPr>
        <w:spacing w:before="240" w:after="0" w:line="276" w:lineRule="auto"/>
        <w:jc w:val="both"/>
        <w:rPr>
          <w:rFonts w:ascii="ITC Avant Garde" w:hAnsi="ITC Avant Garde"/>
          <w:color w:val="000000" w:themeColor="text1"/>
          <w:u w:val="single"/>
        </w:rPr>
      </w:pPr>
      <w:r w:rsidRPr="008762D1">
        <w:rPr>
          <w:rFonts w:ascii="ITC Avant Garde" w:hAnsi="ITC Avant Garde"/>
          <w:color w:val="000000" w:themeColor="text1"/>
        </w:rPr>
        <w:t>Los plazos de atención a fallas son acorde a lo establecido en</w:t>
      </w:r>
      <w:r w:rsidR="006C4656" w:rsidRPr="008762D1">
        <w:rPr>
          <w:rFonts w:ascii="ITC Avant Garde" w:hAnsi="ITC Avant Garde"/>
          <w:color w:val="000000" w:themeColor="text1"/>
        </w:rPr>
        <w:t xml:space="preserve"> las Medidas Fijas</w:t>
      </w:r>
      <w:r w:rsidR="00CE4AB7" w:rsidRPr="008762D1">
        <w:rPr>
          <w:rFonts w:ascii="ITC Avant Garde" w:hAnsi="ITC Avant Garde"/>
          <w:color w:val="000000" w:themeColor="text1"/>
        </w:rPr>
        <w:t xml:space="preserve"> </w:t>
      </w:r>
      <w:r w:rsidRPr="008762D1">
        <w:rPr>
          <w:rFonts w:ascii="ITC Avant Garde" w:hAnsi="ITC Avant Garde"/>
          <w:color w:val="000000" w:themeColor="text1"/>
        </w:rPr>
        <w:t>y dado que Telmex no realizó manifestaciones al respecto se considera procedente la aprobación del numeral 2.6.2 del Anexo G en los términos señalados.</w:t>
      </w:r>
    </w:p>
    <w:p w14:paraId="22A24EDE" w14:textId="77777777" w:rsidR="000F0B9F" w:rsidRPr="008762D1" w:rsidRDefault="003F0D3A" w:rsidP="000F0B9F">
      <w:pPr>
        <w:pStyle w:val="IFT1"/>
        <w:numPr>
          <w:ilvl w:val="2"/>
          <w:numId w:val="9"/>
        </w:numPr>
        <w:tabs>
          <w:tab w:val="left" w:pos="284"/>
          <w:tab w:val="left" w:pos="567"/>
        </w:tabs>
        <w:spacing w:before="240" w:after="0"/>
        <w:ind w:left="863" w:hanging="863"/>
        <w:rPr>
          <w:b/>
          <w:color w:val="000000" w:themeColor="text1"/>
        </w:rPr>
      </w:pPr>
      <w:r w:rsidRPr="008762D1">
        <w:rPr>
          <w:b/>
          <w:color w:val="000000" w:themeColor="text1"/>
        </w:rPr>
        <w:t>PARÁMETROS DE CALIDAD.</w:t>
      </w:r>
    </w:p>
    <w:p w14:paraId="7B1103BD" w14:textId="7C31EEC7" w:rsidR="003F0D3A" w:rsidRPr="008762D1" w:rsidRDefault="003F0D3A"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05E7644D" w14:textId="77777777" w:rsidR="000F0B9F" w:rsidRPr="008762D1" w:rsidRDefault="003F0D3A" w:rsidP="000F0B9F">
      <w:pPr>
        <w:spacing w:before="240" w:after="0"/>
        <w:jc w:val="both"/>
        <w:rPr>
          <w:rFonts w:ascii="ITC Avant Garde" w:eastAsia="Times New Roman" w:hAnsi="ITC Avant Garde" w:cs="Arial"/>
          <w:iCs/>
          <w:color w:val="000000" w:themeColor="text1"/>
        </w:rPr>
      </w:pPr>
      <w:r w:rsidRPr="008762D1">
        <w:rPr>
          <w:rFonts w:ascii="ITC Avant Garde" w:eastAsia="Times New Roman" w:hAnsi="ITC Avant Garde" w:cs="Arial"/>
          <w:iCs/>
          <w:color w:val="000000" w:themeColor="text1"/>
        </w:rPr>
        <w:t xml:space="preserve">Del análisis del Anexo G se observó que los parámetros de calidad de los enlaces dedicados de interconexión con redundancia no </w:t>
      </w:r>
      <w:r w:rsidR="00B5580E" w:rsidRPr="008762D1">
        <w:rPr>
          <w:rFonts w:ascii="ITC Avant Garde" w:eastAsia="Times New Roman" w:hAnsi="ITC Avant Garde" w:cs="Arial"/>
          <w:iCs/>
          <w:color w:val="000000" w:themeColor="text1"/>
        </w:rPr>
        <w:t>corresponden</w:t>
      </w:r>
      <w:r w:rsidRPr="008762D1">
        <w:rPr>
          <w:rFonts w:ascii="ITC Avant Garde" w:eastAsia="Times New Roman" w:hAnsi="ITC Avant Garde" w:cs="Arial"/>
          <w:iCs/>
          <w:color w:val="000000" w:themeColor="text1"/>
        </w:rPr>
        <w:t xml:space="preserve"> a lo establecido en las Medid</w:t>
      </w:r>
      <w:r w:rsidR="00EC6CB7" w:rsidRPr="008762D1">
        <w:rPr>
          <w:rFonts w:ascii="ITC Avant Garde" w:eastAsia="Times New Roman" w:hAnsi="ITC Avant Garde" w:cs="Arial"/>
          <w:iCs/>
          <w:color w:val="000000" w:themeColor="text1"/>
        </w:rPr>
        <w:t>as Fijas, es así q</w:t>
      </w:r>
      <w:r w:rsidR="00255C1F" w:rsidRPr="008762D1">
        <w:rPr>
          <w:rFonts w:ascii="ITC Avant Garde" w:eastAsia="Times New Roman" w:hAnsi="ITC Avant Garde" w:cs="Arial"/>
          <w:iCs/>
          <w:color w:val="000000" w:themeColor="text1"/>
        </w:rPr>
        <w:t>ue se modificó el numeral 2.6.6, en el siguiente sentido:</w:t>
      </w:r>
    </w:p>
    <w:p w14:paraId="1CC419C0" w14:textId="77777777" w:rsidR="000F0B9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“2.6.6 Telmex garantizará el cumplimiento anual por enlace de calidad para los Enlaces Dedicados de Interconexión:</w:t>
      </w:r>
    </w:p>
    <w:p w14:paraId="39520FC1" w14:textId="18FF7F52" w:rsidR="00255C1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t>Sin redundancia 99.</w:t>
      </w:r>
      <w:r w:rsidRPr="008762D1">
        <w:rPr>
          <w:rFonts w:ascii="ITC Avant Garde" w:hAnsi="ITC Avant Garde" w:cs="Arial"/>
          <w:strike/>
          <w:color w:val="000000" w:themeColor="text1"/>
          <w:sz w:val="18"/>
          <w:szCs w:val="18"/>
        </w:rPr>
        <w:t>60</w:t>
      </w:r>
      <w:r w:rsidRPr="008762D1">
        <w:rPr>
          <w:rFonts w:ascii="ITC Avant Garde" w:hAnsi="ITC Avant Garde" w:cs="Arial"/>
          <w:color w:val="000000" w:themeColor="text1"/>
          <w:sz w:val="18"/>
          <w:szCs w:val="18"/>
          <w:u w:val="single"/>
        </w:rPr>
        <w:t>92</w:t>
      </w:r>
      <w:r w:rsidRPr="008762D1">
        <w:rPr>
          <w:rFonts w:ascii="ITC Avant Garde" w:hAnsi="ITC Avant Garde" w:cs="Arial"/>
          <w:color w:val="000000" w:themeColor="text1"/>
          <w:sz w:val="18"/>
          <w:szCs w:val="18"/>
        </w:rPr>
        <w:t xml:space="preserve">% (noventa y nueve punto </w:t>
      </w:r>
      <w:proofErr w:type="spellStart"/>
      <w:r w:rsidRPr="008762D1">
        <w:rPr>
          <w:rFonts w:ascii="ITC Avant Garde" w:hAnsi="ITC Avant Garde" w:cs="Arial"/>
          <w:strike/>
          <w:color w:val="000000" w:themeColor="text1"/>
          <w:sz w:val="18"/>
          <w:szCs w:val="18"/>
        </w:rPr>
        <w:t>sesenta</w:t>
      </w:r>
      <w:r w:rsidRPr="008762D1">
        <w:rPr>
          <w:rFonts w:ascii="ITC Avant Garde" w:hAnsi="ITC Avant Garde" w:cs="Arial"/>
          <w:color w:val="000000" w:themeColor="text1"/>
          <w:sz w:val="18"/>
          <w:szCs w:val="18"/>
          <w:u w:val="single"/>
        </w:rPr>
        <w:t>noventa</w:t>
      </w:r>
      <w:proofErr w:type="spellEnd"/>
      <w:r w:rsidRPr="008762D1">
        <w:rPr>
          <w:rFonts w:ascii="ITC Avant Garde" w:hAnsi="ITC Avant Garde" w:cs="Arial"/>
          <w:color w:val="000000" w:themeColor="text1"/>
          <w:sz w:val="18"/>
          <w:szCs w:val="18"/>
          <w:u w:val="single"/>
        </w:rPr>
        <w:t xml:space="preserve"> y dos</w:t>
      </w:r>
      <w:r w:rsidRPr="008762D1">
        <w:rPr>
          <w:rFonts w:ascii="ITC Avant Garde" w:hAnsi="ITC Avant Garde" w:cs="Arial"/>
          <w:color w:val="000000" w:themeColor="text1"/>
          <w:sz w:val="18"/>
          <w:szCs w:val="18"/>
        </w:rPr>
        <w:t xml:space="preserve"> por ciento).</w:t>
      </w:r>
    </w:p>
    <w:p w14:paraId="1C333CDA" w14:textId="77777777" w:rsidR="00255C1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t>Con redundancia 99.95</w:t>
      </w:r>
      <w:r w:rsidRPr="008762D1">
        <w:rPr>
          <w:rFonts w:ascii="ITC Avant Garde" w:hAnsi="ITC Avant Garde" w:cs="Arial"/>
          <w:color w:val="000000" w:themeColor="text1"/>
          <w:sz w:val="18"/>
          <w:szCs w:val="18"/>
          <w:u w:val="single"/>
        </w:rPr>
        <w:t>95</w:t>
      </w:r>
      <w:r w:rsidRPr="008762D1">
        <w:rPr>
          <w:rFonts w:ascii="ITC Avant Garde" w:hAnsi="ITC Avant Garde" w:cs="Arial"/>
          <w:color w:val="000000" w:themeColor="text1"/>
          <w:sz w:val="18"/>
          <w:szCs w:val="18"/>
        </w:rPr>
        <w:t xml:space="preserve">% (noventa y nueve punto </w:t>
      </w:r>
      <w:r w:rsidRPr="008762D1">
        <w:rPr>
          <w:rFonts w:ascii="ITC Avant Garde" w:hAnsi="ITC Avant Garde" w:cs="Arial"/>
          <w:color w:val="000000" w:themeColor="text1"/>
          <w:sz w:val="18"/>
          <w:szCs w:val="18"/>
          <w:u w:val="single"/>
        </w:rPr>
        <w:t>nueve mil quinientos</w:t>
      </w:r>
      <w:r w:rsidRPr="008762D1">
        <w:rPr>
          <w:rFonts w:ascii="ITC Avant Garde" w:hAnsi="ITC Avant Garde" w:cs="Arial"/>
          <w:color w:val="000000" w:themeColor="text1"/>
          <w:sz w:val="18"/>
          <w:szCs w:val="18"/>
        </w:rPr>
        <w:t xml:space="preserve"> noventa y cinco por ciento).</w:t>
      </w:r>
    </w:p>
    <w:p w14:paraId="247219C7" w14:textId="77777777" w:rsidR="000F0B9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En los servicios Ethernet los parámetros de Calidad se validaran a la entrega de los Enlaces Dedicados de Interconexión basándose en la aplicación del estándar RFC 2544 del IETF considerando los siguientes valores:</w:t>
      </w:r>
    </w:p>
    <w:p w14:paraId="133E990A" w14:textId="2A1C8DA1" w:rsidR="00255C1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t>Tasa máxima de pérdida de paquetes de 10-4</w:t>
      </w:r>
    </w:p>
    <w:p w14:paraId="6381BFDD" w14:textId="77777777" w:rsidR="00255C1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t>Porcentaje de ancho de banda de la interfaz garantizada: 100% en la interfaz física de interconexión con el Concesionario.</w:t>
      </w:r>
    </w:p>
    <w:p w14:paraId="4F44D11C" w14:textId="77777777" w:rsidR="000F0B9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t xml:space="preserve">Retardo de Transmisión de Trama </w:t>
      </w:r>
      <w:r w:rsidRPr="008762D1">
        <w:rPr>
          <w:rFonts w:ascii="ITC Avant Garde" w:hAnsi="ITC Avant Garde" w:cs="Arial"/>
          <w:color w:val="000000" w:themeColor="text1"/>
          <w:sz w:val="18"/>
          <w:szCs w:val="18"/>
          <w:u w:val="single"/>
        </w:rPr>
        <w:t>(en un solo sentido)</w:t>
      </w:r>
      <w:r w:rsidRPr="008762D1">
        <w:rPr>
          <w:rFonts w:ascii="ITC Avant Garde" w:hAnsi="ITC Avant Garde" w:cs="Arial"/>
          <w:color w:val="000000" w:themeColor="text1"/>
          <w:sz w:val="18"/>
          <w:szCs w:val="18"/>
        </w:rPr>
        <w:t xml:space="preserve">: 6.2 mili segundos </w:t>
      </w:r>
      <w:r w:rsidRPr="008762D1">
        <w:rPr>
          <w:rFonts w:ascii="ITC Avant Garde" w:hAnsi="ITC Avant Garde" w:cs="Arial"/>
          <w:strike/>
          <w:color w:val="000000" w:themeColor="text1"/>
          <w:sz w:val="18"/>
          <w:szCs w:val="18"/>
        </w:rPr>
        <w:t>por cada 100 Km.</w:t>
      </w:r>
    </w:p>
    <w:p w14:paraId="74782172" w14:textId="77777777" w:rsidR="000F0B9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Estos parámetros se cumplirán de acuerdo con lo siguiente:</w:t>
      </w:r>
    </w:p>
    <w:p w14:paraId="2CAE56DB" w14:textId="77777777" w:rsidR="000F0B9F" w:rsidRPr="008762D1" w:rsidRDefault="00255C1F"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lastRenderedPageBreak/>
        <w:t>•</w:t>
      </w:r>
      <w:r w:rsidRPr="008762D1">
        <w:rPr>
          <w:rFonts w:ascii="ITC Avant Garde" w:hAnsi="ITC Avant Garde" w:cs="Arial"/>
          <w:color w:val="000000" w:themeColor="text1"/>
          <w:sz w:val="18"/>
          <w:szCs w:val="18"/>
        </w:rPr>
        <w:tab/>
        <w:t>Respecto al porcentaje del ancho de banda de la interfaz de capa física de interconexión con el Concesionario se garantiza el 100%.</w:t>
      </w:r>
    </w:p>
    <w:p w14:paraId="39B7D060" w14:textId="3FA80AAD" w:rsidR="00D93DEA" w:rsidRPr="008762D1" w:rsidRDefault="00255C1F" w:rsidP="000F0B9F">
      <w:pPr>
        <w:autoSpaceDE w:val="0"/>
        <w:autoSpaceDN w:val="0"/>
        <w:adjustRightInd w:val="0"/>
        <w:spacing w:before="240" w:after="0"/>
        <w:ind w:left="567" w:right="567"/>
        <w:jc w:val="both"/>
        <w:rPr>
          <w:rFonts w:ascii="ITC Avant Garde" w:hAnsi="ITC Avant Garde" w:cs="Arial"/>
          <w:strike/>
          <w:color w:val="000000" w:themeColor="text1"/>
          <w:sz w:val="18"/>
          <w:szCs w:val="18"/>
        </w:rPr>
      </w:pPr>
      <w:r w:rsidRPr="008762D1">
        <w:rPr>
          <w:rFonts w:ascii="ITC Avant Garde" w:hAnsi="ITC Avant Garde" w:cs="Arial"/>
          <w:color w:val="000000" w:themeColor="text1"/>
          <w:sz w:val="18"/>
          <w:szCs w:val="18"/>
        </w:rPr>
        <w:t>•</w:t>
      </w:r>
      <w:r w:rsidRPr="008762D1">
        <w:rPr>
          <w:rFonts w:ascii="ITC Avant Garde" w:hAnsi="ITC Avant Garde" w:cs="Arial"/>
          <w:color w:val="000000" w:themeColor="text1"/>
          <w:sz w:val="18"/>
          <w:szCs w:val="18"/>
        </w:rPr>
        <w:tab/>
      </w:r>
      <w:r w:rsidRPr="008762D1">
        <w:rPr>
          <w:rFonts w:ascii="ITC Avant Garde" w:hAnsi="ITC Avant Garde" w:cs="Arial"/>
          <w:strike/>
          <w:color w:val="000000" w:themeColor="text1"/>
          <w:sz w:val="18"/>
          <w:szCs w:val="18"/>
        </w:rPr>
        <w:t>El retardo de trama depende de la distancia, por lo que este parámetro se cumplirá para una distancia equivalente a 100 Km en un solo sentido y medido a la entrega del servicio para tráfico de usuario en su más alta prioridad (voz).</w:t>
      </w:r>
    </w:p>
    <w:p w14:paraId="33E83D16" w14:textId="77777777" w:rsidR="000F0B9F" w:rsidRPr="008762D1" w:rsidRDefault="00D93DEA"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r w:rsidR="00EA0CA3" w:rsidRPr="008762D1">
        <w:rPr>
          <w:rFonts w:ascii="ITC Avant Garde" w:hAnsi="ITC Avant Garde" w:cs="Arial"/>
          <w:color w:val="000000" w:themeColor="text1"/>
          <w:sz w:val="18"/>
          <w:szCs w:val="18"/>
        </w:rPr>
        <w:t>”</w:t>
      </w:r>
    </w:p>
    <w:p w14:paraId="0B4E5C91" w14:textId="77777777" w:rsidR="000F0B9F" w:rsidRPr="008762D1" w:rsidRDefault="00EA0CA3"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178AD08A" w14:textId="6F7C36C7"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74127C8A" w14:textId="77777777" w:rsidR="000F0B9F" w:rsidRPr="008762D1" w:rsidRDefault="00136026"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 presentó el numeral 2.6.6</w:t>
      </w:r>
      <w:r w:rsidR="00AB1284" w:rsidRPr="008762D1">
        <w:rPr>
          <w:rFonts w:cs="Arial"/>
          <w:color w:val="000000" w:themeColor="text1"/>
          <w:lang w:eastAsia="es-MX"/>
        </w:rPr>
        <w:t xml:space="preserve"> </w:t>
      </w:r>
      <w:r w:rsidRPr="008762D1">
        <w:rPr>
          <w:rFonts w:cs="Arial"/>
          <w:color w:val="000000" w:themeColor="text1"/>
          <w:lang w:eastAsia="es-MX"/>
        </w:rPr>
        <w:t xml:space="preserve">del Anexo G del CMI </w:t>
      </w:r>
      <w:r w:rsidR="00AB1284" w:rsidRPr="008762D1">
        <w:rPr>
          <w:rFonts w:cs="Arial"/>
          <w:color w:val="000000" w:themeColor="text1"/>
          <w:lang w:eastAsia="es-MX"/>
        </w:rPr>
        <w:t>en los términos señalados en el Acuerdo.</w:t>
      </w:r>
    </w:p>
    <w:p w14:paraId="118D1F94" w14:textId="5841EC48"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422DC782" w14:textId="77777777" w:rsidR="000F0B9F" w:rsidRPr="008762D1" w:rsidRDefault="00EF116D" w:rsidP="000F0B9F">
      <w:pPr>
        <w:pStyle w:val="IFT1"/>
        <w:tabs>
          <w:tab w:val="left" w:pos="0"/>
          <w:tab w:val="left" w:pos="567"/>
        </w:tabs>
        <w:autoSpaceDE w:val="0"/>
        <w:autoSpaceDN w:val="0"/>
        <w:adjustRightInd w:val="0"/>
        <w:spacing w:before="240" w:after="0"/>
        <w:rPr>
          <w:color w:val="000000" w:themeColor="text1"/>
        </w:rPr>
      </w:pPr>
      <w:r w:rsidRPr="008762D1">
        <w:rPr>
          <w:color w:val="000000" w:themeColor="text1"/>
        </w:rPr>
        <w:t xml:space="preserve">Al respecto se señala </w:t>
      </w:r>
      <w:r w:rsidR="00F57963" w:rsidRPr="008762D1">
        <w:rPr>
          <w:color w:val="000000" w:themeColor="text1"/>
        </w:rPr>
        <w:t>que</w:t>
      </w:r>
      <w:r w:rsidRPr="008762D1">
        <w:rPr>
          <w:color w:val="000000" w:themeColor="text1"/>
        </w:rPr>
        <w:t xml:space="preserve"> los parámetros de calidad </w:t>
      </w:r>
      <w:r w:rsidR="00F57963" w:rsidRPr="008762D1">
        <w:rPr>
          <w:color w:val="000000" w:themeColor="text1"/>
        </w:rPr>
        <w:t xml:space="preserve">establecidos en el numeral 2.6.6 del Anexo G del CMI </w:t>
      </w:r>
      <w:r w:rsidRPr="008762D1">
        <w:rPr>
          <w:color w:val="000000" w:themeColor="text1"/>
        </w:rPr>
        <w:t xml:space="preserve">son acorde a lo establecido en la Medida </w:t>
      </w:r>
      <w:r w:rsidR="00F57963" w:rsidRPr="008762D1">
        <w:rPr>
          <w:color w:val="000000" w:themeColor="text1"/>
        </w:rPr>
        <w:t xml:space="preserve">Decimonovena </w:t>
      </w:r>
      <w:r w:rsidR="002E5E14" w:rsidRPr="008762D1">
        <w:rPr>
          <w:color w:val="000000" w:themeColor="text1"/>
        </w:rPr>
        <w:t xml:space="preserve">de las Medidas Fijas, por lo que se considera procedente su </w:t>
      </w:r>
      <w:r w:rsidR="00032967" w:rsidRPr="008762D1">
        <w:rPr>
          <w:rFonts w:cs="Arial"/>
          <w:color w:val="000000" w:themeColor="text1"/>
          <w:lang w:eastAsia="es-MX"/>
        </w:rPr>
        <w:t>aprobación</w:t>
      </w:r>
      <w:r w:rsidR="002E5E14" w:rsidRPr="008762D1">
        <w:rPr>
          <w:color w:val="000000" w:themeColor="text1"/>
        </w:rPr>
        <w:t>.</w:t>
      </w:r>
    </w:p>
    <w:p w14:paraId="7AFB385B" w14:textId="77777777" w:rsidR="000F0B9F" w:rsidRPr="008762D1" w:rsidRDefault="00CF3326" w:rsidP="000F0B9F">
      <w:pPr>
        <w:pStyle w:val="IFT1"/>
        <w:numPr>
          <w:ilvl w:val="2"/>
          <w:numId w:val="9"/>
        </w:numPr>
        <w:tabs>
          <w:tab w:val="left" w:pos="284"/>
          <w:tab w:val="left" w:pos="567"/>
        </w:tabs>
        <w:spacing w:before="240" w:after="0"/>
        <w:ind w:left="863" w:hanging="863"/>
        <w:rPr>
          <w:b/>
          <w:color w:val="000000" w:themeColor="text1"/>
        </w:rPr>
      </w:pPr>
      <w:r w:rsidRPr="008762D1">
        <w:rPr>
          <w:b/>
          <w:color w:val="000000" w:themeColor="text1"/>
        </w:rPr>
        <w:t>PENALIZACIONES</w:t>
      </w:r>
      <w:r w:rsidR="0038500B" w:rsidRPr="008762D1">
        <w:rPr>
          <w:b/>
          <w:color w:val="000000" w:themeColor="text1"/>
        </w:rPr>
        <w:t>.</w:t>
      </w:r>
    </w:p>
    <w:p w14:paraId="7CD4F82A" w14:textId="714B90B4" w:rsidR="00392A75" w:rsidRPr="008762D1" w:rsidRDefault="00392A75" w:rsidP="000F0B9F">
      <w:pPr>
        <w:spacing w:before="240"/>
        <w:jc w:val="both"/>
        <w:rPr>
          <w:rFonts w:ascii="ITC Avant Garde" w:hAnsi="ITC Avant Garde"/>
          <w:color w:val="000000" w:themeColor="text1"/>
          <w:u w:val="single"/>
        </w:rPr>
      </w:pPr>
      <w:r w:rsidRPr="008762D1">
        <w:rPr>
          <w:rFonts w:ascii="ITC Avant Garde" w:hAnsi="ITC Avant Garde"/>
          <w:color w:val="000000" w:themeColor="text1"/>
          <w:u w:val="single"/>
        </w:rPr>
        <w:t>Análisis de la Propuesta de CMI</w:t>
      </w:r>
    </w:p>
    <w:p w14:paraId="379E4A50" w14:textId="77777777" w:rsidR="000F0B9F" w:rsidRPr="008762D1" w:rsidRDefault="00797811" w:rsidP="000F0B9F">
      <w:pPr>
        <w:spacing w:before="240" w:after="0" w:line="276" w:lineRule="auto"/>
        <w:jc w:val="both"/>
        <w:rPr>
          <w:rFonts w:ascii="ITC Avant Garde" w:hAnsi="ITC Avant Garde"/>
          <w:color w:val="000000" w:themeColor="text1"/>
        </w:rPr>
      </w:pPr>
      <w:r w:rsidRPr="008762D1">
        <w:rPr>
          <w:rFonts w:ascii="ITC Avant Garde" w:eastAsia="Times New Roman" w:hAnsi="ITC Avant Garde" w:cs="Arial"/>
          <w:iCs/>
          <w:color w:val="000000" w:themeColor="text1"/>
        </w:rPr>
        <w:t>Del análisis del Anexo G se observó que los términos establecidos no se apega</w:t>
      </w:r>
      <w:r w:rsidR="00440E3C" w:rsidRPr="008762D1">
        <w:rPr>
          <w:rFonts w:ascii="ITC Avant Garde" w:eastAsia="Times New Roman" w:hAnsi="ITC Avant Garde" w:cs="Arial"/>
          <w:iCs/>
          <w:color w:val="000000" w:themeColor="text1"/>
        </w:rPr>
        <w:t>ba</w:t>
      </w:r>
      <w:r w:rsidRPr="008762D1">
        <w:rPr>
          <w:rFonts w:ascii="ITC Avant Garde" w:eastAsia="Times New Roman" w:hAnsi="ITC Avant Garde" w:cs="Arial"/>
          <w:iCs/>
          <w:color w:val="000000" w:themeColor="text1"/>
        </w:rPr>
        <w:t xml:space="preserve">n al marco regulatorio vigente </w:t>
      </w:r>
      <w:r w:rsidRPr="008762D1">
        <w:rPr>
          <w:rFonts w:ascii="ITC Avant Garde" w:hAnsi="ITC Avant Garde" w:cs="Arial"/>
          <w:color w:val="000000" w:themeColor="text1"/>
        </w:rPr>
        <w:t>ni a</w:t>
      </w:r>
      <w:r w:rsidRPr="008762D1">
        <w:rPr>
          <w:rFonts w:ascii="ITC Avant Garde" w:hAnsi="ITC Avant Garde"/>
          <w:color w:val="000000" w:themeColor="text1"/>
        </w:rPr>
        <w:t xml:space="preserve"> los términos y condiciones </w:t>
      </w:r>
      <w:r w:rsidRPr="008762D1">
        <w:rPr>
          <w:rFonts w:ascii="ITC Avant Garde" w:hAnsi="ITC Avant Garde"/>
          <w:bCs/>
          <w:color w:val="000000" w:themeColor="text1"/>
        </w:rPr>
        <w:t xml:space="preserve">establecidos en el CMI 2017 </w:t>
      </w:r>
      <w:r w:rsidRPr="008762D1">
        <w:rPr>
          <w:rFonts w:ascii="ITC Avant Garde" w:hAnsi="ITC Avant Garde"/>
          <w:color w:val="000000" w:themeColor="text1"/>
        </w:rPr>
        <w:t xml:space="preserve">autorizado mediante Acuerdo </w:t>
      </w:r>
      <w:r w:rsidR="00DA661D" w:rsidRPr="008762D1">
        <w:rPr>
          <w:rFonts w:ascii="ITC Avant Garde" w:hAnsi="ITC Avant Garde" w:cs="Arial"/>
          <w:bCs/>
          <w:color w:val="000000" w:themeColor="text1"/>
          <w:lang w:eastAsia="es-ES"/>
        </w:rPr>
        <w:t>P/IFT/EXT/241116/40</w:t>
      </w:r>
      <w:r w:rsidRPr="008762D1">
        <w:rPr>
          <w:rFonts w:ascii="ITC Avant Garde" w:hAnsi="ITC Avant Garde" w:cs="Arial"/>
          <w:bCs/>
          <w:color w:val="000000" w:themeColor="text1"/>
          <w:lang w:eastAsia="es-ES"/>
        </w:rPr>
        <w:t xml:space="preserve"> </w:t>
      </w:r>
      <w:r w:rsidRPr="008762D1">
        <w:rPr>
          <w:rFonts w:ascii="ITC Avant Garde" w:hAnsi="ITC Avant Garde"/>
          <w:bCs/>
          <w:color w:val="000000" w:themeColor="text1"/>
        </w:rPr>
        <w:t>y, toda vez que el propósito de revisar anualmente el instrumento regulatorio es mejorar, o precisar las condiciones, así como ajustarse a la evolución tecnológica del sector, y de ninguna forma se justifica la existencia de retrocesos en la regul</w:t>
      </w:r>
      <w:r w:rsidR="00440E3C" w:rsidRPr="008762D1">
        <w:rPr>
          <w:rFonts w:ascii="ITC Avant Garde" w:hAnsi="ITC Avant Garde"/>
          <w:bCs/>
          <w:color w:val="000000" w:themeColor="text1"/>
        </w:rPr>
        <w:t>ación; el Instituto no consideró</w:t>
      </w:r>
      <w:r w:rsidRPr="008762D1">
        <w:rPr>
          <w:rFonts w:ascii="ITC Avant Garde" w:hAnsi="ITC Avant Garde"/>
          <w:bCs/>
          <w:color w:val="000000" w:themeColor="text1"/>
        </w:rPr>
        <w:t xml:space="preserve"> procedente que en una revisión posterior del convenio ma</w:t>
      </w:r>
      <w:r w:rsidR="00440E3C" w:rsidRPr="008762D1">
        <w:rPr>
          <w:rFonts w:ascii="ITC Avant Garde" w:hAnsi="ITC Avant Garde"/>
          <w:bCs/>
          <w:color w:val="000000" w:themeColor="text1"/>
        </w:rPr>
        <w:t>rco de interconexión se plantearan</w:t>
      </w:r>
      <w:r w:rsidRPr="008762D1">
        <w:rPr>
          <w:rFonts w:ascii="ITC Avant Garde" w:hAnsi="ITC Avant Garde"/>
          <w:bCs/>
          <w:color w:val="000000" w:themeColor="text1"/>
        </w:rPr>
        <w:t xml:space="preserve"> términos y condiciones menos favorables que los ya autorizados por el Instituto.</w:t>
      </w:r>
    </w:p>
    <w:p w14:paraId="5E28C704" w14:textId="77777777" w:rsidR="000F0B9F" w:rsidRPr="008762D1" w:rsidRDefault="00392A75" w:rsidP="000F0B9F">
      <w:pPr>
        <w:pStyle w:val="IFT1"/>
        <w:tabs>
          <w:tab w:val="left" w:pos="0"/>
          <w:tab w:val="left" w:pos="567"/>
        </w:tabs>
        <w:autoSpaceDE w:val="0"/>
        <w:autoSpaceDN w:val="0"/>
        <w:adjustRightInd w:val="0"/>
        <w:spacing w:before="240" w:after="0"/>
        <w:rPr>
          <w:snapToGrid w:val="0"/>
          <w:color w:val="000000" w:themeColor="text1"/>
        </w:rPr>
      </w:pPr>
      <w:r w:rsidRPr="008762D1">
        <w:rPr>
          <w:snapToGrid w:val="0"/>
          <w:color w:val="000000" w:themeColor="text1"/>
        </w:rPr>
        <w:t>Lo anterior, dado que e</w:t>
      </w:r>
      <w:r w:rsidR="00B329B2" w:rsidRPr="008762D1">
        <w:rPr>
          <w:snapToGrid w:val="0"/>
          <w:color w:val="000000" w:themeColor="text1"/>
        </w:rPr>
        <w:t xml:space="preserve">n el numeral </w:t>
      </w:r>
      <w:r w:rsidR="00911332" w:rsidRPr="008762D1">
        <w:rPr>
          <w:snapToGrid w:val="0"/>
          <w:color w:val="000000" w:themeColor="text1"/>
        </w:rPr>
        <w:t>2.7</w:t>
      </w:r>
      <w:r w:rsidR="001F43F9" w:rsidRPr="008762D1">
        <w:rPr>
          <w:snapToGrid w:val="0"/>
          <w:color w:val="000000" w:themeColor="text1"/>
        </w:rPr>
        <w:t>.1</w:t>
      </w:r>
      <w:r w:rsidR="00911332" w:rsidRPr="008762D1">
        <w:rPr>
          <w:snapToGrid w:val="0"/>
          <w:color w:val="000000" w:themeColor="text1"/>
        </w:rPr>
        <w:t xml:space="preserve"> se presentan montos menores de penalización por entregas tardías</w:t>
      </w:r>
      <w:r w:rsidR="001F43F9" w:rsidRPr="008762D1">
        <w:rPr>
          <w:snapToGrid w:val="0"/>
          <w:color w:val="000000" w:themeColor="text1"/>
        </w:rPr>
        <w:t xml:space="preserve">, asimismo el numeral 2.7.2 considera un periodo anual para el cálculo de las penalizaciones. En el mismo sentido, en el numeral 2.7.4 Procedimiento de liquidación de penalizaciones no se establece como </w:t>
      </w:r>
      <w:r w:rsidR="00B329B2" w:rsidRPr="008762D1">
        <w:rPr>
          <w:snapToGrid w:val="0"/>
          <w:color w:val="000000" w:themeColor="text1"/>
        </w:rPr>
        <w:t>parte del procedimiento de liquidación de penalizaciones</w:t>
      </w:r>
      <w:r w:rsidR="001F43F9" w:rsidRPr="008762D1">
        <w:rPr>
          <w:snapToGrid w:val="0"/>
          <w:color w:val="000000" w:themeColor="text1"/>
        </w:rPr>
        <w:t xml:space="preserve"> la</w:t>
      </w:r>
      <w:r w:rsidR="00B329B2" w:rsidRPr="008762D1">
        <w:rPr>
          <w:snapToGrid w:val="0"/>
          <w:color w:val="000000" w:themeColor="text1"/>
        </w:rPr>
        <w:t xml:space="preserve"> conciliación de las mismas así como el periodo dentro del cual se realizará dicho procedimiento, por l</w:t>
      </w:r>
      <w:r w:rsidR="00310EA7" w:rsidRPr="008762D1">
        <w:rPr>
          <w:snapToGrid w:val="0"/>
          <w:color w:val="000000" w:themeColor="text1"/>
        </w:rPr>
        <w:t>o anterior</w:t>
      </w:r>
      <w:r w:rsidRPr="008762D1">
        <w:rPr>
          <w:snapToGrid w:val="0"/>
          <w:color w:val="000000" w:themeColor="text1"/>
        </w:rPr>
        <w:t xml:space="preserve"> el Instituto </w:t>
      </w:r>
      <w:r w:rsidR="00633311" w:rsidRPr="008762D1">
        <w:rPr>
          <w:snapToGrid w:val="0"/>
          <w:color w:val="000000" w:themeColor="text1"/>
        </w:rPr>
        <w:t xml:space="preserve">modificó los </w:t>
      </w:r>
      <w:r w:rsidR="001F43F9" w:rsidRPr="008762D1">
        <w:rPr>
          <w:snapToGrid w:val="0"/>
          <w:color w:val="000000" w:themeColor="text1"/>
        </w:rPr>
        <w:t>numerales 2.7.1, 2.7.2 y 2.7.4, en el siguiente sentido:</w:t>
      </w:r>
    </w:p>
    <w:p w14:paraId="70832ED6" w14:textId="77777777" w:rsidR="000F0B9F" w:rsidRPr="008762D1" w:rsidRDefault="007A2C0D"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lastRenderedPageBreak/>
        <w:t>“</w:t>
      </w:r>
      <w:r w:rsidR="001F43F9" w:rsidRPr="008762D1">
        <w:rPr>
          <w:rFonts w:ascii="ITC Avant Garde" w:hAnsi="ITC Avant Garde" w:cs="Arial"/>
          <w:color w:val="000000" w:themeColor="text1"/>
          <w:sz w:val="18"/>
          <w:szCs w:val="18"/>
        </w:rPr>
        <w:t>2.7 Penalizaciones.</w:t>
      </w:r>
    </w:p>
    <w:p w14:paraId="2CB24499" w14:textId="77777777" w:rsidR="000F0B9F" w:rsidRPr="008762D1" w:rsidRDefault="001F43F9"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2.7.1 La penalización por entregas tardías se calculará considerando el monto económico correspondiente </w:t>
      </w:r>
      <w:r w:rsidR="008972BF" w:rsidRPr="008762D1">
        <w:rPr>
          <w:rFonts w:ascii="ITC Avant Garde" w:hAnsi="ITC Avant Garde" w:cs="Arial"/>
          <w:strike/>
          <w:color w:val="000000" w:themeColor="text1"/>
          <w:sz w:val="18"/>
          <w:szCs w:val="18"/>
        </w:rPr>
        <w:t xml:space="preserve">de la renta proporcional a los días </w:t>
      </w:r>
      <w:r w:rsidRPr="008762D1">
        <w:rPr>
          <w:rFonts w:ascii="ITC Avant Garde" w:hAnsi="ITC Avant Garde" w:cs="Arial"/>
          <w:color w:val="000000" w:themeColor="text1"/>
          <w:sz w:val="18"/>
          <w:szCs w:val="18"/>
          <w:u w:val="single"/>
        </w:rPr>
        <w:t>al 10% de la renta mensual del enlace por cada día (hábil)</w:t>
      </w:r>
      <w:r w:rsidRPr="008762D1">
        <w:rPr>
          <w:rFonts w:ascii="ITC Avant Garde" w:hAnsi="ITC Avant Garde" w:cs="Arial"/>
          <w:color w:val="000000" w:themeColor="text1"/>
          <w:sz w:val="18"/>
          <w:szCs w:val="18"/>
        </w:rPr>
        <w:t xml:space="preserve"> de retraso en la entrega, respecto a las fechas comprometidas del servicio en cuestión, </w:t>
      </w:r>
      <w:r w:rsidRPr="008762D1">
        <w:rPr>
          <w:rFonts w:ascii="ITC Avant Garde" w:hAnsi="ITC Avant Garde" w:cs="Arial"/>
          <w:color w:val="000000" w:themeColor="text1"/>
          <w:sz w:val="18"/>
          <w:szCs w:val="18"/>
          <w:u w:val="single"/>
        </w:rPr>
        <w:t>hasta por un máximo de seis rentas mensuales</w:t>
      </w:r>
      <w:r w:rsidRPr="008762D1">
        <w:rPr>
          <w:rFonts w:ascii="ITC Avant Garde" w:hAnsi="ITC Avant Garde" w:cs="Arial"/>
          <w:color w:val="000000" w:themeColor="text1"/>
          <w:sz w:val="18"/>
          <w:szCs w:val="18"/>
        </w:rPr>
        <w:t>.</w:t>
      </w:r>
    </w:p>
    <w:p w14:paraId="32E95CEA" w14:textId="77777777" w:rsidR="000F0B9F" w:rsidRPr="008762D1" w:rsidRDefault="001F43F9"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2.7.2 Por incumplimiento en los parámetros de disponibilidad, se calculará de acuerdo a lo siguiente:</w:t>
      </w:r>
    </w:p>
    <w:p w14:paraId="7346ED0F" w14:textId="4DFE6158" w:rsidR="001F43F9" w:rsidRPr="008762D1" w:rsidRDefault="001F43F9" w:rsidP="00A04FEF">
      <w:pPr>
        <w:autoSpaceDE w:val="0"/>
        <w:autoSpaceDN w:val="0"/>
        <w:adjustRightInd w:val="0"/>
        <w:spacing w:before="24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Para Enlaces Dedicados de Interconexión:</w:t>
      </w:r>
    </w:p>
    <w:tbl>
      <w:tblPr>
        <w:tblStyle w:val="Cuadrculadetablaclara"/>
        <w:tblW w:w="5665" w:type="dxa"/>
        <w:jc w:val="center"/>
        <w:tblLook w:val="00A0" w:firstRow="1" w:lastRow="0" w:firstColumn="1" w:lastColumn="0" w:noHBand="0" w:noVBand="0"/>
        <w:tblCaption w:val="Tabla"/>
        <w:tblDescription w:val="Rango disponibilidad trimestral sin redundancia"/>
      </w:tblPr>
      <w:tblGrid>
        <w:gridCol w:w="1705"/>
        <w:gridCol w:w="1976"/>
        <w:gridCol w:w="1984"/>
      </w:tblGrid>
      <w:tr w:rsidR="008762D1" w:rsidRPr="008762D1" w14:paraId="49B74245" w14:textId="77777777" w:rsidTr="00036A6A">
        <w:trPr>
          <w:tblHeader/>
          <w:jc w:val="center"/>
        </w:trPr>
        <w:tc>
          <w:tcPr>
            <w:tcW w:w="1705" w:type="dxa"/>
            <w:hideMark/>
          </w:tcPr>
          <w:p w14:paraId="66CF63AF" w14:textId="77777777" w:rsidR="001F43F9" w:rsidRPr="008762D1" w:rsidRDefault="001F43F9" w:rsidP="00233A05">
            <w:pPr>
              <w:autoSpaceDE w:val="0"/>
              <w:autoSpaceDN w:val="0"/>
              <w:adjustRightInd w:val="0"/>
              <w:ind w:right="180"/>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Rango disponibilidad trimestral sin redundancia</w:t>
            </w:r>
          </w:p>
        </w:tc>
        <w:tc>
          <w:tcPr>
            <w:tcW w:w="1976" w:type="dxa"/>
            <w:hideMark/>
          </w:tcPr>
          <w:p w14:paraId="3D3025EA" w14:textId="77777777" w:rsidR="001F43F9" w:rsidRPr="008762D1" w:rsidRDefault="001F43F9" w:rsidP="00233A05">
            <w:pPr>
              <w:autoSpaceDE w:val="0"/>
              <w:autoSpaceDN w:val="0"/>
              <w:adjustRightInd w:val="0"/>
              <w:ind w:right="3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Rango disponibilidad trimestral con redundancia</w:t>
            </w:r>
          </w:p>
        </w:tc>
        <w:tc>
          <w:tcPr>
            <w:tcW w:w="1984" w:type="dxa"/>
            <w:hideMark/>
          </w:tcPr>
          <w:p w14:paraId="7B2B5DB7" w14:textId="77777777" w:rsidR="001F43F9" w:rsidRPr="008762D1" w:rsidRDefault="001F43F9" w:rsidP="00233A05">
            <w:pPr>
              <w:autoSpaceDE w:val="0"/>
              <w:autoSpaceDN w:val="0"/>
              <w:adjustRightInd w:val="0"/>
              <w:ind w:right="39"/>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Porcentaje de la renta trimestral del servicio con falla.</w:t>
            </w:r>
          </w:p>
        </w:tc>
      </w:tr>
      <w:tr w:rsidR="008762D1" w:rsidRPr="008762D1" w14:paraId="57BA31C3" w14:textId="77777777" w:rsidTr="00036A6A">
        <w:trPr>
          <w:jc w:val="center"/>
        </w:trPr>
        <w:tc>
          <w:tcPr>
            <w:tcW w:w="1705" w:type="dxa"/>
            <w:hideMark/>
          </w:tcPr>
          <w:p w14:paraId="16763699" w14:textId="77777777" w:rsidR="001F43F9" w:rsidRPr="008762D1" w:rsidRDefault="001F43F9" w:rsidP="00233A05">
            <w:pPr>
              <w:autoSpaceDE w:val="0"/>
              <w:autoSpaceDN w:val="0"/>
              <w:adjustRightInd w:val="0"/>
              <w:ind w:left="29" w:right="38"/>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99% a  &lt;99.</w:t>
            </w:r>
            <w:r w:rsidR="008972BF" w:rsidRPr="008762D1">
              <w:rPr>
                <w:rFonts w:ascii="ITC Avant Garde" w:hAnsi="ITC Avant Garde" w:cs="Arial"/>
                <w:strike/>
                <w:color w:val="000000" w:themeColor="text1"/>
                <w:sz w:val="18"/>
                <w:szCs w:val="18"/>
              </w:rPr>
              <w:t>6</w:t>
            </w:r>
            <w:r w:rsidRPr="008762D1">
              <w:rPr>
                <w:rFonts w:ascii="ITC Avant Garde" w:hAnsi="ITC Avant Garde" w:cs="Arial"/>
                <w:color w:val="000000" w:themeColor="text1"/>
                <w:sz w:val="18"/>
                <w:szCs w:val="18"/>
                <w:u w:val="single"/>
              </w:rPr>
              <w:t>7</w:t>
            </w:r>
            <w:r w:rsidRPr="008762D1">
              <w:rPr>
                <w:rFonts w:ascii="ITC Avant Garde" w:hAnsi="ITC Avant Garde" w:cs="Arial"/>
                <w:color w:val="000000" w:themeColor="text1"/>
                <w:sz w:val="18"/>
                <w:szCs w:val="18"/>
              </w:rPr>
              <w:t>0%</w:t>
            </w:r>
          </w:p>
        </w:tc>
        <w:tc>
          <w:tcPr>
            <w:tcW w:w="1976" w:type="dxa"/>
            <w:hideMark/>
          </w:tcPr>
          <w:p w14:paraId="501943C7" w14:textId="77777777" w:rsidR="001F43F9" w:rsidRPr="008762D1" w:rsidRDefault="001F43F9" w:rsidP="00233A05">
            <w:pPr>
              <w:autoSpaceDE w:val="0"/>
              <w:autoSpaceDN w:val="0"/>
              <w:adjustRightInd w:val="0"/>
              <w:ind w:left="29" w:right="37"/>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99% a  &lt;99.95%</w:t>
            </w:r>
          </w:p>
        </w:tc>
        <w:tc>
          <w:tcPr>
            <w:tcW w:w="1984" w:type="dxa"/>
            <w:hideMark/>
          </w:tcPr>
          <w:p w14:paraId="744A0BF8" w14:textId="77777777" w:rsidR="001F43F9" w:rsidRPr="008762D1" w:rsidRDefault="001F43F9" w:rsidP="00233A05">
            <w:pPr>
              <w:autoSpaceDE w:val="0"/>
              <w:autoSpaceDN w:val="0"/>
              <w:adjustRightInd w:val="0"/>
              <w:ind w:left="30" w:right="39"/>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0.5</w:t>
            </w:r>
            <w:r w:rsidRPr="008762D1">
              <w:rPr>
                <w:rFonts w:ascii="ITC Avant Garde" w:hAnsi="ITC Avant Garde" w:cs="Arial"/>
                <w:color w:val="000000" w:themeColor="text1"/>
                <w:sz w:val="18"/>
                <w:szCs w:val="18"/>
                <w:u w:val="single"/>
              </w:rPr>
              <w:t>5</w:t>
            </w:r>
            <w:r w:rsidRPr="008762D1">
              <w:rPr>
                <w:rFonts w:ascii="ITC Avant Garde" w:hAnsi="ITC Avant Garde" w:cs="Arial"/>
                <w:color w:val="000000" w:themeColor="text1"/>
                <w:sz w:val="18"/>
                <w:szCs w:val="18"/>
              </w:rPr>
              <w:t>%</w:t>
            </w:r>
          </w:p>
        </w:tc>
      </w:tr>
      <w:tr w:rsidR="008762D1" w:rsidRPr="008762D1" w14:paraId="026CAA72" w14:textId="77777777" w:rsidTr="00036A6A">
        <w:trPr>
          <w:jc w:val="center"/>
        </w:trPr>
        <w:tc>
          <w:tcPr>
            <w:tcW w:w="1705" w:type="dxa"/>
            <w:hideMark/>
          </w:tcPr>
          <w:p w14:paraId="1D13EBAB" w14:textId="77777777" w:rsidR="001F43F9" w:rsidRPr="008762D1" w:rsidRDefault="001F43F9" w:rsidP="00233A05">
            <w:pPr>
              <w:autoSpaceDE w:val="0"/>
              <w:autoSpaceDN w:val="0"/>
              <w:adjustRightInd w:val="0"/>
              <w:ind w:left="29" w:right="38"/>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98% a &lt;  99%</w:t>
            </w:r>
          </w:p>
        </w:tc>
        <w:tc>
          <w:tcPr>
            <w:tcW w:w="1976" w:type="dxa"/>
            <w:hideMark/>
          </w:tcPr>
          <w:p w14:paraId="2044D331" w14:textId="77777777" w:rsidR="001F43F9" w:rsidRPr="008762D1" w:rsidRDefault="001F43F9" w:rsidP="00233A05">
            <w:pPr>
              <w:autoSpaceDE w:val="0"/>
              <w:autoSpaceDN w:val="0"/>
              <w:adjustRightInd w:val="0"/>
              <w:ind w:left="29" w:right="38"/>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98% a &lt;  99%</w:t>
            </w:r>
          </w:p>
        </w:tc>
        <w:tc>
          <w:tcPr>
            <w:tcW w:w="1984" w:type="dxa"/>
            <w:hideMark/>
          </w:tcPr>
          <w:p w14:paraId="0B66D100" w14:textId="77777777" w:rsidR="001F43F9" w:rsidRPr="008762D1" w:rsidRDefault="001F43F9" w:rsidP="00233A05">
            <w:pPr>
              <w:autoSpaceDE w:val="0"/>
              <w:autoSpaceDN w:val="0"/>
              <w:adjustRightInd w:val="0"/>
              <w:ind w:left="29" w:right="38"/>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0.8</w:t>
            </w:r>
            <w:r w:rsidRPr="008762D1">
              <w:rPr>
                <w:rFonts w:ascii="ITC Avant Garde" w:hAnsi="ITC Avant Garde" w:cs="Arial"/>
                <w:color w:val="000000" w:themeColor="text1"/>
                <w:sz w:val="18"/>
                <w:szCs w:val="18"/>
                <w:u w:val="single"/>
              </w:rPr>
              <w:t>5</w:t>
            </w:r>
            <w:r w:rsidRPr="008762D1">
              <w:rPr>
                <w:rFonts w:ascii="ITC Avant Garde" w:hAnsi="ITC Avant Garde" w:cs="Arial"/>
                <w:color w:val="000000" w:themeColor="text1"/>
                <w:sz w:val="18"/>
                <w:szCs w:val="18"/>
              </w:rPr>
              <w:t>%</w:t>
            </w:r>
          </w:p>
        </w:tc>
      </w:tr>
      <w:tr w:rsidR="00A04FEF" w:rsidRPr="008762D1" w14:paraId="00D6C4AD" w14:textId="77777777" w:rsidTr="00036A6A">
        <w:trPr>
          <w:jc w:val="center"/>
        </w:trPr>
        <w:tc>
          <w:tcPr>
            <w:tcW w:w="1705" w:type="dxa"/>
            <w:hideMark/>
          </w:tcPr>
          <w:p w14:paraId="1DD388CB" w14:textId="77777777" w:rsidR="001F43F9" w:rsidRPr="008762D1" w:rsidRDefault="001F43F9" w:rsidP="00233A05">
            <w:pPr>
              <w:autoSpaceDE w:val="0"/>
              <w:autoSpaceDN w:val="0"/>
              <w:adjustRightInd w:val="0"/>
              <w:ind w:left="29" w:right="38"/>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&lt;  98%</w:t>
            </w:r>
          </w:p>
        </w:tc>
        <w:tc>
          <w:tcPr>
            <w:tcW w:w="1976" w:type="dxa"/>
            <w:hideMark/>
          </w:tcPr>
          <w:p w14:paraId="5733A21F" w14:textId="77777777" w:rsidR="001F43F9" w:rsidRPr="008762D1" w:rsidRDefault="001F43F9" w:rsidP="00233A05">
            <w:pPr>
              <w:autoSpaceDE w:val="0"/>
              <w:autoSpaceDN w:val="0"/>
              <w:adjustRightInd w:val="0"/>
              <w:ind w:left="29" w:right="38"/>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&lt; 98%</w:t>
            </w:r>
          </w:p>
        </w:tc>
        <w:tc>
          <w:tcPr>
            <w:tcW w:w="1984" w:type="dxa"/>
            <w:hideMark/>
          </w:tcPr>
          <w:p w14:paraId="72DF6FF3" w14:textId="77777777" w:rsidR="001F43F9" w:rsidRPr="008762D1" w:rsidRDefault="001F43F9" w:rsidP="00233A05">
            <w:pPr>
              <w:autoSpaceDE w:val="0"/>
              <w:autoSpaceDN w:val="0"/>
              <w:adjustRightInd w:val="0"/>
              <w:ind w:left="29" w:right="38"/>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1.2</w:t>
            </w:r>
            <w:r w:rsidRPr="008762D1">
              <w:rPr>
                <w:rFonts w:ascii="ITC Avant Garde" w:hAnsi="ITC Avant Garde" w:cs="Arial"/>
                <w:color w:val="000000" w:themeColor="text1"/>
                <w:sz w:val="18"/>
                <w:szCs w:val="18"/>
                <w:u w:val="single"/>
              </w:rPr>
              <w:t>5</w:t>
            </w:r>
            <w:r w:rsidRPr="008762D1">
              <w:rPr>
                <w:rFonts w:ascii="ITC Avant Garde" w:hAnsi="ITC Avant Garde" w:cs="Arial"/>
                <w:color w:val="000000" w:themeColor="text1"/>
                <w:sz w:val="18"/>
                <w:szCs w:val="18"/>
              </w:rPr>
              <w:t>%</w:t>
            </w:r>
          </w:p>
        </w:tc>
      </w:tr>
    </w:tbl>
    <w:p w14:paraId="7AD8FE25" w14:textId="77777777" w:rsidR="000F0B9F" w:rsidRPr="008762D1" w:rsidRDefault="001F43F9"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2.7.3 Se aplicarán penalizaciones para el Concesionario Solicitante en todos aquellos casos donde se demuestre que la falla es imputable al Concesionario Solicitante, con el 1.2% de la renta mensual del servicio reportado y los tiempos acumulados de esos incidentes (falsos negativos) se restarán de la indisponibilidad total computada a Telmex en el año.</w:t>
      </w:r>
    </w:p>
    <w:p w14:paraId="58FC949F" w14:textId="77777777" w:rsidR="000F0B9F" w:rsidRPr="008762D1" w:rsidRDefault="001F43F9"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2.7.4 Procedimiento de liquidación de penalizaciones.</w:t>
      </w:r>
    </w:p>
    <w:p w14:paraId="2EE0D9CA" w14:textId="77777777" w:rsidR="000F0B9F" w:rsidRPr="008762D1" w:rsidRDefault="001F43F9"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Todas las penalidades en que hayan incurrido los contratantes deberán ser identificadas y aceptadas por Telmex y el Concesionario Solicitante. Asimismo, cuando incurran en una penalización, se procederá a determinar el monto en moneda de circulación nacional.</w:t>
      </w:r>
    </w:p>
    <w:p w14:paraId="1275AA49" w14:textId="77777777" w:rsidR="000F0B9F" w:rsidRPr="008762D1" w:rsidRDefault="001F43F9"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La liquidación de las penalizaciones se llevará a cabo facturándose de manera independiente al resto de conceptos facturables asociados a la prestación de servicio. Los mismos términos y condiciones de pago que son aplicables a las facturas por prestación de servicios serán también de aplicación al pago de las penalizaciones.</w:t>
      </w:r>
    </w:p>
    <w:p w14:paraId="26AF1E06" w14:textId="77777777" w:rsidR="000F0B9F" w:rsidRPr="008762D1" w:rsidRDefault="001F43F9"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Para la liquidación de las penalizaciones, las partes se comprometen a pagar el monto de las mismas </w:t>
      </w:r>
      <w:r w:rsidRPr="008762D1">
        <w:rPr>
          <w:rFonts w:ascii="ITC Avant Garde" w:hAnsi="ITC Avant Garde" w:cs="Arial"/>
          <w:color w:val="000000" w:themeColor="text1"/>
          <w:sz w:val="18"/>
          <w:szCs w:val="18"/>
          <w:u w:val="single"/>
        </w:rPr>
        <w:t>en términos de lo establecido en el numeral 4.4 del Convenio, o si así lo deciden ambas partes será en</w:t>
      </w:r>
      <w:r w:rsidRPr="008762D1">
        <w:rPr>
          <w:rFonts w:ascii="ITC Avant Garde" w:hAnsi="ITC Avant Garde" w:cs="Arial"/>
          <w:color w:val="000000" w:themeColor="text1"/>
          <w:sz w:val="18"/>
          <w:szCs w:val="18"/>
        </w:rPr>
        <w:t xml:space="preserve"> los tiempos que acuerden y de la forma en que convengan.</w:t>
      </w:r>
    </w:p>
    <w:p w14:paraId="74B2AD07" w14:textId="47125E0E" w:rsidR="007A2C0D" w:rsidRPr="008762D1" w:rsidRDefault="007A2C0D" w:rsidP="000F0B9F">
      <w:pPr>
        <w:autoSpaceDE w:val="0"/>
        <w:autoSpaceDN w:val="0"/>
        <w:adjustRightInd w:val="0"/>
        <w:spacing w:before="240" w:after="0"/>
        <w:ind w:left="567" w:right="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w:t>
      </w:r>
    </w:p>
    <w:p w14:paraId="7F3D3884" w14:textId="77777777" w:rsidR="000F0B9F" w:rsidRPr="008762D1" w:rsidRDefault="007A2C0D" w:rsidP="000F0B9F">
      <w:pPr>
        <w:pStyle w:val="IFT1"/>
        <w:spacing w:before="240" w:after="0"/>
        <w:ind w:right="567"/>
        <w:jc w:val="right"/>
        <w:rPr>
          <w:rFonts w:cs="Arial"/>
          <w:iCs w:val="0"/>
          <w:color w:val="000000" w:themeColor="text1"/>
          <w:sz w:val="18"/>
          <w:szCs w:val="18"/>
        </w:rPr>
      </w:pPr>
      <w:r w:rsidRPr="008762D1">
        <w:rPr>
          <w:rFonts w:cs="Arial"/>
          <w:iCs w:val="0"/>
          <w:color w:val="000000" w:themeColor="text1"/>
          <w:sz w:val="18"/>
          <w:szCs w:val="18"/>
        </w:rPr>
        <w:t>Énfasis añadido</w:t>
      </w:r>
    </w:p>
    <w:p w14:paraId="34D9F4FD" w14:textId="271F84FA"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CMI Modificado</w:t>
      </w:r>
    </w:p>
    <w:p w14:paraId="37283847" w14:textId="77777777" w:rsidR="000F0B9F" w:rsidRPr="008762D1" w:rsidRDefault="008972BF" w:rsidP="000F0B9F">
      <w:pPr>
        <w:pStyle w:val="IFT1"/>
        <w:tabs>
          <w:tab w:val="left" w:pos="426"/>
        </w:tabs>
        <w:autoSpaceDE w:val="0"/>
        <w:autoSpaceDN w:val="0"/>
        <w:adjustRightInd w:val="0"/>
        <w:spacing w:before="240" w:after="0"/>
        <w:ind w:right="49"/>
        <w:rPr>
          <w:rFonts w:cs="Arial"/>
          <w:color w:val="000000" w:themeColor="text1"/>
          <w:lang w:eastAsia="es-MX"/>
        </w:rPr>
      </w:pPr>
      <w:r w:rsidRPr="008762D1">
        <w:rPr>
          <w:rFonts w:cs="Arial"/>
          <w:color w:val="000000" w:themeColor="text1"/>
          <w:lang w:eastAsia="es-MX"/>
        </w:rPr>
        <w:t>Telmex presentó el numeral 2.7</w:t>
      </w:r>
      <w:r w:rsidR="00AB1284" w:rsidRPr="008762D1">
        <w:rPr>
          <w:rFonts w:cs="Arial"/>
          <w:color w:val="000000" w:themeColor="text1"/>
          <w:lang w:eastAsia="es-MX"/>
        </w:rPr>
        <w:t xml:space="preserve"> </w:t>
      </w:r>
      <w:r w:rsidRPr="008762D1">
        <w:rPr>
          <w:rFonts w:cs="Arial"/>
          <w:color w:val="000000" w:themeColor="text1"/>
          <w:lang w:eastAsia="es-MX"/>
        </w:rPr>
        <w:t>Penalizaciones</w:t>
      </w:r>
      <w:r w:rsidR="00AB1284" w:rsidRPr="008762D1">
        <w:rPr>
          <w:rFonts w:cs="Arial"/>
          <w:color w:val="000000" w:themeColor="text1"/>
          <w:lang w:eastAsia="es-MX"/>
        </w:rPr>
        <w:t xml:space="preserve"> en los términos señalados en el Acuerdo.</w:t>
      </w:r>
    </w:p>
    <w:p w14:paraId="36CB91B9" w14:textId="6AAE2E04" w:rsidR="001F1755" w:rsidRPr="008762D1" w:rsidRDefault="001F1755" w:rsidP="000F0B9F">
      <w:pPr>
        <w:spacing w:before="240" w:line="276" w:lineRule="auto"/>
        <w:jc w:val="both"/>
        <w:rPr>
          <w:rFonts w:ascii="ITC Avant Garde" w:hAnsi="ITC Avant Garde"/>
          <w:color w:val="000000" w:themeColor="text1"/>
          <w:u w:val="single"/>
        </w:rPr>
      </w:pPr>
      <w:r w:rsidRPr="008762D1">
        <w:rPr>
          <w:rFonts w:ascii="ITC Avant Garde" w:hAnsi="ITC Avant Garde"/>
          <w:color w:val="000000" w:themeColor="text1"/>
          <w:u w:val="single"/>
        </w:rPr>
        <w:t>Análisis del CMI Modificado</w:t>
      </w:r>
    </w:p>
    <w:p w14:paraId="37D111E5" w14:textId="77777777" w:rsidR="000F0B9F" w:rsidRPr="008762D1" w:rsidRDefault="0078341C"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lastRenderedPageBreak/>
        <w:t>Del análisis realizado a los intervalos de disponibilidad considerados para la determinación de penalizaciones por incumplimiento en la misma, se observó que existía el intervalo de 99.92% a 99.7%</w:t>
      </w:r>
      <w:r w:rsidR="006C4656" w:rsidRPr="008762D1">
        <w:rPr>
          <w:rFonts w:ascii="ITC Avant Garde" w:hAnsi="ITC Avant Garde"/>
          <w:color w:val="000000" w:themeColor="text1"/>
        </w:rPr>
        <w:t xml:space="preserve"> </w:t>
      </w:r>
      <w:r w:rsidRPr="008762D1">
        <w:rPr>
          <w:rFonts w:ascii="ITC Avant Garde" w:hAnsi="ITC Avant Garde"/>
          <w:color w:val="000000" w:themeColor="text1"/>
        </w:rPr>
        <w:t xml:space="preserve">de disponibilidad en enlaces de interconexión sin redundancia el cual no era considerado para la aplicación de penalizaciones, por lo anterior se modificó el numeral 2.7.2 a efecto de que cualquier incumplimiento al parámetro de disponibilidad establecido en las Medidas Fijas sea susceptible de aplicar una penalización. </w:t>
      </w:r>
    </w:p>
    <w:p w14:paraId="554373BA" w14:textId="77777777" w:rsidR="000F0B9F" w:rsidRPr="008762D1" w:rsidRDefault="0078341C" w:rsidP="000F0B9F">
      <w:pPr>
        <w:spacing w:before="240" w:after="0" w:line="276" w:lineRule="auto"/>
        <w:jc w:val="both"/>
        <w:rPr>
          <w:rFonts w:ascii="ITC Avant Garde" w:hAnsi="ITC Avant Garde"/>
          <w:color w:val="000000" w:themeColor="text1"/>
        </w:rPr>
      </w:pPr>
      <w:r w:rsidRPr="008762D1">
        <w:rPr>
          <w:rFonts w:ascii="ITC Avant Garde" w:hAnsi="ITC Avant Garde"/>
          <w:color w:val="000000" w:themeColor="text1"/>
        </w:rPr>
        <w:t>Lo anterior, quedó establecido en el siguiente sentido:</w:t>
      </w:r>
    </w:p>
    <w:p w14:paraId="6E2C1DA0" w14:textId="6AA84A9E" w:rsidR="0078341C" w:rsidRPr="008762D1" w:rsidRDefault="0078341C" w:rsidP="000F0B9F">
      <w:pPr>
        <w:autoSpaceDE w:val="0"/>
        <w:autoSpaceDN w:val="0"/>
        <w:adjustRightInd w:val="0"/>
        <w:spacing w:before="240"/>
        <w:ind w:firstLine="567"/>
        <w:jc w:val="both"/>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Para Enlaces Dedicados de Interconexión:</w:t>
      </w:r>
    </w:p>
    <w:tbl>
      <w:tblPr>
        <w:tblStyle w:val="Cuadrculadetablaclara"/>
        <w:tblW w:w="8080" w:type="dxa"/>
        <w:jc w:val="center"/>
        <w:tblLook w:val="00A0" w:firstRow="1" w:lastRow="0" w:firstColumn="1" w:lastColumn="0" w:noHBand="0" w:noVBand="0"/>
        <w:tblCaption w:val="Tabla"/>
        <w:tblDescription w:val="Rango disponibilidad anual sin redundancia"/>
      </w:tblPr>
      <w:tblGrid>
        <w:gridCol w:w="2126"/>
        <w:gridCol w:w="2976"/>
        <w:gridCol w:w="2978"/>
      </w:tblGrid>
      <w:tr w:rsidR="008762D1" w:rsidRPr="008762D1" w14:paraId="640F57B6" w14:textId="77777777" w:rsidTr="00036A6A">
        <w:trPr>
          <w:trHeight w:val="611"/>
          <w:tblHeader/>
          <w:jc w:val="center"/>
        </w:trPr>
        <w:tc>
          <w:tcPr>
            <w:tcW w:w="2126" w:type="dxa"/>
            <w:hideMark/>
          </w:tcPr>
          <w:p w14:paraId="2509F4CE"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Rango disponibilidad anual sin redundancia</w:t>
            </w:r>
          </w:p>
        </w:tc>
        <w:tc>
          <w:tcPr>
            <w:tcW w:w="2976" w:type="dxa"/>
            <w:hideMark/>
          </w:tcPr>
          <w:p w14:paraId="0A014EF7"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Rango disponibilidad anual con redundancia</w:t>
            </w:r>
          </w:p>
        </w:tc>
        <w:tc>
          <w:tcPr>
            <w:tcW w:w="2978" w:type="dxa"/>
            <w:hideMark/>
          </w:tcPr>
          <w:p w14:paraId="6F3F222F"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Porcentaje de la renta anual del servicio con falla.</w:t>
            </w:r>
          </w:p>
        </w:tc>
      </w:tr>
      <w:tr w:rsidR="008762D1" w:rsidRPr="008762D1" w14:paraId="4DE5E948" w14:textId="77777777" w:rsidTr="00036A6A">
        <w:trPr>
          <w:jc w:val="center"/>
        </w:trPr>
        <w:tc>
          <w:tcPr>
            <w:tcW w:w="2126" w:type="dxa"/>
            <w:hideMark/>
          </w:tcPr>
          <w:p w14:paraId="3BA4DE06" w14:textId="0B26CEAE"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 99% a  &lt;99.</w:t>
            </w:r>
            <w:r w:rsidRPr="008762D1">
              <w:rPr>
                <w:rFonts w:ascii="ITC Avant Garde" w:hAnsi="ITC Avant Garde" w:cs="Arial"/>
                <w:strike/>
                <w:color w:val="000000" w:themeColor="text1"/>
                <w:sz w:val="18"/>
                <w:szCs w:val="18"/>
              </w:rPr>
              <w:t>7</w:t>
            </w:r>
            <w:r w:rsidRPr="008762D1">
              <w:rPr>
                <w:rFonts w:ascii="ITC Avant Garde" w:hAnsi="ITC Avant Garde" w:cs="Arial"/>
                <w:color w:val="000000" w:themeColor="text1"/>
                <w:sz w:val="18"/>
                <w:szCs w:val="18"/>
              </w:rPr>
              <w:t>92%</w:t>
            </w:r>
          </w:p>
        </w:tc>
        <w:tc>
          <w:tcPr>
            <w:tcW w:w="2976" w:type="dxa"/>
            <w:hideMark/>
          </w:tcPr>
          <w:p w14:paraId="3EE65E27"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 99% a  &lt;99.95</w:t>
            </w:r>
            <w:r w:rsidRPr="008762D1">
              <w:rPr>
                <w:rFonts w:ascii="ITC Avant Garde" w:hAnsi="ITC Avant Garde" w:cs="Arial"/>
                <w:color w:val="000000" w:themeColor="text1"/>
                <w:sz w:val="18"/>
                <w:szCs w:val="18"/>
                <w:u w:val="single"/>
              </w:rPr>
              <w:t>95</w:t>
            </w:r>
            <w:r w:rsidRPr="008762D1">
              <w:rPr>
                <w:rFonts w:ascii="ITC Avant Garde" w:hAnsi="ITC Avant Garde" w:cs="Arial"/>
                <w:color w:val="000000" w:themeColor="text1"/>
                <w:sz w:val="18"/>
                <w:szCs w:val="18"/>
              </w:rPr>
              <w:t>%</w:t>
            </w:r>
          </w:p>
        </w:tc>
        <w:tc>
          <w:tcPr>
            <w:tcW w:w="2978" w:type="dxa"/>
            <w:hideMark/>
          </w:tcPr>
          <w:p w14:paraId="26B6CD12"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 0.55%</w:t>
            </w:r>
          </w:p>
        </w:tc>
      </w:tr>
      <w:tr w:rsidR="008762D1" w:rsidRPr="008762D1" w14:paraId="044D3E85" w14:textId="77777777" w:rsidTr="00036A6A">
        <w:trPr>
          <w:jc w:val="center"/>
        </w:trPr>
        <w:tc>
          <w:tcPr>
            <w:tcW w:w="2126" w:type="dxa"/>
            <w:hideMark/>
          </w:tcPr>
          <w:p w14:paraId="08333C69"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 98% a &lt;  99%</w:t>
            </w:r>
          </w:p>
        </w:tc>
        <w:tc>
          <w:tcPr>
            <w:tcW w:w="2976" w:type="dxa"/>
            <w:hideMark/>
          </w:tcPr>
          <w:p w14:paraId="30A14609"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 98% a &lt;  99%</w:t>
            </w:r>
          </w:p>
        </w:tc>
        <w:tc>
          <w:tcPr>
            <w:tcW w:w="2978" w:type="dxa"/>
            <w:hideMark/>
          </w:tcPr>
          <w:p w14:paraId="3608A275"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 0.85%</w:t>
            </w:r>
          </w:p>
        </w:tc>
      </w:tr>
      <w:tr w:rsidR="0078341C" w:rsidRPr="008762D1" w14:paraId="6DE26051" w14:textId="77777777" w:rsidTr="00036A6A">
        <w:trPr>
          <w:jc w:val="center"/>
        </w:trPr>
        <w:tc>
          <w:tcPr>
            <w:tcW w:w="2126" w:type="dxa"/>
            <w:hideMark/>
          </w:tcPr>
          <w:p w14:paraId="226429E4"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&lt;  98%</w:t>
            </w:r>
          </w:p>
        </w:tc>
        <w:tc>
          <w:tcPr>
            <w:tcW w:w="2976" w:type="dxa"/>
            <w:hideMark/>
          </w:tcPr>
          <w:p w14:paraId="77A7E4CB"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&lt; 98%</w:t>
            </w:r>
          </w:p>
        </w:tc>
        <w:tc>
          <w:tcPr>
            <w:tcW w:w="2978" w:type="dxa"/>
            <w:hideMark/>
          </w:tcPr>
          <w:p w14:paraId="7F013F32" w14:textId="77777777" w:rsidR="0078341C" w:rsidRPr="008762D1" w:rsidRDefault="0078341C" w:rsidP="00233A05">
            <w:pPr>
              <w:autoSpaceDE w:val="0"/>
              <w:autoSpaceDN w:val="0"/>
              <w:adjustRightInd w:val="0"/>
              <w:jc w:val="center"/>
              <w:rPr>
                <w:rFonts w:ascii="ITC Avant Garde" w:hAnsi="ITC Avant Garde" w:cs="Arial"/>
                <w:color w:val="000000" w:themeColor="text1"/>
                <w:sz w:val="18"/>
                <w:szCs w:val="18"/>
              </w:rPr>
            </w:pPr>
            <w:r w:rsidRPr="008762D1">
              <w:rPr>
                <w:rFonts w:ascii="ITC Avant Garde" w:hAnsi="ITC Avant Garde" w:cs="Arial"/>
                <w:color w:val="000000" w:themeColor="text1"/>
                <w:sz w:val="18"/>
                <w:szCs w:val="18"/>
              </w:rPr>
              <w:t xml:space="preserve"> 1.25%</w:t>
            </w:r>
          </w:p>
        </w:tc>
      </w:tr>
    </w:tbl>
    <w:p w14:paraId="10791F77" w14:textId="77777777" w:rsidR="000F0B9F" w:rsidRPr="008762D1" w:rsidRDefault="00082A7E" w:rsidP="000F0B9F">
      <w:pPr>
        <w:pStyle w:val="IFTnormal"/>
        <w:spacing w:before="240" w:after="0"/>
        <w:rPr>
          <w:color w:val="000000" w:themeColor="text1"/>
          <w:shd w:val="clear" w:color="auto" w:fill="FFFFFF"/>
        </w:rPr>
      </w:pPr>
      <w:r w:rsidRPr="008762D1">
        <w:rPr>
          <w:b/>
          <w:color w:val="000000" w:themeColor="text1"/>
          <w:shd w:val="clear" w:color="auto" w:fill="FFFFFF"/>
        </w:rPr>
        <w:t>SEXT</w:t>
      </w:r>
      <w:r w:rsidR="00225241" w:rsidRPr="008762D1">
        <w:rPr>
          <w:b/>
          <w:color w:val="000000" w:themeColor="text1"/>
          <w:shd w:val="clear" w:color="auto" w:fill="FFFFFF"/>
        </w:rPr>
        <w:t>O</w:t>
      </w:r>
      <w:r w:rsidR="009B1360" w:rsidRPr="008762D1">
        <w:rPr>
          <w:b/>
          <w:color w:val="000000" w:themeColor="text1"/>
          <w:shd w:val="clear" w:color="auto" w:fill="FFFFFF"/>
        </w:rPr>
        <w:t>.-</w:t>
      </w:r>
      <w:r w:rsidR="009B1360" w:rsidRPr="008762D1">
        <w:rPr>
          <w:color w:val="000000" w:themeColor="text1"/>
          <w:shd w:val="clear" w:color="auto" w:fill="FFFFFF"/>
        </w:rPr>
        <w:t xml:space="preserve"> </w:t>
      </w:r>
      <w:r w:rsidR="009B1360" w:rsidRPr="008762D1">
        <w:rPr>
          <w:b/>
          <w:color w:val="000000" w:themeColor="text1"/>
          <w:shd w:val="clear" w:color="auto" w:fill="FFFFFF"/>
        </w:rPr>
        <w:t>Obligatoriedad del Convenio Marco de Interconexión.</w:t>
      </w:r>
      <w:r w:rsidR="009B1360" w:rsidRPr="008762D1">
        <w:rPr>
          <w:color w:val="000000" w:themeColor="text1"/>
          <w:shd w:val="clear" w:color="auto" w:fill="FFFFFF"/>
        </w:rPr>
        <w:t xml:space="preserve"> El presente Convenio Marco de Interconexión constituye el conjunto de términos y condiciones que Telmex deberá ofrecer a los CS, mismos que deberán materializarse a través del mismo convenio. Lo anterior, sin perjuicio de que las partes puedan negociar términos y condiciones distintos a los contenidos en el Convenio Marco de </w:t>
      </w:r>
      <w:r w:rsidR="00DB265D" w:rsidRPr="008762D1">
        <w:rPr>
          <w:color w:val="000000" w:themeColor="text1"/>
          <w:shd w:val="clear" w:color="auto" w:fill="FFFFFF"/>
        </w:rPr>
        <w:t>Interconexión</w:t>
      </w:r>
      <w:r w:rsidR="00F2457F" w:rsidRPr="008762D1">
        <w:rPr>
          <w:color w:val="000000" w:themeColor="text1"/>
          <w:shd w:val="clear" w:color="auto" w:fill="FFFFFF"/>
        </w:rPr>
        <w:t>.</w:t>
      </w:r>
      <w:r w:rsidR="00124E57" w:rsidRPr="008762D1">
        <w:rPr>
          <w:color w:val="000000" w:themeColor="text1"/>
          <w:shd w:val="clear" w:color="auto" w:fill="FFFFFF"/>
        </w:rPr>
        <w:t xml:space="preserve"> </w:t>
      </w:r>
      <w:r w:rsidR="009B1360" w:rsidRPr="008762D1">
        <w:rPr>
          <w:color w:val="000000" w:themeColor="text1"/>
          <w:shd w:val="clear" w:color="auto" w:fill="FFFFFF"/>
        </w:rPr>
        <w:t xml:space="preserve"> </w:t>
      </w:r>
    </w:p>
    <w:p w14:paraId="79CA8C28" w14:textId="77777777" w:rsidR="000F0B9F" w:rsidRPr="008762D1" w:rsidRDefault="009B1360" w:rsidP="000F0B9F">
      <w:pPr>
        <w:pStyle w:val="IFTnormal"/>
        <w:spacing w:before="240" w:after="0"/>
        <w:rPr>
          <w:color w:val="000000" w:themeColor="text1"/>
          <w:shd w:val="clear" w:color="auto" w:fill="FFFFFF"/>
        </w:rPr>
      </w:pPr>
      <w:r w:rsidRPr="008762D1">
        <w:rPr>
          <w:color w:val="000000" w:themeColor="text1"/>
          <w:shd w:val="clear" w:color="auto" w:fill="FFFFFF"/>
        </w:rPr>
        <w:t xml:space="preserve">En ese sentido, conforme a la legislación y normatividad aplicable, las partes </w:t>
      </w:r>
      <w:r w:rsidR="00DB265D" w:rsidRPr="008762D1">
        <w:rPr>
          <w:color w:val="000000" w:themeColor="text1"/>
          <w:shd w:val="clear" w:color="auto" w:fill="FFFFFF"/>
        </w:rPr>
        <w:t xml:space="preserve">podrán negociar las tarifas </w:t>
      </w:r>
      <w:r w:rsidRPr="008762D1">
        <w:rPr>
          <w:color w:val="000000" w:themeColor="text1"/>
          <w:shd w:val="clear" w:color="auto" w:fill="FFFFFF"/>
        </w:rPr>
        <w:t>correspondientes, o bien acudir al Instituto para que en ejercicio de sus atribuciones sean determinadas.</w:t>
      </w:r>
    </w:p>
    <w:p w14:paraId="5CF3F4FA" w14:textId="77777777" w:rsidR="000F0B9F" w:rsidRPr="008762D1" w:rsidRDefault="00946CED" w:rsidP="000F0B9F">
      <w:pPr>
        <w:pStyle w:val="IFTnormal"/>
        <w:spacing w:before="240" w:after="0"/>
        <w:rPr>
          <w:color w:val="000000" w:themeColor="text1"/>
          <w:shd w:val="clear" w:color="auto" w:fill="FFFFFF"/>
        </w:rPr>
      </w:pPr>
      <w:r w:rsidRPr="008762D1">
        <w:rPr>
          <w:color w:val="000000" w:themeColor="text1"/>
          <w:shd w:val="clear" w:color="auto" w:fill="FFFFFF"/>
        </w:rPr>
        <w:t>En este sentido, si el CS requiere el Convenio Marco de Interconexión vigente en los términos ofrecidos por el Agente Económico Preponderante, y acepta las tarifas publicadas por el Instituto con base en el artículo 137 de la Ley Federal de Telecomunicaciones y Radiodifusión, y no existe condición adicional que forme parte de un diferendo, el Agente Económico Preponderante deber suscribir el Convenio de Interconexión dentro de un plazo de 10 días hábiles contados a partir de la fecha de solicitud del Concesionario Solicitante a través del sistema electrónico al que se refiere el artículo 129 de la referida ley.</w:t>
      </w:r>
    </w:p>
    <w:p w14:paraId="16CAEB45" w14:textId="77777777" w:rsidR="000F0B9F" w:rsidRPr="008762D1" w:rsidRDefault="009B1360" w:rsidP="000F0B9F">
      <w:pPr>
        <w:pStyle w:val="IFTnormal"/>
        <w:spacing w:before="240" w:after="0"/>
        <w:rPr>
          <w:color w:val="000000" w:themeColor="text1"/>
          <w:shd w:val="clear" w:color="auto" w:fill="FFFFFF"/>
        </w:rPr>
      </w:pPr>
      <w:r w:rsidRPr="008762D1">
        <w:rPr>
          <w:color w:val="000000" w:themeColor="text1"/>
          <w:shd w:val="clear" w:color="auto" w:fill="FFFFFF"/>
        </w:rPr>
        <w:t>De esta forma, Telmex se encuentra obligado a proporcionar los servicios en los términos ofrecidos, a partir de la suscripción del convenio correspondiente, sin menoscabo de la facultad del Instituto de resolver los desacuerdos que se susciten entre las partes sobre la prestación de los servicios materia del Convenio Marco de Interconexión.</w:t>
      </w:r>
    </w:p>
    <w:p w14:paraId="66BCB774" w14:textId="77777777" w:rsidR="000F0B9F" w:rsidRPr="008762D1" w:rsidRDefault="005604C4" w:rsidP="000F0B9F">
      <w:pPr>
        <w:pStyle w:val="IFTnormal"/>
        <w:spacing w:before="240"/>
        <w:rPr>
          <w:snapToGrid w:val="0"/>
          <w:color w:val="000000" w:themeColor="text1"/>
        </w:rPr>
      </w:pPr>
      <w:r w:rsidRPr="008762D1">
        <w:rPr>
          <w:snapToGrid w:val="0"/>
          <w:color w:val="000000" w:themeColor="text1"/>
        </w:rPr>
        <w:lastRenderedPageBreak/>
        <w:t>Por lo antes expuesto y con fundamento en los artículos 6o., apartado B, fracción II y 28, párrafos décimo quinto y décimo sexto de la Constitución Política de los Estados Unidos Mexicanos; Transitorio Trigésimo Quinto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1, 2, 6, fracción IV, 7, 15, fracción XVIII y 177 fracción VIII  de la Ley Federal de Telecomunicaciones y Radiodifusión; 35, fracción I, 36, 38 y 39 de la Ley Federal de Procedimiento Administrativo; 1, 4, fracción I, 6, fracciones I, VI y XXXVII</w:t>
      </w:r>
      <w:r w:rsidR="00E67FBF" w:rsidRPr="008762D1">
        <w:rPr>
          <w:snapToGrid w:val="0"/>
          <w:color w:val="000000" w:themeColor="text1"/>
        </w:rPr>
        <w:t>I</w:t>
      </w:r>
      <w:r w:rsidRPr="008762D1">
        <w:rPr>
          <w:snapToGrid w:val="0"/>
          <w:color w:val="000000" w:themeColor="text1"/>
        </w:rPr>
        <w:t xml:space="preserve"> del Estatuto Orgánico del Instituto Federal de Telecomunicaciones; la </w:t>
      </w:r>
      <w:r w:rsidRPr="008762D1">
        <w:rPr>
          <w:iCs/>
          <w:snapToGrid w:val="0"/>
          <w:color w:val="000000" w:themeColor="text1"/>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8762D1">
        <w:rPr>
          <w:snapToGrid w:val="0"/>
          <w:color w:val="000000" w:themeColor="text1"/>
        </w:rPr>
        <w:t xml:space="preserve">, aprobada mediante Acuerdo P/IFT/EXT/060314/76, y </w:t>
      </w:r>
      <w:r w:rsidR="00257825" w:rsidRPr="008762D1">
        <w:rPr>
          <w:snapToGrid w:val="0"/>
          <w:color w:val="000000" w:themeColor="text1"/>
        </w:rPr>
        <w:t>la “</w:t>
      </w:r>
      <w:r w:rsidR="00257825" w:rsidRPr="008762D1">
        <w:rPr>
          <w:rFonts w:eastAsia="Times New Roman"/>
          <w:color w:val="000000" w:themeColor="text1"/>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P/IFT/EXT/270217/119</w:t>
      </w:r>
      <w:r w:rsidRPr="008762D1">
        <w:rPr>
          <w:snapToGrid w:val="0"/>
          <w:color w:val="000000" w:themeColor="text1"/>
        </w:rPr>
        <w:t>, el Pleno del Instituto Federal de Telecomunicaciones emite los siguientes:</w:t>
      </w:r>
    </w:p>
    <w:p w14:paraId="7F547609" w14:textId="77777777" w:rsidR="000F0B9F" w:rsidRPr="008762D1" w:rsidRDefault="00924444" w:rsidP="00FC1DB8">
      <w:pPr>
        <w:pStyle w:val="Ttulo2"/>
        <w:spacing w:before="240" w:after="0"/>
        <w:jc w:val="center"/>
        <w:rPr>
          <w:color w:val="000000" w:themeColor="text1"/>
        </w:rPr>
      </w:pPr>
      <w:r w:rsidRPr="008762D1">
        <w:rPr>
          <w:color w:val="000000" w:themeColor="text1"/>
        </w:rPr>
        <w:t>RESOLUTIVO</w:t>
      </w:r>
      <w:r w:rsidR="007D0B47" w:rsidRPr="008762D1">
        <w:rPr>
          <w:color w:val="000000" w:themeColor="text1"/>
        </w:rPr>
        <w:t>S</w:t>
      </w:r>
    </w:p>
    <w:p w14:paraId="6327E715" w14:textId="7340283C" w:rsidR="000F0B9F" w:rsidRPr="008762D1" w:rsidRDefault="00AA2790"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b/>
          <w:snapToGrid w:val="0"/>
          <w:color w:val="000000" w:themeColor="text1"/>
        </w:rPr>
        <w:t>PRIMERO.-</w:t>
      </w:r>
      <w:r w:rsidRPr="008762D1">
        <w:rPr>
          <w:rFonts w:ascii="ITC Avant Garde" w:hAnsi="ITC Avant Garde" w:cs="Arial"/>
          <w:snapToGrid w:val="0"/>
          <w:color w:val="000000" w:themeColor="text1"/>
        </w:rPr>
        <w:t xml:space="preserve"> </w:t>
      </w:r>
      <w:r w:rsidR="00924444" w:rsidRPr="008762D1">
        <w:rPr>
          <w:rFonts w:ascii="ITC Avant Garde" w:hAnsi="ITC Avant Garde" w:cs="Arial"/>
          <w:color w:val="000000" w:themeColor="text1"/>
        </w:rPr>
        <w:t>Se modifica en sus términos y condiciones el Convenio Marco de Interconexión</w:t>
      </w:r>
      <w:r w:rsidR="005D15F2" w:rsidRPr="008762D1">
        <w:rPr>
          <w:rFonts w:ascii="ITC Avant Garde" w:hAnsi="ITC Avant Garde" w:cs="Arial"/>
          <w:color w:val="000000" w:themeColor="text1"/>
        </w:rPr>
        <w:t xml:space="preserve"> presentado</w:t>
      </w:r>
      <w:r w:rsidR="00924444" w:rsidRPr="008762D1">
        <w:rPr>
          <w:rFonts w:ascii="ITC Avant Garde" w:hAnsi="ITC Avant Garde" w:cs="Arial"/>
          <w:color w:val="000000" w:themeColor="text1"/>
        </w:rPr>
        <w:t xml:space="preserve"> por </w:t>
      </w:r>
      <w:r w:rsidR="00924444" w:rsidRPr="008762D1">
        <w:rPr>
          <w:rFonts w:ascii="ITC Avant Garde" w:hAnsi="ITC Avant Garde" w:cs="Arial"/>
          <w:snapToGrid w:val="0"/>
          <w:color w:val="000000" w:themeColor="text1"/>
        </w:rPr>
        <w:t>Teléfonos de México, S.A.B de C.V., como parte del Agente Económico Preponderante</w:t>
      </w:r>
      <w:r w:rsidR="00924444" w:rsidRPr="008762D1">
        <w:rPr>
          <w:rFonts w:ascii="ITC Avant Garde" w:hAnsi="ITC Avant Garde" w:cs="Arial"/>
          <w:color w:val="000000" w:themeColor="text1"/>
        </w:rPr>
        <w:t xml:space="preserve"> de conformidad con lo señalado en el Considerando </w:t>
      </w:r>
      <w:r w:rsidR="00822EAB" w:rsidRPr="008762D1">
        <w:rPr>
          <w:rFonts w:ascii="ITC Avant Garde" w:hAnsi="ITC Avant Garde" w:cs="Arial"/>
          <w:color w:val="000000" w:themeColor="text1"/>
        </w:rPr>
        <w:t>Q</w:t>
      </w:r>
      <w:r w:rsidR="00E5628F" w:rsidRPr="008762D1">
        <w:rPr>
          <w:rFonts w:ascii="ITC Avant Garde" w:hAnsi="ITC Avant Garde" w:cs="Arial"/>
          <w:color w:val="000000" w:themeColor="text1"/>
        </w:rPr>
        <w:t>uinto</w:t>
      </w:r>
      <w:r w:rsidR="006155E2" w:rsidRPr="008762D1">
        <w:rPr>
          <w:rFonts w:ascii="ITC Avant Garde" w:hAnsi="ITC Avant Garde" w:cs="Arial"/>
          <w:color w:val="000000" w:themeColor="text1"/>
        </w:rPr>
        <w:t xml:space="preserve"> </w:t>
      </w:r>
      <w:r w:rsidR="00924444" w:rsidRPr="008762D1">
        <w:rPr>
          <w:rFonts w:ascii="ITC Avant Garde" w:hAnsi="ITC Avant Garde" w:cs="Arial"/>
          <w:color w:val="000000" w:themeColor="text1"/>
        </w:rPr>
        <w:t>de la presente Resolución.</w:t>
      </w:r>
    </w:p>
    <w:p w14:paraId="7CD23F48" w14:textId="77777777" w:rsidR="000F0B9F" w:rsidRPr="008762D1" w:rsidRDefault="00AA2790"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b/>
          <w:snapToGrid w:val="0"/>
          <w:color w:val="000000" w:themeColor="text1"/>
        </w:rPr>
        <w:t>SEGUNDO.-</w:t>
      </w:r>
      <w:r w:rsidRPr="008762D1">
        <w:rPr>
          <w:rFonts w:ascii="ITC Avant Garde" w:hAnsi="ITC Avant Garde" w:cs="Arial"/>
          <w:snapToGrid w:val="0"/>
          <w:color w:val="000000" w:themeColor="text1"/>
        </w:rPr>
        <w:t xml:space="preserve"> </w:t>
      </w:r>
      <w:r w:rsidR="005D15F2" w:rsidRPr="008762D1">
        <w:rPr>
          <w:rFonts w:ascii="ITC Avant Garde" w:eastAsia="Times New Roman" w:hAnsi="ITC Avant Garde" w:cs="Arial"/>
          <w:bCs/>
          <w:color w:val="000000" w:themeColor="text1"/>
          <w:lang w:eastAsia="es-ES"/>
        </w:rPr>
        <w:t xml:space="preserve">Se </w:t>
      </w:r>
      <w:r w:rsidR="006155E2" w:rsidRPr="008762D1">
        <w:rPr>
          <w:rFonts w:ascii="ITC Avant Garde" w:eastAsia="Times New Roman" w:hAnsi="ITC Avant Garde" w:cs="Arial"/>
          <w:bCs/>
          <w:color w:val="000000" w:themeColor="text1"/>
          <w:lang w:eastAsia="es-ES"/>
        </w:rPr>
        <w:t xml:space="preserve">aprueba </w:t>
      </w:r>
      <w:r w:rsidR="005D15F2" w:rsidRPr="008762D1">
        <w:rPr>
          <w:rFonts w:ascii="ITC Avant Garde" w:eastAsia="Times New Roman" w:hAnsi="ITC Avant Garde" w:cs="Arial"/>
          <w:bCs/>
          <w:color w:val="000000" w:themeColor="text1"/>
          <w:lang w:eastAsia="es-ES"/>
        </w:rPr>
        <w:t xml:space="preserve">el Convenio Marco de Interconexión presentado </w:t>
      </w:r>
      <w:r w:rsidR="007D0B47" w:rsidRPr="008762D1">
        <w:rPr>
          <w:rFonts w:ascii="ITC Avant Garde" w:eastAsia="Times New Roman" w:hAnsi="ITC Avant Garde" w:cs="Arial"/>
          <w:bCs/>
          <w:color w:val="000000" w:themeColor="text1"/>
          <w:lang w:eastAsia="es-ES"/>
        </w:rPr>
        <w:t>por</w:t>
      </w:r>
      <w:r w:rsidR="005D15F2" w:rsidRPr="008762D1">
        <w:rPr>
          <w:rFonts w:ascii="ITC Avant Garde" w:eastAsia="Times New Roman" w:hAnsi="ITC Avant Garde" w:cs="Arial"/>
          <w:bCs/>
          <w:color w:val="000000" w:themeColor="text1"/>
          <w:lang w:eastAsia="es-ES"/>
        </w:rPr>
        <w:t xml:space="preserve"> </w:t>
      </w:r>
      <w:r w:rsidR="005D15F2" w:rsidRPr="008762D1">
        <w:rPr>
          <w:rFonts w:ascii="ITC Avant Garde" w:hAnsi="ITC Avant Garde" w:cs="Arial"/>
          <w:snapToGrid w:val="0"/>
          <w:color w:val="000000" w:themeColor="text1"/>
        </w:rPr>
        <w:t>Teléfonos de México, S.A.B de C.V., como parte del Agente Económico Preponderante</w:t>
      </w:r>
      <w:r w:rsidR="007C3126" w:rsidRPr="008762D1">
        <w:rPr>
          <w:rFonts w:ascii="ITC Avant Garde" w:hAnsi="ITC Avant Garde" w:cs="Arial"/>
          <w:snapToGrid w:val="0"/>
          <w:color w:val="000000" w:themeColor="text1"/>
        </w:rPr>
        <w:t xml:space="preserve"> en términos del Anexo I que se adjunta a la presente Resolución y que forma parte integral de la misma</w:t>
      </w:r>
      <w:r w:rsidR="005D15F2" w:rsidRPr="008762D1">
        <w:rPr>
          <w:rFonts w:ascii="ITC Avant Garde" w:hAnsi="ITC Avant Garde" w:cs="Arial"/>
          <w:snapToGrid w:val="0"/>
          <w:color w:val="000000" w:themeColor="text1"/>
        </w:rPr>
        <w:t>.</w:t>
      </w:r>
    </w:p>
    <w:p w14:paraId="3617CB2C" w14:textId="77777777" w:rsidR="000F0B9F" w:rsidRPr="008762D1" w:rsidRDefault="00DF0505" w:rsidP="000F0B9F">
      <w:pPr>
        <w:spacing w:before="240" w:after="0" w:line="276" w:lineRule="auto"/>
        <w:jc w:val="both"/>
        <w:rPr>
          <w:rFonts w:ascii="ITC Avant Garde" w:hAnsi="ITC Avant Garde" w:cs="Arial"/>
          <w:snapToGrid w:val="0"/>
          <w:color w:val="000000" w:themeColor="text1"/>
        </w:rPr>
      </w:pPr>
      <w:r w:rsidRPr="008762D1">
        <w:rPr>
          <w:rFonts w:ascii="ITC Avant Garde" w:hAnsi="ITC Avant Garde" w:cs="Arial"/>
          <w:b/>
          <w:snapToGrid w:val="0"/>
          <w:color w:val="000000" w:themeColor="text1"/>
        </w:rPr>
        <w:t>TERCERO.-</w:t>
      </w:r>
      <w:r w:rsidRPr="008762D1">
        <w:rPr>
          <w:rFonts w:ascii="ITC Avant Garde" w:hAnsi="ITC Avant Garde" w:cs="Arial"/>
          <w:snapToGrid w:val="0"/>
          <w:color w:val="000000" w:themeColor="text1"/>
        </w:rPr>
        <w:t xml:space="preserve"> </w:t>
      </w:r>
      <w:r w:rsidR="002E621B" w:rsidRPr="008762D1">
        <w:rPr>
          <w:rFonts w:ascii="ITC Avant Garde" w:eastAsia="Times New Roman" w:hAnsi="ITC Avant Garde" w:cs="Arial"/>
          <w:bCs/>
          <w:color w:val="000000" w:themeColor="text1"/>
          <w:lang w:eastAsia="es-ES"/>
        </w:rPr>
        <w:t xml:space="preserve">La </w:t>
      </w:r>
      <w:r w:rsidR="00032967" w:rsidRPr="008762D1">
        <w:rPr>
          <w:rFonts w:ascii="ITC Avant Garde" w:hAnsi="ITC Avant Garde" w:cs="Arial"/>
          <w:color w:val="000000" w:themeColor="text1"/>
          <w:lang w:eastAsia="es-MX"/>
        </w:rPr>
        <w:t xml:space="preserve">aprobación </w:t>
      </w:r>
      <w:r w:rsidRPr="008762D1">
        <w:rPr>
          <w:rFonts w:ascii="ITC Avant Garde" w:eastAsia="Times New Roman" w:hAnsi="ITC Avant Garde" w:cs="Arial"/>
          <w:bCs/>
          <w:color w:val="000000" w:themeColor="text1"/>
          <w:lang w:eastAsia="es-ES"/>
        </w:rPr>
        <w:t xml:space="preserve">otorgada en el presente acto </w:t>
      </w:r>
      <w:r w:rsidR="004B71F5" w:rsidRPr="008762D1">
        <w:rPr>
          <w:rFonts w:ascii="ITC Avant Garde" w:eastAsia="Times New Roman" w:hAnsi="ITC Avant Garde" w:cs="Arial"/>
          <w:bCs/>
          <w:color w:val="000000" w:themeColor="text1"/>
          <w:lang w:eastAsia="es-ES"/>
        </w:rPr>
        <w:t xml:space="preserve">se emite </w:t>
      </w:r>
      <w:r w:rsidRPr="008762D1">
        <w:rPr>
          <w:rFonts w:ascii="ITC Avant Garde" w:eastAsia="Times New Roman" w:hAnsi="ITC Avant Garde" w:cs="Arial"/>
          <w:bCs/>
          <w:color w:val="000000" w:themeColor="text1"/>
          <w:lang w:eastAsia="es-ES"/>
        </w:rPr>
        <w:t xml:space="preserve">sin perjuicio de la facultad del Instituto Federal de Telecomunicaciones para determinar las tarifas aplicables a los servicios de interconexión establecida en la Medida Trigésima Sexta </w:t>
      </w:r>
      <w:r w:rsidR="00476470" w:rsidRPr="008762D1">
        <w:rPr>
          <w:rFonts w:ascii="ITC Avant Garde" w:eastAsia="Times New Roman" w:hAnsi="ITC Avant Garde" w:cs="Arial"/>
          <w:bCs/>
          <w:color w:val="000000" w:themeColor="text1"/>
          <w:lang w:eastAsia="es-ES"/>
        </w:rPr>
        <w:t xml:space="preserve">y Trigésima Octava </w:t>
      </w:r>
      <w:r w:rsidRPr="008762D1">
        <w:rPr>
          <w:rFonts w:ascii="ITC Avant Garde" w:eastAsia="Times New Roman" w:hAnsi="ITC Avant Garde" w:cs="Arial"/>
          <w:bCs/>
          <w:color w:val="000000" w:themeColor="text1"/>
          <w:lang w:eastAsia="es-ES"/>
        </w:rPr>
        <w:t xml:space="preserve">de las “MEDIDAS RELACIONADAS CON INFORMACIÓN, OFERTA Y CALIDAD DE SERVICIOS, ACUERDOS EN EXCLUSIVA, LIMITACIONES AL USO </w:t>
      </w:r>
      <w:r w:rsidRPr="008762D1">
        <w:rPr>
          <w:rFonts w:ascii="ITC Avant Garde" w:eastAsia="Times New Roman" w:hAnsi="ITC Avant Garde" w:cs="Arial"/>
          <w:bCs/>
          <w:color w:val="000000" w:themeColor="text1"/>
          <w:lang w:eastAsia="es-ES"/>
        </w:rPr>
        <w:lastRenderedPageBreak/>
        <w:t>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00900D0A" w:rsidRPr="008762D1">
        <w:rPr>
          <w:rFonts w:ascii="ITC Avant Garde" w:eastAsia="Times New Roman" w:hAnsi="ITC Avant Garde" w:cs="Arial"/>
          <w:bCs/>
          <w:color w:val="000000" w:themeColor="text1"/>
          <w:lang w:eastAsia="es-ES"/>
        </w:rPr>
        <w:t>”</w:t>
      </w:r>
      <w:r w:rsidRPr="008762D1">
        <w:rPr>
          <w:rFonts w:ascii="ITC Avant Garde" w:hAnsi="ITC Avant Garde" w:cs="Arial"/>
          <w:snapToGrid w:val="0"/>
          <w:color w:val="000000" w:themeColor="text1"/>
        </w:rPr>
        <w:t>.</w:t>
      </w:r>
    </w:p>
    <w:p w14:paraId="6F8F67FA" w14:textId="77777777" w:rsidR="000F0B9F" w:rsidRPr="008762D1" w:rsidRDefault="00DF0505" w:rsidP="000F0B9F">
      <w:pPr>
        <w:spacing w:before="240" w:after="0" w:line="276" w:lineRule="auto"/>
        <w:jc w:val="both"/>
        <w:rPr>
          <w:rFonts w:ascii="ITC Avant Garde" w:hAnsi="ITC Avant Garde" w:cs="Arial"/>
          <w:color w:val="000000" w:themeColor="text1"/>
          <w:shd w:val="clear" w:color="auto" w:fill="FFFFFF"/>
        </w:rPr>
      </w:pPr>
      <w:r w:rsidRPr="008762D1">
        <w:rPr>
          <w:rFonts w:ascii="ITC Avant Garde" w:eastAsia="Times New Roman" w:hAnsi="ITC Avant Garde" w:cs="Arial"/>
          <w:b/>
          <w:color w:val="000000" w:themeColor="text1"/>
        </w:rPr>
        <w:t>CUARTO</w:t>
      </w:r>
      <w:r w:rsidR="005D15F2" w:rsidRPr="008762D1">
        <w:rPr>
          <w:rFonts w:ascii="ITC Avant Garde" w:eastAsia="Times New Roman" w:hAnsi="ITC Avant Garde" w:cs="Arial"/>
          <w:b/>
          <w:color w:val="000000" w:themeColor="text1"/>
        </w:rPr>
        <w:t xml:space="preserve">.- </w:t>
      </w:r>
      <w:r w:rsidR="005D15F2" w:rsidRPr="008762D1">
        <w:rPr>
          <w:rFonts w:ascii="ITC Avant Garde" w:hAnsi="ITC Avant Garde" w:cs="Arial"/>
          <w:color w:val="000000" w:themeColor="text1"/>
          <w:shd w:val="clear" w:color="auto" w:fill="FFFFFF"/>
        </w:rPr>
        <w:t xml:space="preserve">El Instituto Federal de Telecomunicaciones, de oficio o a petición de los solicitantes interesados en los servicios, podrá modificar los parámetros </w:t>
      </w:r>
      <w:r w:rsidR="00FF5E21" w:rsidRPr="008762D1">
        <w:rPr>
          <w:rFonts w:ascii="ITC Avant Garde" w:hAnsi="ITC Avant Garde" w:cs="Arial"/>
          <w:color w:val="000000" w:themeColor="text1"/>
          <w:shd w:val="clear" w:color="auto" w:fill="FFFFFF"/>
        </w:rPr>
        <w:t>e indicadores previstos en el C</w:t>
      </w:r>
      <w:r w:rsidR="005D15F2" w:rsidRPr="008762D1">
        <w:rPr>
          <w:rFonts w:ascii="ITC Avant Garde" w:hAnsi="ITC Avant Garde" w:cs="Arial"/>
          <w:color w:val="000000" w:themeColor="text1"/>
          <w:shd w:val="clear" w:color="auto" w:fill="FFFFFF"/>
        </w:rPr>
        <w:t>onvenio</w:t>
      </w:r>
      <w:r w:rsidR="00FF5E21" w:rsidRPr="008762D1">
        <w:rPr>
          <w:rFonts w:ascii="ITC Avant Garde" w:hAnsi="ITC Avant Garde" w:cs="Arial"/>
          <w:color w:val="000000" w:themeColor="text1"/>
          <w:shd w:val="clear" w:color="auto" w:fill="FFFFFF"/>
        </w:rPr>
        <w:t xml:space="preserve"> Marco de Interconexión</w:t>
      </w:r>
      <w:r w:rsidR="005D15F2" w:rsidRPr="008762D1">
        <w:rPr>
          <w:rFonts w:ascii="ITC Avant Garde" w:hAnsi="ITC Avant Garde" w:cs="Arial"/>
          <w:color w:val="000000" w:themeColor="text1"/>
          <w:shd w:val="clear" w:color="auto" w:fill="FFFFFF"/>
        </w:rPr>
        <w:t xml:space="preserve">, </w:t>
      </w:r>
      <w:r w:rsidR="002E621B" w:rsidRPr="008762D1">
        <w:rPr>
          <w:rFonts w:ascii="ITC Avant Garde" w:hAnsi="ITC Avant Garde" w:cs="Arial"/>
          <w:color w:val="000000" w:themeColor="text1"/>
          <w:shd w:val="clear" w:color="auto" w:fill="FFFFFF"/>
        </w:rPr>
        <w:t xml:space="preserve">de forma </w:t>
      </w:r>
      <w:r w:rsidR="005D15F2" w:rsidRPr="008762D1">
        <w:rPr>
          <w:rFonts w:ascii="ITC Avant Garde" w:hAnsi="ITC Avant Garde" w:cs="Arial"/>
          <w:color w:val="000000" w:themeColor="text1"/>
          <w:shd w:val="clear" w:color="auto" w:fill="FFFFFF"/>
        </w:rPr>
        <w:t>previ</w:t>
      </w:r>
      <w:r w:rsidR="002E621B" w:rsidRPr="008762D1">
        <w:rPr>
          <w:rFonts w:ascii="ITC Avant Garde" w:hAnsi="ITC Avant Garde" w:cs="Arial"/>
          <w:color w:val="000000" w:themeColor="text1"/>
          <w:shd w:val="clear" w:color="auto" w:fill="FFFFFF"/>
        </w:rPr>
        <w:t>a</w:t>
      </w:r>
      <w:r w:rsidR="005D15F2" w:rsidRPr="008762D1">
        <w:rPr>
          <w:rFonts w:ascii="ITC Avant Garde" w:hAnsi="ITC Avant Garde" w:cs="Arial"/>
          <w:color w:val="000000" w:themeColor="text1"/>
          <w:shd w:val="clear" w:color="auto" w:fill="FFFFFF"/>
        </w:rPr>
        <w:t xml:space="preserve"> a </w:t>
      </w:r>
      <w:r w:rsidR="002E621B" w:rsidRPr="008762D1">
        <w:rPr>
          <w:rFonts w:ascii="ITC Avant Garde" w:hAnsi="ITC Avant Garde" w:cs="Arial"/>
          <w:color w:val="000000" w:themeColor="text1"/>
          <w:shd w:val="clear" w:color="auto" w:fill="FFFFFF"/>
        </w:rPr>
        <w:t xml:space="preserve">la </w:t>
      </w:r>
      <w:r w:rsidR="005D15F2" w:rsidRPr="008762D1">
        <w:rPr>
          <w:rFonts w:ascii="ITC Avant Garde" w:hAnsi="ITC Avant Garde" w:cs="Arial"/>
          <w:color w:val="000000" w:themeColor="text1"/>
          <w:shd w:val="clear" w:color="auto" w:fill="FFFFFF"/>
        </w:rPr>
        <w:t>siguiente revisión, cuando se acredite que estos constituyen una restricción innecesaria para el acceso a los servicios del convenio en condiciones de competencia</w:t>
      </w:r>
      <w:r w:rsidR="00EA779B" w:rsidRPr="008762D1">
        <w:rPr>
          <w:rFonts w:ascii="ITC Avant Garde" w:hAnsi="ITC Avant Garde" w:cs="Arial"/>
          <w:color w:val="000000" w:themeColor="text1"/>
          <w:shd w:val="clear" w:color="auto" w:fill="FFFFFF"/>
        </w:rPr>
        <w:t xml:space="preserve">, </w:t>
      </w:r>
      <w:r w:rsidR="00EA779B" w:rsidRPr="008762D1">
        <w:rPr>
          <w:rFonts w:ascii="ITC Avant Garde" w:hAnsi="ITC Avant Garde" w:cs="Arial"/>
          <w:bCs/>
          <w:color w:val="000000" w:themeColor="text1"/>
        </w:rPr>
        <w:t>calidad, pluralidad, cobertura universal, interconexión, convergencia, continuidad, acceso libre y sin injerencias arbitrarias.</w:t>
      </w:r>
    </w:p>
    <w:p w14:paraId="62A480F6" w14:textId="66413B5E" w:rsidR="000F0B9F" w:rsidRPr="008762D1" w:rsidRDefault="00DF0505" w:rsidP="000F0B9F">
      <w:pPr>
        <w:spacing w:before="240" w:after="0" w:line="276" w:lineRule="auto"/>
        <w:jc w:val="both"/>
        <w:rPr>
          <w:rFonts w:ascii="ITC Avant Garde" w:hAnsi="ITC Avant Garde" w:cs="Arial"/>
          <w:color w:val="000000" w:themeColor="text1"/>
          <w:shd w:val="clear" w:color="auto" w:fill="FFFFFF"/>
        </w:rPr>
      </w:pPr>
      <w:r w:rsidRPr="008762D1">
        <w:rPr>
          <w:rFonts w:ascii="ITC Avant Garde" w:eastAsia="Times New Roman" w:hAnsi="ITC Avant Garde" w:cs="Arial"/>
          <w:b/>
          <w:color w:val="000000" w:themeColor="text1"/>
        </w:rPr>
        <w:t>QUINTO</w:t>
      </w:r>
      <w:r w:rsidR="0020263B" w:rsidRPr="008762D1">
        <w:rPr>
          <w:rFonts w:ascii="ITC Avant Garde" w:eastAsia="Times New Roman" w:hAnsi="ITC Avant Garde" w:cs="Arial"/>
          <w:b/>
          <w:color w:val="000000" w:themeColor="text1"/>
        </w:rPr>
        <w:t>.-</w:t>
      </w:r>
      <w:r w:rsidR="0020263B" w:rsidRPr="008762D1">
        <w:rPr>
          <w:rFonts w:ascii="ITC Avant Garde" w:eastAsia="Times New Roman" w:hAnsi="ITC Avant Garde" w:cs="Arial"/>
          <w:color w:val="000000" w:themeColor="text1"/>
        </w:rPr>
        <w:t xml:space="preserve"> Se ordena a </w:t>
      </w:r>
      <w:r w:rsidR="0020263B" w:rsidRPr="008762D1">
        <w:rPr>
          <w:rFonts w:ascii="ITC Avant Garde" w:hAnsi="ITC Avant Garde" w:cs="Arial"/>
          <w:snapToGrid w:val="0"/>
          <w:color w:val="000000" w:themeColor="text1"/>
        </w:rPr>
        <w:t>Teléfonos de México, S.A.B de C.V., como parte del Agente Económico Preponderante</w:t>
      </w:r>
      <w:r w:rsidR="0020263B" w:rsidRPr="008762D1">
        <w:rPr>
          <w:rFonts w:ascii="ITC Avant Garde" w:hAnsi="ITC Avant Garde" w:cs="Arial"/>
          <w:color w:val="000000" w:themeColor="text1"/>
          <w:shd w:val="clear" w:color="auto" w:fill="FFFFFF"/>
        </w:rPr>
        <w:t xml:space="preserve"> publicar en </w:t>
      </w:r>
      <w:r w:rsidR="007D3293" w:rsidRPr="008762D1">
        <w:rPr>
          <w:rFonts w:ascii="ITC Avant Garde" w:hAnsi="ITC Avant Garde" w:cs="Arial"/>
          <w:color w:val="000000" w:themeColor="text1"/>
          <w:shd w:val="clear" w:color="auto" w:fill="FFFFFF"/>
        </w:rPr>
        <w:t xml:space="preserve">su sitio de Internet </w:t>
      </w:r>
      <w:r w:rsidR="0020263B" w:rsidRPr="008762D1">
        <w:rPr>
          <w:rFonts w:ascii="ITC Avant Garde" w:hAnsi="ITC Avant Garde" w:cs="Arial"/>
          <w:color w:val="000000" w:themeColor="text1"/>
          <w:shd w:val="clear" w:color="auto" w:fill="FFFFFF"/>
        </w:rPr>
        <w:t xml:space="preserve">el Convenio Marco de Interconexión </w:t>
      </w:r>
      <w:r w:rsidR="0035159E" w:rsidRPr="008762D1">
        <w:rPr>
          <w:rFonts w:ascii="ITC Avant Garde" w:hAnsi="ITC Avant Garde" w:cs="Arial"/>
          <w:color w:val="000000" w:themeColor="text1"/>
          <w:shd w:val="clear" w:color="auto" w:fill="FFFFFF"/>
        </w:rPr>
        <w:t>dentro de los primeros quince días del mes de diciembre de 2017</w:t>
      </w:r>
      <w:r w:rsidR="00663EC4" w:rsidRPr="008762D1">
        <w:rPr>
          <w:rFonts w:ascii="ITC Avant Garde" w:hAnsi="ITC Avant Garde" w:cs="Arial"/>
          <w:color w:val="000000" w:themeColor="text1"/>
          <w:shd w:val="clear" w:color="auto" w:fill="FFFFFF"/>
        </w:rPr>
        <w:t>; así como en el Diario Oficial de la Federación en términos del artículo 138 fracción II de la Ley Federal de Telecomunicaciones y Radiodifusión.</w:t>
      </w:r>
    </w:p>
    <w:p w14:paraId="4154071D" w14:textId="77777777" w:rsidR="000F0B9F" w:rsidRPr="008762D1" w:rsidRDefault="00082A7E" w:rsidP="000F0B9F">
      <w:pPr>
        <w:spacing w:before="240" w:after="0" w:line="276" w:lineRule="auto"/>
        <w:jc w:val="both"/>
        <w:rPr>
          <w:rFonts w:ascii="ITC Avant Garde" w:hAnsi="ITC Avant Garde"/>
          <w:color w:val="000000" w:themeColor="text1"/>
          <w:spacing w:val="1"/>
          <w:lang w:eastAsia="es-ES_tradnl"/>
        </w:rPr>
      </w:pPr>
      <w:r w:rsidRPr="008762D1">
        <w:rPr>
          <w:rFonts w:ascii="ITC Avant Garde" w:hAnsi="ITC Avant Garde"/>
          <w:b/>
          <w:color w:val="000000" w:themeColor="text1"/>
          <w:spacing w:val="1"/>
          <w:lang w:eastAsia="es-ES_tradnl"/>
        </w:rPr>
        <w:t>SEXT</w:t>
      </w:r>
      <w:r w:rsidR="00DF0505" w:rsidRPr="008762D1">
        <w:rPr>
          <w:rFonts w:ascii="ITC Avant Garde" w:hAnsi="ITC Avant Garde"/>
          <w:b/>
          <w:color w:val="000000" w:themeColor="text1"/>
          <w:spacing w:val="1"/>
          <w:lang w:eastAsia="es-ES_tradnl"/>
        </w:rPr>
        <w:t>O</w:t>
      </w:r>
      <w:r w:rsidR="00852D0C" w:rsidRPr="008762D1">
        <w:rPr>
          <w:rFonts w:ascii="ITC Avant Garde" w:hAnsi="ITC Avant Garde"/>
          <w:b/>
          <w:color w:val="000000" w:themeColor="text1"/>
          <w:spacing w:val="1"/>
          <w:lang w:eastAsia="es-ES_tradnl"/>
        </w:rPr>
        <w:t>.-</w:t>
      </w:r>
      <w:r w:rsidR="00852D0C" w:rsidRPr="008762D1">
        <w:rPr>
          <w:rFonts w:ascii="ITC Avant Garde" w:hAnsi="ITC Avant Garde"/>
          <w:color w:val="000000" w:themeColor="text1"/>
          <w:spacing w:val="1"/>
          <w:lang w:eastAsia="es-ES_tradnl"/>
        </w:rPr>
        <w:t xml:space="preserve"> </w:t>
      </w:r>
      <w:r w:rsidR="00852D0C" w:rsidRPr="008762D1">
        <w:rPr>
          <w:rFonts w:ascii="ITC Avant Garde" w:hAnsi="ITC Avant Garde" w:cs="Segoe UI"/>
          <w:color w:val="000000" w:themeColor="text1"/>
        </w:rPr>
        <w:t xml:space="preserve">Notifíquese personalmente a </w:t>
      </w:r>
      <w:r w:rsidR="00852D0C" w:rsidRPr="008762D1">
        <w:rPr>
          <w:rFonts w:ascii="ITC Avant Garde" w:hAnsi="ITC Avant Garde" w:cs="Arial"/>
          <w:snapToGrid w:val="0"/>
          <w:color w:val="000000" w:themeColor="text1"/>
        </w:rPr>
        <w:t>Teléfonos de México, S.A.B de C.V.</w:t>
      </w:r>
      <w:bookmarkEnd w:id="2"/>
      <w:bookmarkEnd w:id="3"/>
    </w:p>
    <w:p w14:paraId="389709E5" w14:textId="36FC273B" w:rsidR="00A74B03" w:rsidRPr="00A04FEF" w:rsidRDefault="00A74B03" w:rsidP="000F0B9F">
      <w:pPr>
        <w:pStyle w:val="Prrafodelista"/>
        <w:spacing w:before="240" w:after="0" w:line="240" w:lineRule="auto"/>
        <w:ind w:left="0"/>
        <w:jc w:val="both"/>
        <w:rPr>
          <w:color w:val="000000" w:themeColor="text1"/>
          <w:sz w:val="14"/>
          <w:lang w:val="es-ES_tradnl"/>
        </w:rPr>
      </w:pPr>
      <w:r w:rsidRPr="008762D1">
        <w:rPr>
          <w:rFonts w:ascii="ITC Avant Garde" w:hAnsi="ITC Avant Garde"/>
          <w:color w:val="000000" w:themeColor="text1"/>
          <w:sz w:val="14"/>
          <w:lang w:val="es-ES_tradnl"/>
        </w:rPr>
        <w:t xml:space="preserve">La presente Resolución fue aprobada por el Pleno del Instituto Federal de Telecomunicaciones en su XLIII Sesión Ordinaria celebrada el 1 de noviembre de 2017, </w:t>
      </w:r>
      <w:r w:rsidRPr="008762D1">
        <w:rPr>
          <w:rFonts w:ascii="ITC Avant Garde" w:hAnsi="ITC Avant Garde"/>
          <w:bCs/>
          <w:color w:val="000000" w:themeColor="text1"/>
          <w:sz w:val="14"/>
          <w:lang w:val="es-ES_tradnl"/>
        </w:rPr>
        <w:t>por unanimidad</w:t>
      </w:r>
      <w:r w:rsidRPr="008762D1">
        <w:rPr>
          <w:rFonts w:ascii="ITC Avant Garde" w:hAnsi="ITC Avant Garde"/>
          <w:color w:val="000000" w:themeColor="text1"/>
          <w:sz w:val="14"/>
          <w:lang w:val="es-ES_tradnl"/>
        </w:rPr>
        <w:t xml:space="preserve"> de votos de los Comisionados Gabriel Oswaldo Contreras Saldívar, Adriana Sofía </w:t>
      </w:r>
      <w:proofErr w:type="spellStart"/>
      <w:r w:rsidRPr="008762D1">
        <w:rPr>
          <w:rFonts w:ascii="ITC Avant Garde" w:hAnsi="ITC Avant Garde"/>
          <w:color w:val="000000" w:themeColor="text1"/>
          <w:sz w:val="14"/>
          <w:lang w:val="es-ES_tradnl"/>
        </w:rPr>
        <w:t>Labardini</w:t>
      </w:r>
      <w:proofErr w:type="spellEnd"/>
      <w:r w:rsidRPr="008762D1">
        <w:rPr>
          <w:rFonts w:ascii="ITC Avant Garde" w:hAnsi="ITC Avant Garde"/>
          <w:color w:val="000000" w:themeColor="text1"/>
          <w:sz w:val="14"/>
          <w:lang w:val="es-ES_tradnl"/>
        </w:rPr>
        <w:t xml:space="preserve"> </w:t>
      </w:r>
      <w:proofErr w:type="spellStart"/>
      <w:r w:rsidRPr="008762D1">
        <w:rPr>
          <w:rFonts w:ascii="ITC Avant Garde" w:hAnsi="ITC Avant Garde"/>
          <w:color w:val="000000" w:themeColor="text1"/>
          <w:sz w:val="14"/>
          <w:lang w:val="es-ES_tradnl"/>
        </w:rPr>
        <w:t>Inzunza</w:t>
      </w:r>
      <w:proofErr w:type="spellEnd"/>
      <w:r w:rsidRPr="008762D1">
        <w:rPr>
          <w:rFonts w:ascii="ITC Avant Garde" w:hAnsi="ITC Avant Garde"/>
          <w:color w:val="000000" w:themeColor="text1"/>
          <w:sz w:val="14"/>
          <w:lang w:val="es-ES_tradnl"/>
        </w:rPr>
        <w:t xml:space="preserve">, María Elena </w:t>
      </w:r>
      <w:proofErr w:type="spellStart"/>
      <w:r w:rsidRPr="008762D1">
        <w:rPr>
          <w:rFonts w:ascii="ITC Avant Garde" w:hAnsi="ITC Avant Garde"/>
          <w:color w:val="000000" w:themeColor="text1"/>
          <w:sz w:val="14"/>
          <w:lang w:val="es-ES_tradnl"/>
        </w:rPr>
        <w:t>Estavillo</w:t>
      </w:r>
      <w:proofErr w:type="spellEnd"/>
      <w:r w:rsidRPr="008762D1">
        <w:rPr>
          <w:rFonts w:ascii="ITC Avant Garde" w:hAnsi="ITC Avant Garde"/>
          <w:color w:val="000000" w:themeColor="text1"/>
          <w:sz w:val="14"/>
          <w:lang w:val="es-ES_tradnl"/>
        </w:rPr>
        <w:t xml:space="preserve"> Flores, Mario Germán </w:t>
      </w:r>
      <w:proofErr w:type="spellStart"/>
      <w:r w:rsidRPr="008762D1">
        <w:rPr>
          <w:rFonts w:ascii="ITC Avant Garde" w:hAnsi="ITC Avant Garde"/>
          <w:color w:val="000000" w:themeColor="text1"/>
          <w:sz w:val="14"/>
          <w:lang w:val="es-ES_tradnl"/>
        </w:rPr>
        <w:t>Fromow</w:t>
      </w:r>
      <w:proofErr w:type="spellEnd"/>
      <w:r w:rsidRPr="008762D1">
        <w:rPr>
          <w:rFonts w:ascii="ITC Avant Garde" w:hAnsi="ITC Avant Garde"/>
          <w:color w:val="000000" w:themeColor="text1"/>
          <w:sz w:val="14"/>
          <w:lang w:val="es-ES_tradnl"/>
        </w:rPr>
        <w:t xml:space="preserve"> Rangel, Adolfo Cuevas Teja, Javier Juárez Mojica y Arturo Robles </w:t>
      </w:r>
      <w:proofErr w:type="spellStart"/>
      <w:r w:rsidRPr="008762D1">
        <w:rPr>
          <w:rFonts w:ascii="ITC Avant Garde" w:hAnsi="ITC Avant Garde"/>
          <w:color w:val="000000" w:themeColor="text1"/>
          <w:sz w:val="14"/>
          <w:lang w:val="es-ES_tradnl"/>
        </w:rPr>
        <w:t>Rovalo</w:t>
      </w:r>
      <w:proofErr w:type="spellEnd"/>
      <w:r w:rsidRPr="008762D1">
        <w:rPr>
          <w:rFonts w:ascii="ITC Avant Garde" w:hAnsi="ITC Avant Garde"/>
          <w:color w:val="000000" w:themeColor="text1"/>
          <w:sz w:val="14"/>
          <w:lang w:val="es-ES_tradnl"/>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P/IFT/011117/654.</w:t>
      </w:r>
    </w:p>
    <w:p w14:paraId="41A73255" w14:textId="77777777" w:rsidR="00526FE9" w:rsidRPr="008762D1" w:rsidRDefault="00A74B03" w:rsidP="000F0B9F">
      <w:pPr>
        <w:pStyle w:val="Prrafodelista"/>
        <w:spacing w:before="240" w:after="0" w:line="240" w:lineRule="auto"/>
        <w:ind w:left="0"/>
        <w:jc w:val="both"/>
        <w:rPr>
          <w:rFonts w:ascii="ITC Avant Garde" w:hAnsi="ITC Avant Garde"/>
          <w:color w:val="000000" w:themeColor="text1"/>
          <w:sz w:val="14"/>
          <w:lang w:val="es-ES_tradnl"/>
        </w:rPr>
        <w:sectPr w:rsidR="00526FE9" w:rsidRPr="008762D1" w:rsidSect="00D11C78">
          <w:footerReference w:type="default" r:id="rId11"/>
          <w:pgSz w:w="12240" w:h="15840"/>
          <w:pgMar w:top="1985" w:right="1752" w:bottom="992" w:left="1701" w:header="709" w:footer="709" w:gutter="0"/>
          <w:cols w:space="708"/>
          <w:docGrid w:linePitch="360"/>
        </w:sectPr>
      </w:pPr>
      <w:r w:rsidRPr="008762D1">
        <w:rPr>
          <w:rFonts w:ascii="ITC Avant Garde" w:hAnsi="ITC Avant Garde"/>
          <w:color w:val="000000" w:themeColor="text1"/>
          <w:sz w:val="14"/>
          <w:lang w:val="es-ES_tradnl"/>
        </w:rPr>
        <w:t xml:space="preserve">El Comisionado Mario Germán </w:t>
      </w:r>
      <w:proofErr w:type="spellStart"/>
      <w:r w:rsidRPr="008762D1">
        <w:rPr>
          <w:rFonts w:ascii="ITC Avant Garde" w:hAnsi="ITC Avant Garde"/>
          <w:color w:val="000000" w:themeColor="text1"/>
          <w:sz w:val="14"/>
          <w:lang w:val="es-ES_tradnl"/>
        </w:rPr>
        <w:t>Fromow</w:t>
      </w:r>
      <w:proofErr w:type="spellEnd"/>
      <w:r w:rsidRPr="008762D1">
        <w:rPr>
          <w:rFonts w:ascii="ITC Avant Garde" w:hAnsi="ITC Avant Garde"/>
          <w:color w:val="000000" w:themeColor="text1"/>
          <w:sz w:val="14"/>
          <w:lang w:val="es-ES_tradnl"/>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14:paraId="0C4DBA60" w14:textId="202F329B" w:rsidR="000F0B9F" w:rsidRPr="008762D1" w:rsidRDefault="00526FE9" w:rsidP="00FC1DB8">
      <w:pPr>
        <w:pStyle w:val="Ttulo1"/>
        <w:rPr>
          <w:color w:val="000000" w:themeColor="text1"/>
        </w:rPr>
      </w:pPr>
      <w:r w:rsidRPr="008762D1">
        <w:rPr>
          <w:color w:val="000000" w:themeColor="text1"/>
        </w:rPr>
        <w:lastRenderedPageBreak/>
        <w:t xml:space="preserve">CONVENIO MARCO DE INTERCONEXIÓN QUE CELEBRAN, POR UNA PARTE, TELÉFONOS DE MÉXICO, S.A.B. DE C.V., EN LO SUCESIVO "TELMEX", REPRESENTADA EN ESTE ACTO POR EL SEÑOR LICENCIADO ALEJANDRO COCA SÁNCHEZ, Y, POR LA OTRA, </w:t>
      </w:r>
      <w:r w:rsidR="00A04FEF" w:rsidRPr="00A04FEF">
        <w:rPr>
          <w:color w:val="0000FF"/>
        </w:rPr>
        <w:t>(…)</w:t>
      </w:r>
      <w:r w:rsidR="00A04FEF">
        <w:rPr>
          <w:b w:val="0"/>
          <w:color w:val="0000FF"/>
        </w:rPr>
        <w:t xml:space="preserve"> </w:t>
      </w:r>
      <w:r w:rsidR="00A04FEF">
        <w:rPr>
          <w:color w:val="000000" w:themeColor="text1"/>
        </w:rPr>
        <w:t>EN LO SUCESIVO “</w:t>
      </w:r>
      <w:r w:rsidR="00A04FEF" w:rsidRPr="00A04FEF">
        <w:rPr>
          <w:color w:val="0000FF"/>
        </w:rPr>
        <w:t>(…)</w:t>
      </w:r>
      <w:r w:rsidR="00A04FEF">
        <w:rPr>
          <w:b w:val="0"/>
          <w:color w:val="0000FF"/>
        </w:rPr>
        <w:t xml:space="preserve"> </w:t>
      </w:r>
      <w:r w:rsidRPr="008762D1">
        <w:rPr>
          <w:color w:val="000000" w:themeColor="text1"/>
        </w:rPr>
        <w:t xml:space="preserve">", REPRESENTADA EN ESTE ACTO POR EL SEÑOR </w:t>
      </w:r>
      <w:r w:rsidR="00A04FEF" w:rsidRPr="00A04FEF">
        <w:rPr>
          <w:color w:val="0000FF"/>
        </w:rPr>
        <w:t>(…)</w:t>
      </w:r>
      <w:r w:rsidRPr="008762D1">
        <w:rPr>
          <w:color w:val="000000" w:themeColor="text1"/>
        </w:rPr>
        <w:t>, DE ACUERDO CON LAS SIGUIENTES DECLARACIONES Y CLÁUSULAS:</w:t>
      </w:r>
    </w:p>
    <w:p w14:paraId="75FDEFA7" w14:textId="77777777" w:rsidR="000F0B9F" w:rsidRPr="008762D1" w:rsidRDefault="00526FE9" w:rsidP="00FC1DB8">
      <w:pPr>
        <w:pStyle w:val="Ttulo2"/>
        <w:spacing w:before="240" w:after="0"/>
        <w:jc w:val="center"/>
        <w:rPr>
          <w:color w:val="000000" w:themeColor="text1"/>
        </w:rPr>
      </w:pPr>
      <w:r w:rsidRPr="008762D1">
        <w:rPr>
          <w:color w:val="000000" w:themeColor="text1"/>
        </w:rPr>
        <w:t>D E C L A R A C I O N E S</w:t>
      </w:r>
    </w:p>
    <w:p w14:paraId="16254A15" w14:textId="29106BA2" w:rsidR="000F0B9F" w:rsidRPr="008762D1" w:rsidRDefault="00526FE9" w:rsidP="000F0B9F">
      <w:pPr>
        <w:autoSpaceDE w:val="0"/>
        <w:autoSpaceDN w:val="0"/>
        <w:adjustRightInd w:val="0"/>
        <w:spacing w:before="240"/>
        <w:jc w:val="both"/>
        <w:rPr>
          <w:rFonts w:ascii="ITC Avant Garde" w:hAnsi="ITC Avant Garde" w:cs="Arial"/>
          <w:iCs/>
          <w:color w:val="000000" w:themeColor="text1"/>
        </w:rPr>
      </w:pPr>
      <w:r w:rsidRPr="008762D1">
        <w:rPr>
          <w:rFonts w:ascii="ITC Avant Garde" w:hAnsi="ITC Avant Garde" w:cs="Arial"/>
          <w:color w:val="000000" w:themeColor="text1"/>
        </w:rPr>
        <w:t xml:space="preserve">l. Declara </w:t>
      </w:r>
      <w:r w:rsidRPr="008762D1">
        <w:rPr>
          <w:rFonts w:ascii="ITC Avant Garde" w:hAnsi="ITC Avant Garde" w:cs="Arial"/>
          <w:iCs/>
          <w:color w:val="000000" w:themeColor="text1"/>
        </w:rPr>
        <w:t>Telmex, por medio de su Representante Legal:</w:t>
      </w:r>
    </w:p>
    <w:p w14:paraId="6998DBFF" w14:textId="77777777" w:rsidR="000F0B9F" w:rsidRPr="008762D1" w:rsidRDefault="00526FE9" w:rsidP="000F0B9F">
      <w:pPr>
        <w:numPr>
          <w:ilvl w:val="0"/>
          <w:numId w:val="19"/>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libro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14:paraId="3DCC62CC" w14:textId="77777777" w:rsidR="000F0B9F" w:rsidRPr="008762D1" w:rsidRDefault="00526FE9" w:rsidP="000F0B9F">
      <w:pPr>
        <w:numPr>
          <w:ilvl w:val="0"/>
          <w:numId w:val="19"/>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Tener Título de Concesión de Red Pública de Telecomunicaciones vigente otorgado por el Gobierno Federal. Copia del Título de Concesión de Telmex completa con todos sus anexos y modificaciones a la fecha se acompaña al presente Convenio como Apéndice I "A”;</w:t>
      </w:r>
    </w:p>
    <w:p w14:paraId="71A6A43A" w14:textId="77777777" w:rsidR="000F0B9F" w:rsidRPr="008762D1" w:rsidRDefault="00526FE9" w:rsidP="000F0B9F">
      <w:pPr>
        <w:numPr>
          <w:ilvl w:val="0"/>
          <w:numId w:val="19"/>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Que su representante legal cuenta con las facultades suficientes para obligar a su representada en los términos del presente Convenio, tal y como lo acredita con copia certificada de la 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14:paraId="4546CCEC" w14:textId="2E90438C" w:rsidR="000F0B9F" w:rsidRPr="008762D1" w:rsidRDefault="00526FE9" w:rsidP="000F0B9F">
      <w:pPr>
        <w:numPr>
          <w:ilvl w:val="0"/>
          <w:numId w:val="19"/>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Que conforme a la Ley Federal de Telecomunicaciones y Radiodifusión y demás disposiciones legales, reglamentarias y administrativas aplicables desea interconectar su Red Pública de Telecomunicaciones con la Red Pública de Telecomunicaciones de </w:t>
      </w:r>
      <w:r w:rsidR="00A04FEF" w:rsidRPr="00A04FEF">
        <w:rPr>
          <w:rFonts w:cs="Arial"/>
          <w:b/>
          <w:color w:val="0000FF"/>
        </w:rPr>
        <w:t>(…)</w:t>
      </w:r>
      <w:r w:rsidR="00A04FEF">
        <w:rPr>
          <w:b/>
          <w:color w:val="0000FF"/>
        </w:rPr>
        <w:t xml:space="preserve"> </w:t>
      </w:r>
      <w:r w:rsidRPr="008762D1">
        <w:rPr>
          <w:rFonts w:ascii="ITC Avant Garde" w:hAnsi="ITC Avant Garde" w:cs="Arial"/>
          <w:color w:val="000000" w:themeColor="text1"/>
        </w:rPr>
        <w:t xml:space="preserve">(en adelante la "Red de </w:t>
      </w:r>
      <w:r w:rsidR="00A04FEF" w:rsidRPr="00A04FEF">
        <w:rPr>
          <w:rFonts w:cs="Arial"/>
          <w:b/>
          <w:color w:val="0000FF"/>
        </w:rPr>
        <w:t>(…)</w:t>
      </w:r>
      <w:r w:rsidRPr="008762D1">
        <w:rPr>
          <w:rFonts w:ascii="ITC Avant Garde" w:hAnsi="ITC Avant Garde" w:cs="Arial"/>
          <w:color w:val="000000" w:themeColor="text1"/>
        </w:rPr>
        <w:t>, y</w:t>
      </w:r>
    </w:p>
    <w:p w14:paraId="02F449B4" w14:textId="77777777" w:rsidR="000F0B9F" w:rsidRPr="008762D1" w:rsidRDefault="00526FE9" w:rsidP="000F0B9F">
      <w:pPr>
        <w:numPr>
          <w:ilvl w:val="0"/>
          <w:numId w:val="19"/>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Que no se encuentra limitado por disposición judicial, legal, administrativa o contractual alguna para la celebración del presente Convenio, por lo </w:t>
      </w:r>
      <w:r w:rsidRPr="008762D1">
        <w:rPr>
          <w:rFonts w:ascii="ITC Avant Garde" w:hAnsi="ITC Avant Garde" w:cs="Arial"/>
          <w:color w:val="000000" w:themeColor="text1"/>
        </w:rPr>
        <w:lastRenderedPageBreak/>
        <w:t>que no se requiere de acto posterior alguno a la celebración del mismo para que Telmex se encuentre obligado en sus términos.</w:t>
      </w:r>
    </w:p>
    <w:p w14:paraId="0124E88E" w14:textId="77777777" w:rsidR="000F0B9F" w:rsidRPr="008762D1" w:rsidRDefault="00526FE9" w:rsidP="000F0B9F">
      <w:pPr>
        <w:widowControl w:val="0"/>
        <w:numPr>
          <w:ilvl w:val="0"/>
          <w:numId w:val="19"/>
        </w:numPr>
        <w:spacing w:before="240" w:after="0" w:line="240" w:lineRule="auto"/>
        <w:jc w:val="both"/>
        <w:rPr>
          <w:rFonts w:ascii="ITC Avant Garde" w:hAnsi="ITC Avant Garde" w:cs="Times New Roman"/>
          <w:color w:val="000000" w:themeColor="text1"/>
        </w:rPr>
      </w:pPr>
      <w:r w:rsidRPr="008762D1">
        <w:rPr>
          <w:rFonts w:ascii="ITC Avant Garde" w:hAnsi="ITC Avant Garde"/>
          <w:color w:val="000000" w:themeColor="text1"/>
        </w:rPr>
        <w:t xml:space="preserve">Telmex ha impugnado en tiempo y forma el Acuerdo emitido por el Instituto en Sesión Ordinaria de fecha 26 de marzo de 2014, mediante el cual determina tarifas asimétricas para Telmex (“Acuerdo de Tarifas”), 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 el Acuerdo mediante el cual el Pleno del Instituto Federal de Telecomunicaciones define los puntos de interconexión a la red pública de telecomunicaciones del Agente Económico Preponderante, publicado en el Diario Oficial de la Federación el 17 de febrero de 2015, así como la “Resolución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 (en lo sucesivo la “Resolución Bienal”), determinada mediante Acuerdo P/IFT/EXT/270217/119 de fecha 27 de febrero de 2017. </w:t>
      </w:r>
    </w:p>
    <w:p w14:paraId="40F0F735" w14:textId="77777777" w:rsidR="000F0B9F" w:rsidRPr="008762D1" w:rsidRDefault="00526FE9" w:rsidP="000F0B9F">
      <w:pPr>
        <w:widowControl w:val="0"/>
        <w:spacing w:before="240"/>
        <w:ind w:left="851"/>
        <w:jc w:val="both"/>
        <w:rPr>
          <w:rFonts w:ascii="ITC Avant Garde" w:hAnsi="ITC Avant Garde" w:cs="Times New Roman"/>
          <w:color w:val="000000" w:themeColor="text1"/>
        </w:rPr>
      </w:pPr>
      <w:r w:rsidRPr="008762D1">
        <w:rPr>
          <w:rFonts w:ascii="ITC Avant Garde" w:hAnsi="ITC Avant Garde"/>
          <w:color w:val="000000" w:themeColor="text1"/>
        </w:rPr>
        <w:t>En ese sentido, Telmex hace reserva expresa de su derecho a impugnar cualquier otra norma, resolución, plan, lineamiento general, acuerdo o acto de autoridad que resulte de las resoluciones, acuerdos o de la Ley señalados en el párrafo anterior, así como cualquier otro acto de autoridad que pretenda derivarse de los términos y condiciones ofrecidos por Telmex en el presente Convenio. Por lo tanto, la celebración de este Convenio no implica consentimiento o reconocimiento, expreso o tácito, sobre la validez, constitucionalidad, legalidad o procedencia de cualesquiera obligaciones contenidas en la resolución, acuerdos, en la Ley y en la Resolución Bienal mencionados.</w:t>
      </w:r>
    </w:p>
    <w:p w14:paraId="34081B7F" w14:textId="05F66E1F"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II. Declara </w:t>
      </w:r>
      <w:r w:rsidR="00A04FEF" w:rsidRPr="00A04FEF">
        <w:rPr>
          <w:rFonts w:cs="Arial"/>
          <w:b/>
          <w:color w:val="0000FF"/>
        </w:rPr>
        <w:t>(…)</w:t>
      </w:r>
      <w:r w:rsidRPr="008762D1">
        <w:rPr>
          <w:rFonts w:ascii="ITC Avant Garde" w:hAnsi="ITC Avant Garde" w:cs="Arial"/>
          <w:iCs/>
          <w:color w:val="000000" w:themeColor="text1"/>
        </w:rPr>
        <w:t>, por medio de su Representante Legal</w:t>
      </w:r>
      <w:r w:rsidRPr="008762D1">
        <w:rPr>
          <w:rFonts w:ascii="ITC Avant Garde" w:hAnsi="ITC Avant Garde" w:cs="Arial"/>
          <w:color w:val="000000" w:themeColor="text1"/>
        </w:rPr>
        <w:t>:</w:t>
      </w:r>
    </w:p>
    <w:p w14:paraId="2A00D4F2" w14:textId="61EEB6C1" w:rsidR="000F0B9F" w:rsidRPr="008762D1" w:rsidRDefault="00526FE9" w:rsidP="000F0B9F">
      <w:pPr>
        <w:numPr>
          <w:ilvl w:val="0"/>
          <w:numId w:val="20"/>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Ser una sociedad anónima mexicana, constituida conforme a las leyes de los Estados Unidos Mexicanos, mediante escritura pública número</w:t>
      </w:r>
      <w:r w:rsidRPr="00A04FEF">
        <w:rPr>
          <w:rFonts w:ascii="ITC Avant Garde" w:hAnsi="ITC Avant Garde" w:cs="Arial"/>
          <w:b/>
          <w:color w:val="000000" w:themeColor="text1"/>
        </w:rPr>
        <w:t xml:space="preserve"> </w:t>
      </w:r>
      <w:r w:rsidR="00A04FEF" w:rsidRPr="00A04FEF">
        <w:rPr>
          <w:rFonts w:cs="Arial"/>
          <w:b/>
          <w:color w:val="0000FF"/>
        </w:rPr>
        <w:t>(…)</w:t>
      </w:r>
      <w:r w:rsidR="00A04FEF">
        <w:rPr>
          <w:b/>
          <w:color w:val="0000FF"/>
        </w:rPr>
        <w:t xml:space="preserve"> </w:t>
      </w:r>
      <w:r w:rsidRPr="008762D1">
        <w:rPr>
          <w:rFonts w:ascii="ITC Avant Garde" w:hAnsi="ITC Avant Garde" w:cs="Arial"/>
          <w:color w:val="000000" w:themeColor="text1"/>
        </w:rPr>
        <w:t xml:space="preserve">de fecha </w:t>
      </w:r>
      <w:r w:rsidR="00A04FEF" w:rsidRPr="00A04FEF">
        <w:rPr>
          <w:rFonts w:cs="Arial"/>
          <w:b/>
          <w:color w:val="0000FF"/>
        </w:rPr>
        <w:t>(…)</w:t>
      </w:r>
      <w:r w:rsidR="00A04FEF" w:rsidRPr="00A04FEF">
        <w:rPr>
          <w:b/>
          <w:color w:val="0000FF"/>
        </w:rPr>
        <w:t xml:space="preserve"> </w:t>
      </w:r>
      <w:r w:rsidRPr="008762D1">
        <w:rPr>
          <w:rFonts w:ascii="ITC Avant Garde" w:hAnsi="ITC Avant Garde" w:cs="Arial"/>
          <w:color w:val="000000" w:themeColor="text1"/>
        </w:rPr>
        <w:t xml:space="preserve"> de </w:t>
      </w:r>
      <w:r w:rsidR="00A04FEF" w:rsidRPr="00A04FEF">
        <w:rPr>
          <w:rFonts w:cs="Arial"/>
          <w:b/>
          <w:color w:val="0000FF"/>
        </w:rPr>
        <w:t>(…)</w:t>
      </w:r>
      <w:r w:rsidR="00A04FEF">
        <w:rPr>
          <w:b/>
          <w:color w:val="0000FF"/>
        </w:rPr>
        <w:t xml:space="preserve"> </w:t>
      </w:r>
      <w:r w:rsidRPr="008762D1">
        <w:rPr>
          <w:rFonts w:ascii="ITC Avant Garde" w:hAnsi="ITC Avant Garde" w:cs="Arial"/>
          <w:color w:val="000000" w:themeColor="text1"/>
        </w:rPr>
        <w:t xml:space="preserve"> de</w:t>
      </w:r>
      <w:r w:rsidR="00A04FEF">
        <w:rPr>
          <w:rFonts w:ascii="ITC Avant Garde" w:hAnsi="ITC Avant Garde" w:cs="Arial"/>
          <w:color w:val="000000" w:themeColor="text1"/>
        </w:rPr>
        <w:t xml:space="preserve"> </w:t>
      </w:r>
      <w:r w:rsidR="00A04FEF" w:rsidRPr="00A04FEF">
        <w:rPr>
          <w:rFonts w:cs="Arial"/>
          <w:b/>
          <w:color w:val="0000FF"/>
        </w:rPr>
        <w:t>(…)</w:t>
      </w:r>
      <w:r w:rsidRPr="008762D1">
        <w:rPr>
          <w:rFonts w:ascii="ITC Avant Garde" w:hAnsi="ITC Avant Garde" w:cs="Arial"/>
          <w:color w:val="000000" w:themeColor="text1"/>
        </w:rPr>
        <w:t xml:space="preserve">, otorgada ante la fe del Licenciado </w:t>
      </w:r>
      <w:r w:rsidR="00A04FEF" w:rsidRPr="00A04FEF">
        <w:rPr>
          <w:rFonts w:cs="Arial"/>
          <w:b/>
          <w:color w:val="0000FF"/>
        </w:rPr>
        <w:t>(…)</w:t>
      </w:r>
      <w:r w:rsidRPr="008762D1">
        <w:rPr>
          <w:rFonts w:ascii="ITC Avant Garde" w:hAnsi="ITC Avant Garde" w:cs="Arial"/>
          <w:color w:val="000000" w:themeColor="text1"/>
        </w:rPr>
        <w:t xml:space="preserve">, Notario Público número __ de la Ciudad de </w:t>
      </w:r>
      <w:r w:rsidR="00A04FEF" w:rsidRPr="00A04FEF">
        <w:rPr>
          <w:rFonts w:cs="Arial"/>
          <w:b/>
          <w:color w:val="0000FF"/>
        </w:rPr>
        <w:t>(…)</w:t>
      </w:r>
      <w:r w:rsidRPr="008762D1">
        <w:rPr>
          <w:rFonts w:ascii="ITC Avant Garde" w:hAnsi="ITC Avant Garde" w:cs="Arial"/>
          <w:color w:val="000000" w:themeColor="text1"/>
        </w:rPr>
        <w:t xml:space="preserve">, misma que se encuentra inscrita en el Registro Público de Comercio de la Ciudad de </w:t>
      </w:r>
      <w:r w:rsidR="00A04FEF" w:rsidRPr="00A04FEF">
        <w:rPr>
          <w:rFonts w:cs="Arial"/>
          <w:b/>
          <w:color w:val="0000FF"/>
        </w:rPr>
        <w:t>(…)</w:t>
      </w:r>
      <w:r w:rsidRPr="008762D1">
        <w:rPr>
          <w:rFonts w:ascii="ITC Avant Garde" w:hAnsi="ITC Avant Garde" w:cs="Arial"/>
          <w:color w:val="000000" w:themeColor="text1"/>
        </w:rPr>
        <w:t xml:space="preserve">, número </w:t>
      </w:r>
      <w:r w:rsidR="00A04FEF" w:rsidRPr="00A04FEF">
        <w:rPr>
          <w:rFonts w:cs="Arial"/>
          <w:b/>
          <w:color w:val="0000FF"/>
        </w:rPr>
        <w:t>(…)</w:t>
      </w:r>
      <w:r w:rsidRPr="008762D1">
        <w:rPr>
          <w:rFonts w:ascii="ITC Avant Garde" w:hAnsi="ITC Avant Garde" w:cs="Arial"/>
          <w:color w:val="000000" w:themeColor="text1"/>
        </w:rPr>
        <w:t xml:space="preserve">, de la sección comercio, volumen </w:t>
      </w:r>
      <w:r w:rsidR="00A04FEF" w:rsidRPr="00A04FEF">
        <w:rPr>
          <w:rFonts w:cs="Arial"/>
          <w:b/>
          <w:color w:val="0000FF"/>
        </w:rPr>
        <w:t>(…)</w:t>
      </w:r>
      <w:r w:rsidRPr="008762D1">
        <w:rPr>
          <w:rFonts w:ascii="ITC Avant Garde" w:hAnsi="ITC Avant Garde" w:cs="Arial"/>
          <w:color w:val="000000" w:themeColor="text1"/>
        </w:rPr>
        <w:t xml:space="preserve">, Libro _ de fecha </w:t>
      </w:r>
      <w:r w:rsidR="00A04FEF" w:rsidRPr="00A04FEF">
        <w:rPr>
          <w:rFonts w:cs="Arial"/>
          <w:b/>
          <w:color w:val="0000FF"/>
        </w:rPr>
        <w:t>(…)</w:t>
      </w:r>
      <w:r w:rsidRPr="008762D1">
        <w:rPr>
          <w:rFonts w:ascii="ITC Avant Garde" w:hAnsi="ITC Avant Garde" w:cs="Arial"/>
          <w:color w:val="000000" w:themeColor="text1"/>
        </w:rPr>
        <w:t xml:space="preserve"> de </w:t>
      </w:r>
      <w:r w:rsidR="00A04FEF" w:rsidRPr="00A04FEF">
        <w:rPr>
          <w:rFonts w:cs="Arial"/>
          <w:b/>
          <w:color w:val="0000FF"/>
        </w:rPr>
        <w:t>(…)</w:t>
      </w:r>
      <w:r w:rsidR="00A04FEF">
        <w:rPr>
          <w:rFonts w:ascii="ITC Avant Garde" w:hAnsi="ITC Avant Garde" w:cs="Arial"/>
          <w:color w:val="000000" w:themeColor="text1"/>
        </w:rPr>
        <w:t xml:space="preserve"> de </w:t>
      </w:r>
      <w:r w:rsidR="00A04FEF" w:rsidRPr="00A04FEF">
        <w:rPr>
          <w:rFonts w:cs="Arial"/>
          <w:b/>
          <w:color w:val="0000FF"/>
        </w:rPr>
        <w:t>(…)</w:t>
      </w:r>
      <w:r w:rsidRPr="008762D1">
        <w:rPr>
          <w:rFonts w:ascii="ITC Avant Garde" w:hAnsi="ITC Avant Garde" w:cs="Arial"/>
          <w:color w:val="000000" w:themeColor="text1"/>
        </w:rPr>
        <w:t>.</w:t>
      </w:r>
    </w:p>
    <w:p w14:paraId="074C13E1" w14:textId="2BAB1E8C" w:rsidR="000F0B9F" w:rsidRPr="008762D1" w:rsidRDefault="00526FE9" w:rsidP="000F0B9F">
      <w:pPr>
        <w:numPr>
          <w:ilvl w:val="0"/>
          <w:numId w:val="20"/>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lastRenderedPageBreak/>
        <w:t xml:space="preserve">Tener Título de Concesión de Red Pública de Telecomunicaciones vigente otorgado por el Gobierno Federal. Se agrega copia del Título de Concesión de </w:t>
      </w:r>
      <w:r w:rsidR="00A04FEF" w:rsidRPr="00A04FEF">
        <w:rPr>
          <w:rFonts w:cs="Arial"/>
          <w:b/>
          <w:color w:val="0000FF"/>
        </w:rPr>
        <w:t>(…)</w:t>
      </w:r>
      <w:r w:rsidR="00A04FEF">
        <w:rPr>
          <w:rFonts w:cs="Arial"/>
          <w:b/>
          <w:color w:val="0000FF"/>
        </w:rPr>
        <w:t xml:space="preserve"> </w:t>
      </w:r>
      <w:r w:rsidRPr="008762D1">
        <w:rPr>
          <w:rFonts w:ascii="ITC Avant Garde" w:hAnsi="ITC Avant Garde" w:cs="Arial"/>
          <w:color w:val="000000" w:themeColor="text1"/>
        </w:rPr>
        <w:t>completa con todos sus anexos y modificaciones a la fecha se acompaña al presente Convenio como Apéndice I "B";</w:t>
      </w:r>
    </w:p>
    <w:p w14:paraId="6F98E508" w14:textId="7290C10D" w:rsidR="000F0B9F" w:rsidRPr="008762D1" w:rsidRDefault="00526FE9" w:rsidP="000F0B9F">
      <w:pPr>
        <w:pStyle w:val="Prrafodelista1"/>
        <w:numPr>
          <w:ilvl w:val="0"/>
          <w:numId w:val="20"/>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Que su representante legal cuenta con las facultades suficientes para obligar a su representada en los términos del presente Convenio, tal y como lo acredita con copia certificada de la Escritura Pública número </w:t>
      </w:r>
      <w:r w:rsidR="00A04FEF" w:rsidRPr="00A04FEF">
        <w:rPr>
          <w:rFonts w:cs="Arial"/>
          <w:b/>
          <w:color w:val="0000FF"/>
        </w:rPr>
        <w:t>(…)</w:t>
      </w:r>
      <w:r w:rsidRPr="008762D1">
        <w:rPr>
          <w:rFonts w:ascii="ITC Avant Garde" w:hAnsi="ITC Avant Garde" w:cs="Arial"/>
          <w:color w:val="000000" w:themeColor="text1"/>
          <w:sz w:val="22"/>
          <w:szCs w:val="22"/>
        </w:rPr>
        <w:t xml:space="preserve"> de fecha </w:t>
      </w:r>
      <w:r w:rsidR="00A04FEF" w:rsidRPr="00A04FEF">
        <w:rPr>
          <w:rFonts w:cs="Arial"/>
          <w:b/>
          <w:color w:val="0000FF"/>
        </w:rPr>
        <w:t>(…)</w:t>
      </w:r>
      <w:r w:rsidRPr="008762D1">
        <w:rPr>
          <w:rFonts w:ascii="ITC Avant Garde" w:hAnsi="ITC Avant Garde" w:cs="Arial"/>
          <w:color w:val="000000" w:themeColor="text1"/>
          <w:sz w:val="22"/>
          <w:szCs w:val="22"/>
        </w:rPr>
        <w:t xml:space="preserve"> de </w:t>
      </w:r>
      <w:r w:rsidR="00A04FEF" w:rsidRPr="00A04FEF">
        <w:rPr>
          <w:rFonts w:cs="Arial"/>
          <w:b/>
          <w:color w:val="0000FF"/>
        </w:rPr>
        <w:t>(…)</w:t>
      </w:r>
      <w:r w:rsidRPr="008762D1">
        <w:rPr>
          <w:rFonts w:ascii="ITC Avant Garde" w:hAnsi="ITC Avant Garde" w:cs="Arial"/>
          <w:color w:val="000000" w:themeColor="text1"/>
          <w:sz w:val="22"/>
          <w:szCs w:val="22"/>
        </w:rPr>
        <w:t xml:space="preserve"> de 20__, otorgada ante la fe del Licenciado </w:t>
      </w:r>
      <w:r w:rsidR="00A04FEF" w:rsidRPr="00A04FEF">
        <w:rPr>
          <w:rFonts w:cs="Arial"/>
          <w:b/>
          <w:color w:val="0000FF"/>
        </w:rPr>
        <w:t>(…)</w:t>
      </w:r>
      <w:r w:rsidRPr="008762D1">
        <w:rPr>
          <w:rFonts w:ascii="ITC Avant Garde" w:hAnsi="ITC Avant Garde" w:cs="Arial"/>
          <w:color w:val="000000" w:themeColor="text1"/>
          <w:sz w:val="22"/>
          <w:szCs w:val="22"/>
        </w:rPr>
        <w:t xml:space="preserve">, Notario Público número _ del Municipio de </w:t>
      </w:r>
      <w:r w:rsidR="00A04FEF" w:rsidRPr="00A04FEF">
        <w:rPr>
          <w:rFonts w:cs="Arial"/>
          <w:b/>
          <w:color w:val="0000FF"/>
        </w:rPr>
        <w:t>(…)</w:t>
      </w:r>
      <w:r w:rsidRPr="008762D1">
        <w:rPr>
          <w:rFonts w:ascii="ITC Avant Garde" w:hAnsi="ITC Avant Garde" w:cs="Arial"/>
          <w:color w:val="000000" w:themeColor="text1"/>
          <w:sz w:val="22"/>
          <w:szCs w:val="22"/>
        </w:rPr>
        <w:t xml:space="preserve">, mismo que se encuentra inscrita en el Registro Público de Comercio de </w:t>
      </w:r>
      <w:r w:rsidR="00A04FEF" w:rsidRPr="00A04FEF">
        <w:rPr>
          <w:rFonts w:cs="Arial"/>
          <w:b/>
          <w:color w:val="0000FF"/>
        </w:rPr>
        <w:t>(…)</w:t>
      </w:r>
      <w:r w:rsidR="00A04FEF">
        <w:rPr>
          <w:rFonts w:cs="Arial"/>
          <w:b/>
          <w:color w:val="0000FF"/>
        </w:rPr>
        <w:t xml:space="preserve"> </w:t>
      </w:r>
      <w:r w:rsidRPr="008762D1">
        <w:rPr>
          <w:rFonts w:ascii="ITC Avant Garde" w:hAnsi="ITC Avant Garde" w:cs="Arial"/>
          <w:color w:val="000000" w:themeColor="text1"/>
          <w:sz w:val="22"/>
          <w:szCs w:val="22"/>
        </w:rPr>
        <w:t>una copia certificada del mismo se adjunta al presente documento como Apéndice II "B";</w:t>
      </w:r>
    </w:p>
    <w:p w14:paraId="62B23CE7" w14:textId="00068D6A" w:rsidR="000F0B9F" w:rsidRPr="008762D1" w:rsidRDefault="00526FE9" w:rsidP="000F0B9F">
      <w:pPr>
        <w:numPr>
          <w:ilvl w:val="0"/>
          <w:numId w:val="20"/>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Que conforme a la Ley Federal de Telecomunicaciones y Radiodifusión, y demás disposiciones legales, reglamentarias y administrativas aplicables desea interconectar la Red de </w:t>
      </w:r>
      <w:r w:rsidR="00A04FEF" w:rsidRPr="00A04FEF">
        <w:rPr>
          <w:rFonts w:cs="Arial"/>
          <w:b/>
          <w:color w:val="0000FF"/>
        </w:rPr>
        <w:t>(…)</w:t>
      </w:r>
      <w:r w:rsidRPr="008762D1">
        <w:rPr>
          <w:rFonts w:ascii="ITC Avant Garde" w:hAnsi="ITC Avant Garde" w:cs="Arial"/>
          <w:color w:val="000000" w:themeColor="text1"/>
        </w:rPr>
        <w:t xml:space="preserve"> con la Red de Telmex y, </w:t>
      </w:r>
    </w:p>
    <w:p w14:paraId="6470E00B" w14:textId="77777777" w:rsidR="000F0B9F" w:rsidRPr="008762D1" w:rsidRDefault="00526FE9" w:rsidP="000F0B9F">
      <w:pPr>
        <w:numPr>
          <w:ilvl w:val="0"/>
          <w:numId w:val="20"/>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6D752AE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III. Las Partes declaran y convienen:</w:t>
      </w:r>
    </w:p>
    <w:p w14:paraId="6E1DE820" w14:textId="77777777" w:rsidR="000F0B9F" w:rsidRPr="008762D1" w:rsidRDefault="00526FE9" w:rsidP="000F0B9F">
      <w:pPr>
        <w:numPr>
          <w:ilvl w:val="0"/>
          <w:numId w:val="21"/>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Que las Partes han convenido todas y cada una de las cláusulas contenidas en el presente Convenio, así como los Anexos del mismo a la fecha, bajo los términos y condiciones en ellos establecidos.</w:t>
      </w:r>
    </w:p>
    <w:p w14:paraId="3429F8FA" w14:textId="77777777" w:rsidR="000F0B9F" w:rsidRPr="008762D1" w:rsidRDefault="00526FE9" w:rsidP="000F0B9F">
      <w:pPr>
        <w:numPr>
          <w:ilvl w:val="0"/>
          <w:numId w:val="21"/>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Las Partes convienen y aceptan 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6B5C23F4" w14:textId="5C20DFBF" w:rsidR="000F0B9F" w:rsidRPr="008762D1" w:rsidRDefault="00526FE9" w:rsidP="000F0B9F">
      <w:pPr>
        <w:numPr>
          <w:ilvl w:val="0"/>
          <w:numId w:val="21"/>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Que es su deseo que a partir de la firma del presente convenio, la relación contractual entre las partes se rija conforme a los términos y condiciones de interconexión del presente instrumento y sus anexos. En consecuencia, las partes acuerdan dar por terminados, para todos los efectos legales a que haya lugar, los convenios de interconexión celebrados el </w:t>
      </w:r>
      <w:r w:rsidR="00A04FEF" w:rsidRPr="00A04FEF">
        <w:rPr>
          <w:rFonts w:cs="Arial"/>
          <w:b/>
          <w:color w:val="0000FF"/>
        </w:rPr>
        <w:t>(…)</w:t>
      </w:r>
      <w:r w:rsidRPr="008762D1">
        <w:rPr>
          <w:rFonts w:ascii="ITC Avant Garde" w:hAnsi="ITC Avant Garde" w:cs="Arial"/>
          <w:color w:val="000000" w:themeColor="text1"/>
        </w:rPr>
        <w:t xml:space="preserve"> de </w:t>
      </w:r>
      <w:r w:rsidR="00A04FEF" w:rsidRPr="00A04FEF">
        <w:rPr>
          <w:rFonts w:cs="Arial"/>
          <w:b/>
          <w:color w:val="0000FF"/>
        </w:rPr>
        <w:t>(…)</w:t>
      </w:r>
      <w:r w:rsidRPr="008762D1">
        <w:rPr>
          <w:rFonts w:ascii="ITC Avant Garde" w:hAnsi="ITC Avant Garde" w:cs="Arial"/>
          <w:color w:val="000000" w:themeColor="text1"/>
        </w:rPr>
        <w:t xml:space="preserve"> de </w:t>
      </w:r>
      <w:r w:rsidR="00A04FEF" w:rsidRPr="00A04FEF">
        <w:rPr>
          <w:rFonts w:cs="Arial"/>
          <w:b/>
          <w:color w:val="0000FF"/>
        </w:rPr>
        <w:t>(…)</w:t>
      </w:r>
      <w:r w:rsidRPr="008762D1">
        <w:rPr>
          <w:rFonts w:ascii="ITC Avant Garde" w:hAnsi="ITC Avant Garde" w:cs="Arial"/>
          <w:color w:val="000000" w:themeColor="text1"/>
        </w:rPr>
        <w:t xml:space="preserve"> de interconexión local, </w:t>
      </w:r>
      <w:r w:rsidR="00A04FEF" w:rsidRPr="00A04FEF">
        <w:rPr>
          <w:rFonts w:cs="Arial"/>
          <w:b/>
          <w:color w:val="0000FF"/>
        </w:rPr>
        <w:t>(…)</w:t>
      </w:r>
      <w:r w:rsidRPr="008762D1">
        <w:rPr>
          <w:rFonts w:ascii="ITC Avant Garde" w:hAnsi="ITC Avant Garde" w:cs="Arial"/>
          <w:color w:val="000000" w:themeColor="text1"/>
        </w:rPr>
        <w:t xml:space="preserve"> de </w:t>
      </w:r>
      <w:r w:rsidR="00A04FEF" w:rsidRPr="00A04FEF">
        <w:rPr>
          <w:rFonts w:cs="Arial"/>
          <w:b/>
          <w:color w:val="0000FF"/>
        </w:rPr>
        <w:t>(…)</w:t>
      </w:r>
      <w:r w:rsidRPr="008762D1">
        <w:rPr>
          <w:rFonts w:ascii="ITC Avant Garde" w:hAnsi="ITC Avant Garde" w:cs="Arial"/>
          <w:color w:val="000000" w:themeColor="text1"/>
        </w:rPr>
        <w:t xml:space="preserve"> de </w:t>
      </w:r>
      <w:r w:rsidR="00A04FEF" w:rsidRPr="00A04FEF">
        <w:rPr>
          <w:rFonts w:cs="Arial"/>
          <w:b/>
          <w:color w:val="0000FF"/>
        </w:rPr>
        <w:t>(…)</w:t>
      </w:r>
      <w:r w:rsidRPr="008762D1">
        <w:rPr>
          <w:rFonts w:ascii="ITC Avant Garde" w:hAnsi="ITC Avant Garde" w:cs="Arial"/>
          <w:color w:val="000000" w:themeColor="text1"/>
        </w:rPr>
        <w:t xml:space="preserve"> de interconexión de larga distancia y celebrar el presente Convenio por virtud del cual se establecen los términos y condiciones de interconexión entre la Red de </w:t>
      </w:r>
      <w:r w:rsidR="00A04FEF" w:rsidRPr="00A04FEF">
        <w:rPr>
          <w:rFonts w:cs="Arial"/>
          <w:b/>
          <w:color w:val="0000FF"/>
        </w:rPr>
        <w:t>(…)</w:t>
      </w:r>
      <w:r w:rsidR="00A04FEF">
        <w:rPr>
          <w:rFonts w:cs="Arial"/>
          <w:b/>
          <w:color w:val="0000FF"/>
        </w:rPr>
        <w:t xml:space="preserve"> </w:t>
      </w:r>
      <w:r w:rsidRPr="008762D1">
        <w:rPr>
          <w:rFonts w:ascii="ITC Avant Garde" w:hAnsi="ITC Avant Garde" w:cs="Arial"/>
          <w:color w:val="000000" w:themeColor="text1"/>
        </w:rPr>
        <w:t xml:space="preserve">con la Red de </w:t>
      </w:r>
      <w:r w:rsidRPr="008762D1">
        <w:rPr>
          <w:rFonts w:ascii="ITC Avant Garde" w:hAnsi="ITC Avant Garde" w:cs="Arial"/>
          <w:iCs/>
          <w:color w:val="000000" w:themeColor="text1"/>
        </w:rPr>
        <w:t xml:space="preserve">Telmex, </w:t>
      </w:r>
      <w:r w:rsidRPr="008762D1">
        <w:rPr>
          <w:rFonts w:ascii="ITC Avant Garde" w:hAnsi="ITC Avant Garde" w:cs="Arial"/>
          <w:color w:val="000000" w:themeColor="text1"/>
        </w:rPr>
        <w:t>por lo que están de acuerdo con que el presente Convenio se rija por las Declaraciones precedentes y por las siguientes:</w:t>
      </w:r>
    </w:p>
    <w:p w14:paraId="45BFDB03" w14:textId="5CEE8D47" w:rsidR="000F0B9F" w:rsidRPr="008762D1" w:rsidRDefault="00526FE9" w:rsidP="00DA0894">
      <w:pPr>
        <w:pStyle w:val="Ttulo2"/>
        <w:spacing w:before="240" w:after="0"/>
        <w:jc w:val="center"/>
        <w:rPr>
          <w:color w:val="000000" w:themeColor="text1"/>
        </w:rPr>
      </w:pPr>
      <w:r w:rsidRPr="008762D1">
        <w:rPr>
          <w:color w:val="000000" w:themeColor="text1"/>
        </w:rPr>
        <w:lastRenderedPageBreak/>
        <w:t>CLÁUSULAS</w:t>
      </w:r>
    </w:p>
    <w:p w14:paraId="34EFB306" w14:textId="77777777" w:rsidR="000F0B9F" w:rsidRPr="008762D1" w:rsidRDefault="00526FE9" w:rsidP="000F0B9F">
      <w:pPr>
        <w:autoSpaceDE w:val="0"/>
        <w:autoSpaceDN w:val="0"/>
        <w:adjustRightInd w:val="0"/>
        <w:spacing w:before="240"/>
        <w:jc w:val="center"/>
        <w:rPr>
          <w:rFonts w:ascii="ITC Avant Garde" w:hAnsi="ITC Avant Garde" w:cs="Arial"/>
          <w:b/>
          <w:color w:val="000000" w:themeColor="text1"/>
        </w:rPr>
      </w:pPr>
      <w:r w:rsidRPr="008762D1">
        <w:rPr>
          <w:rFonts w:ascii="ITC Avant Garde" w:hAnsi="ITC Avant Garde" w:cs="Arial"/>
          <w:b/>
          <w:color w:val="000000" w:themeColor="text1"/>
        </w:rPr>
        <w:t>CLÁUSULA PRIMERA.</w:t>
      </w:r>
    </w:p>
    <w:p w14:paraId="362F6BC1" w14:textId="6C41D75B"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DEFINICIONES</w:t>
      </w:r>
      <w:r w:rsidRPr="008762D1">
        <w:rPr>
          <w:rFonts w:ascii="ITC Avant Garde" w:hAnsi="ITC Avant Garde" w:cs="Arial"/>
          <w:color w:val="000000" w:themeColor="text1"/>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C0" w:firstRow="0" w:lastRow="1" w:firstColumn="1" w:lastColumn="1" w:noHBand="0" w:noVBand="0"/>
        <w:tblCaption w:val="Tabla"/>
        <w:tblDescription w:val="Definiciones"/>
      </w:tblPr>
      <w:tblGrid>
        <w:gridCol w:w="2634"/>
        <w:gridCol w:w="6204"/>
      </w:tblGrid>
      <w:tr w:rsidR="008762D1" w:rsidRPr="008762D1" w14:paraId="7260A376" w14:textId="77777777" w:rsidTr="00036A6A">
        <w:trPr>
          <w:tblHeader/>
          <w:jc w:val="center"/>
        </w:trPr>
        <w:tc>
          <w:tcPr>
            <w:tcW w:w="2634" w:type="dxa"/>
          </w:tcPr>
          <w:p w14:paraId="2935CF8A" w14:textId="77777777" w:rsidR="00964F7E" w:rsidRPr="008762D1" w:rsidRDefault="00964F7E" w:rsidP="00964F7E">
            <w:pPr>
              <w:autoSpaceDE w:val="0"/>
              <w:autoSpaceDN w:val="0"/>
              <w:adjustRightInd w:val="0"/>
              <w:jc w:val="center"/>
              <w:rPr>
                <w:rFonts w:ascii="ITC Avant Garde" w:hAnsi="ITC Avant Garde" w:cs="Arial"/>
                <w:b/>
                <w:color w:val="000000" w:themeColor="text1"/>
              </w:rPr>
            </w:pPr>
          </w:p>
        </w:tc>
        <w:tc>
          <w:tcPr>
            <w:tcW w:w="6204" w:type="dxa"/>
          </w:tcPr>
          <w:p w14:paraId="10679F8D" w14:textId="56183B1F" w:rsidR="00964F7E" w:rsidRPr="008762D1" w:rsidRDefault="00964F7E"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DESCRIPCIÓN</w:t>
            </w:r>
          </w:p>
        </w:tc>
      </w:tr>
      <w:tr w:rsidR="008762D1" w:rsidRPr="008762D1" w14:paraId="49E9F10E" w14:textId="77777777" w:rsidTr="00036A6A">
        <w:trPr>
          <w:jc w:val="center"/>
        </w:trPr>
        <w:tc>
          <w:tcPr>
            <w:tcW w:w="2634" w:type="dxa"/>
            <w:hideMark/>
          </w:tcPr>
          <w:p w14:paraId="0EC796F6" w14:textId="77777777" w:rsidR="00526FE9" w:rsidRPr="008762D1" w:rsidRDefault="00526FE9" w:rsidP="00964F7E">
            <w:pPr>
              <w:autoSpaceDE w:val="0"/>
              <w:autoSpaceDN w:val="0"/>
              <w:adjustRightInd w:val="0"/>
              <w:jc w:val="both"/>
              <w:rPr>
                <w:rFonts w:ascii="ITC Avant Garde" w:hAnsi="ITC Avant Garde" w:cs="Arial"/>
                <w:b/>
                <w:color w:val="000000" w:themeColor="text1"/>
              </w:rPr>
            </w:pPr>
            <w:r w:rsidRPr="008762D1">
              <w:rPr>
                <w:rFonts w:ascii="ITC Avant Garde" w:hAnsi="ITC Avant Garde" w:cs="Arial"/>
                <w:b/>
                <w:color w:val="000000" w:themeColor="text1"/>
              </w:rPr>
              <w:t xml:space="preserve">Acuerdos </w:t>
            </w:r>
          </w:p>
          <w:p w14:paraId="19F72300" w14:textId="77777777" w:rsidR="00526FE9" w:rsidRPr="008762D1" w:rsidRDefault="00526FE9" w:rsidP="00964F7E">
            <w:pPr>
              <w:autoSpaceDE w:val="0"/>
              <w:autoSpaceDN w:val="0"/>
              <w:adjustRightInd w:val="0"/>
              <w:jc w:val="both"/>
              <w:rPr>
                <w:rFonts w:ascii="ITC Avant Garde" w:hAnsi="ITC Avant Garde" w:cs="Arial"/>
                <w:b/>
                <w:color w:val="000000" w:themeColor="text1"/>
              </w:rPr>
            </w:pPr>
            <w:r w:rsidRPr="008762D1">
              <w:rPr>
                <w:rFonts w:ascii="ITC Avant Garde" w:hAnsi="ITC Avant Garde" w:cs="Arial"/>
                <w:b/>
                <w:color w:val="000000" w:themeColor="text1"/>
              </w:rPr>
              <w:t>Técnicos</w:t>
            </w:r>
          </w:p>
        </w:tc>
        <w:tc>
          <w:tcPr>
            <w:tcW w:w="6204" w:type="dxa"/>
            <w:hideMark/>
          </w:tcPr>
          <w:p w14:paraId="3906835A"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Los parámetros de operación, especificaciones y características técnicas de los Servicios de Interconexión, incluyendo cualquier modificación que al respecto acuerden las Partes expresamente y por escrito, las cuales se contendrán en el Anexo "A".</w:t>
            </w:r>
          </w:p>
        </w:tc>
      </w:tr>
      <w:tr w:rsidR="008762D1" w:rsidRPr="008762D1" w14:paraId="583FA0CE" w14:textId="77777777" w:rsidTr="00036A6A">
        <w:trPr>
          <w:jc w:val="center"/>
        </w:trPr>
        <w:tc>
          <w:tcPr>
            <w:tcW w:w="2634" w:type="dxa"/>
            <w:hideMark/>
          </w:tcPr>
          <w:p w14:paraId="2ED18C5D" w14:textId="77777777" w:rsidR="00526FE9" w:rsidRPr="008762D1" w:rsidRDefault="00526FE9" w:rsidP="00964F7E">
            <w:pPr>
              <w:autoSpaceDE w:val="0"/>
              <w:autoSpaceDN w:val="0"/>
              <w:adjustRightInd w:val="0"/>
              <w:jc w:val="both"/>
              <w:rPr>
                <w:rFonts w:ascii="ITC Avant Garde" w:hAnsi="ITC Avant Garde" w:cs="Times New Roman"/>
                <w:b/>
                <w:color w:val="000000" w:themeColor="text1"/>
              </w:rPr>
            </w:pPr>
            <w:r w:rsidRPr="008762D1">
              <w:rPr>
                <w:rFonts w:ascii="ITC Avant Garde" w:hAnsi="ITC Avant Garde" w:cs="Arial"/>
                <w:b/>
                <w:color w:val="000000" w:themeColor="text1"/>
              </w:rPr>
              <w:t>NIR</w:t>
            </w:r>
          </w:p>
        </w:tc>
        <w:tc>
          <w:tcPr>
            <w:tcW w:w="6204" w:type="dxa"/>
            <w:hideMark/>
          </w:tcPr>
          <w:p w14:paraId="3802A34D" w14:textId="77777777" w:rsidR="00526FE9" w:rsidRPr="008762D1" w:rsidRDefault="00526FE9" w:rsidP="00964F7E">
            <w:pPr>
              <w:pStyle w:val="Textosinformato"/>
              <w:jc w:val="both"/>
              <w:rPr>
                <w:rFonts w:ascii="ITC Avant Garde" w:hAnsi="ITC Avant Garde"/>
                <w:color w:val="000000" w:themeColor="text1"/>
                <w:sz w:val="22"/>
                <w:szCs w:val="22"/>
              </w:rPr>
            </w:pPr>
            <w:r w:rsidRPr="008762D1">
              <w:rPr>
                <w:rFonts w:ascii="ITC Avant Garde" w:hAnsi="ITC Avant Garde" w:cs="Arial"/>
                <w:color w:val="000000" w:themeColor="text1"/>
                <w:sz w:val="22"/>
                <w:szCs w:val="22"/>
              </w:rPr>
              <w:t>Combinación de dígitos que identifica a uno o más grupos de centrales de servicio local</w:t>
            </w:r>
          </w:p>
        </w:tc>
      </w:tr>
      <w:tr w:rsidR="008762D1" w:rsidRPr="008762D1" w14:paraId="21A6D1E3" w14:textId="77777777" w:rsidTr="00036A6A">
        <w:trPr>
          <w:jc w:val="center"/>
        </w:trPr>
        <w:tc>
          <w:tcPr>
            <w:tcW w:w="2634" w:type="dxa"/>
            <w:hideMark/>
          </w:tcPr>
          <w:p w14:paraId="1C08E4E4" w14:textId="77777777" w:rsidR="00526FE9" w:rsidRPr="008762D1" w:rsidRDefault="00526FE9" w:rsidP="00964F7E">
            <w:pPr>
              <w:autoSpaceDE w:val="0"/>
              <w:autoSpaceDN w:val="0"/>
              <w:adjustRightInd w:val="0"/>
              <w:rPr>
                <w:rFonts w:ascii="ITC Avant Garde" w:hAnsi="ITC Avant Garde" w:cs="Arial"/>
                <w:b/>
                <w:color w:val="000000" w:themeColor="text1"/>
                <w:lang w:val="es-ES"/>
              </w:rPr>
            </w:pPr>
            <w:r w:rsidRPr="008762D1">
              <w:rPr>
                <w:rFonts w:ascii="ITC Avant Garde" w:hAnsi="ITC Avant Garde" w:cs="Arial"/>
                <w:b/>
                <w:color w:val="000000" w:themeColor="text1"/>
              </w:rPr>
              <w:t>Caso Fortuito o Fuerza Mayor</w:t>
            </w:r>
          </w:p>
        </w:tc>
        <w:tc>
          <w:tcPr>
            <w:tcW w:w="6204" w:type="dxa"/>
            <w:hideMark/>
          </w:tcPr>
          <w:p w14:paraId="1C41C171" w14:textId="77777777" w:rsidR="00526FE9" w:rsidRPr="008762D1" w:rsidRDefault="00526FE9" w:rsidP="00964F7E">
            <w:pPr>
              <w:autoSpaceDE w:val="0"/>
              <w:autoSpaceDN w:val="0"/>
              <w:adjustRightInd w:val="0"/>
              <w:jc w:val="both"/>
              <w:rPr>
                <w:rFonts w:ascii="ITC Avant Garde" w:hAnsi="ITC Avant Garde" w:cs="Times New Roman"/>
                <w:color w:val="000000" w:themeColor="text1"/>
              </w:rPr>
            </w:pPr>
            <w:r w:rsidRPr="008762D1">
              <w:rPr>
                <w:rFonts w:ascii="ITC Avant Garde" w:hAnsi="ITC Avant Garde" w:cs="Arial"/>
                <w:color w:val="000000" w:themeColor="text1"/>
              </w:rPr>
              <w:t xml:space="preserve">Cualquier circunstancia que no pueda ser controlada por las Partes, incluyendo sin limitar, incendios, inundaciones, huracanes, terremotos, accidentes, huelgas, motines, explosiones, actos de gobierno, guerra, insurrección, embargo, disturbios, etc., por las cuales se encuentren imposibilitadas para realizar sus obligaciones contraídas en el convenio.  </w:t>
            </w:r>
          </w:p>
        </w:tc>
      </w:tr>
      <w:tr w:rsidR="008762D1" w:rsidRPr="008762D1" w14:paraId="64D41A64" w14:textId="77777777" w:rsidTr="00036A6A">
        <w:trPr>
          <w:jc w:val="center"/>
        </w:trPr>
        <w:tc>
          <w:tcPr>
            <w:tcW w:w="2634" w:type="dxa"/>
            <w:hideMark/>
          </w:tcPr>
          <w:p w14:paraId="17CEB008" w14:textId="77777777" w:rsidR="00526FE9" w:rsidRPr="008762D1" w:rsidRDefault="00526FE9" w:rsidP="00964F7E">
            <w:pPr>
              <w:autoSpaceDE w:val="0"/>
              <w:autoSpaceDN w:val="0"/>
              <w:adjustRightInd w:val="0"/>
              <w:jc w:val="both"/>
              <w:rPr>
                <w:rFonts w:ascii="ITC Avant Garde" w:hAnsi="ITC Avant Garde" w:cs="Arial"/>
                <w:b/>
                <w:color w:val="000000" w:themeColor="text1"/>
                <w:lang w:val="es-ES"/>
              </w:rPr>
            </w:pPr>
            <w:r w:rsidRPr="008762D1">
              <w:rPr>
                <w:rFonts w:ascii="ITC Avant Garde" w:hAnsi="ITC Avant Garde" w:cs="Arial"/>
                <w:b/>
                <w:color w:val="000000" w:themeColor="text1"/>
              </w:rPr>
              <w:t>Cobranza</w:t>
            </w:r>
          </w:p>
        </w:tc>
        <w:tc>
          <w:tcPr>
            <w:tcW w:w="6204" w:type="dxa"/>
          </w:tcPr>
          <w:p w14:paraId="1C5E32EB" w14:textId="490AFAC4" w:rsidR="00526FE9" w:rsidRPr="008762D1" w:rsidRDefault="00526FE9" w:rsidP="00964F7E">
            <w:pPr>
              <w:pStyle w:val="Textosinforma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tc>
      </w:tr>
      <w:tr w:rsidR="008762D1" w:rsidRPr="008762D1" w14:paraId="4D855AD8" w14:textId="77777777" w:rsidTr="00036A6A">
        <w:trPr>
          <w:jc w:val="center"/>
        </w:trPr>
        <w:tc>
          <w:tcPr>
            <w:tcW w:w="2634" w:type="dxa"/>
            <w:hideMark/>
          </w:tcPr>
          <w:p w14:paraId="380550EF" w14:textId="77777777" w:rsidR="00526FE9" w:rsidRPr="008762D1" w:rsidRDefault="00526FE9" w:rsidP="00964F7E">
            <w:pPr>
              <w:autoSpaceDE w:val="0"/>
              <w:autoSpaceDN w:val="0"/>
              <w:adjustRightInd w:val="0"/>
              <w:jc w:val="both"/>
              <w:rPr>
                <w:rFonts w:ascii="ITC Avant Garde" w:hAnsi="ITC Avant Garde" w:cs="Arial"/>
                <w:b/>
                <w:color w:val="000000" w:themeColor="text1"/>
                <w:lang w:val="es-ES"/>
              </w:rPr>
            </w:pPr>
            <w:r w:rsidRPr="008762D1">
              <w:rPr>
                <w:rFonts w:ascii="ITC Avant Garde" w:hAnsi="ITC Avant Garde" w:cs="Arial"/>
                <w:b/>
                <w:color w:val="000000" w:themeColor="text1"/>
              </w:rPr>
              <w:t>Concesionario</w:t>
            </w:r>
          </w:p>
        </w:tc>
        <w:tc>
          <w:tcPr>
            <w:tcW w:w="6204" w:type="dxa"/>
            <w:hideMark/>
          </w:tcPr>
          <w:p w14:paraId="3EFEBC2A"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Persona física o moral titular de una concesión de las previstas en la Ley.</w:t>
            </w:r>
          </w:p>
        </w:tc>
      </w:tr>
      <w:tr w:rsidR="008762D1" w:rsidRPr="008762D1" w14:paraId="2A35ECDE" w14:textId="77777777" w:rsidTr="00036A6A">
        <w:trPr>
          <w:jc w:val="center"/>
        </w:trPr>
        <w:tc>
          <w:tcPr>
            <w:tcW w:w="2634" w:type="dxa"/>
            <w:hideMark/>
          </w:tcPr>
          <w:p w14:paraId="0FFAE42B"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Conducción de Tráfico</w:t>
            </w:r>
          </w:p>
        </w:tc>
        <w:tc>
          <w:tcPr>
            <w:tcW w:w="6204" w:type="dxa"/>
            <w:hideMark/>
          </w:tcPr>
          <w:p w14:paraId="270FF4FA"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 incluye llamadas.</w:t>
            </w:r>
          </w:p>
        </w:tc>
      </w:tr>
      <w:tr w:rsidR="008762D1" w:rsidRPr="008762D1" w14:paraId="0CA975E4" w14:textId="77777777" w:rsidTr="00036A6A">
        <w:trPr>
          <w:jc w:val="center"/>
        </w:trPr>
        <w:tc>
          <w:tcPr>
            <w:tcW w:w="2634" w:type="dxa"/>
            <w:hideMark/>
          </w:tcPr>
          <w:p w14:paraId="71CCD683" w14:textId="77777777" w:rsidR="00526FE9" w:rsidRPr="008762D1" w:rsidRDefault="00526FE9" w:rsidP="00964F7E">
            <w:pPr>
              <w:autoSpaceDE w:val="0"/>
              <w:autoSpaceDN w:val="0"/>
              <w:adjustRightInd w:val="0"/>
              <w:jc w:val="both"/>
              <w:rPr>
                <w:rFonts w:ascii="ITC Avant Garde" w:hAnsi="ITC Avant Garde" w:cs="Arial"/>
                <w:b/>
                <w:color w:val="000000" w:themeColor="text1"/>
              </w:rPr>
            </w:pPr>
            <w:r w:rsidRPr="008762D1">
              <w:rPr>
                <w:rFonts w:ascii="ITC Avant Garde" w:hAnsi="ITC Avant Garde" w:cs="Arial"/>
                <w:b/>
                <w:color w:val="000000" w:themeColor="text1"/>
              </w:rPr>
              <w:t>Convenio</w:t>
            </w:r>
          </w:p>
        </w:tc>
        <w:tc>
          <w:tcPr>
            <w:tcW w:w="6204" w:type="dxa"/>
            <w:hideMark/>
          </w:tcPr>
          <w:p w14:paraId="5A4E65EF" w14:textId="30614342" w:rsidR="00526FE9" w:rsidRPr="008762D1" w:rsidRDefault="00526FE9" w:rsidP="00A04FEF">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El presente documento, con sus respectivos anexos, que contiene el acuerdo de voluntades suscrito entre Telmex y </w:t>
            </w:r>
            <w:r w:rsidR="00A04FEF" w:rsidRPr="00A04FEF">
              <w:rPr>
                <w:rFonts w:cs="Arial"/>
                <w:b/>
                <w:color w:val="0000FF"/>
              </w:rPr>
              <w:t>(…)</w:t>
            </w:r>
            <w:r w:rsidR="00A04FEF">
              <w:rPr>
                <w:rFonts w:cs="Arial"/>
                <w:b/>
                <w:color w:val="0000FF"/>
              </w:rPr>
              <w:t xml:space="preserve"> </w:t>
            </w:r>
            <w:r w:rsidRPr="008762D1">
              <w:rPr>
                <w:rFonts w:ascii="ITC Avant Garde" w:hAnsi="ITC Avant Garde" w:cs="Arial"/>
                <w:color w:val="000000" w:themeColor="text1"/>
              </w:rPr>
              <w:t xml:space="preserve">por virtud del cual las Partes establecen los términos y condiciones que regirán la prestación de los Servicios de Interconexión entre la Red de Telmex y la Red de </w:t>
            </w:r>
            <w:r w:rsidR="00A04FEF" w:rsidRPr="00A04FEF">
              <w:rPr>
                <w:rFonts w:cs="Arial"/>
                <w:b/>
                <w:color w:val="0000FF"/>
              </w:rPr>
              <w:t>(…)</w:t>
            </w:r>
            <w:r w:rsidRPr="008762D1">
              <w:rPr>
                <w:rFonts w:ascii="ITC Avant Garde" w:hAnsi="ITC Avant Garde" w:cs="Arial"/>
                <w:color w:val="000000" w:themeColor="text1"/>
              </w:rPr>
              <w:t xml:space="preserve">, </w:t>
            </w:r>
            <w:r w:rsidRPr="008762D1">
              <w:rPr>
                <w:rFonts w:ascii="ITC Avant Garde" w:hAnsi="ITC Avant Garde" w:cs="Arial"/>
                <w:color w:val="000000" w:themeColor="text1"/>
              </w:rPr>
              <w:lastRenderedPageBreak/>
              <w:t>así como la Interoperabilidad de las mismas, de conformidad con la Ley, y demás disposiciones aplicables.</w:t>
            </w:r>
          </w:p>
        </w:tc>
      </w:tr>
      <w:tr w:rsidR="008762D1" w:rsidRPr="008762D1" w14:paraId="6C8C7CE3" w14:textId="77777777" w:rsidTr="00036A6A">
        <w:trPr>
          <w:jc w:val="center"/>
        </w:trPr>
        <w:tc>
          <w:tcPr>
            <w:tcW w:w="2634" w:type="dxa"/>
            <w:hideMark/>
          </w:tcPr>
          <w:p w14:paraId="5C1C6D2A" w14:textId="77777777" w:rsidR="00526FE9" w:rsidRPr="008762D1" w:rsidRDefault="00526FE9" w:rsidP="00964F7E">
            <w:pPr>
              <w:autoSpaceDE w:val="0"/>
              <w:autoSpaceDN w:val="0"/>
              <w:adjustRightInd w:val="0"/>
              <w:jc w:val="both"/>
              <w:rPr>
                <w:rFonts w:ascii="ITC Avant Garde" w:hAnsi="ITC Avant Garde" w:cs="Arial"/>
                <w:b/>
                <w:color w:val="000000" w:themeColor="text1"/>
              </w:rPr>
            </w:pPr>
            <w:proofErr w:type="spellStart"/>
            <w:r w:rsidRPr="008762D1">
              <w:rPr>
                <w:rFonts w:ascii="ITC Avant Garde" w:hAnsi="ITC Avant Garde" w:cs="Arial"/>
                <w:b/>
                <w:color w:val="000000" w:themeColor="text1"/>
              </w:rPr>
              <w:lastRenderedPageBreak/>
              <w:t>Coubicación</w:t>
            </w:r>
            <w:proofErr w:type="spellEnd"/>
          </w:p>
        </w:tc>
        <w:tc>
          <w:tcPr>
            <w:tcW w:w="6204" w:type="dxa"/>
            <w:hideMark/>
          </w:tcPr>
          <w:p w14:paraId="4994CD15"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Servicio de Interconexión  para la colocación de equipos y dispositivos de la Red Pública de Telecomunicaciones de un Concesionario, necesarios para la Interoperabilidad y la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8762D1" w:rsidRPr="008762D1" w14:paraId="608AB1C7" w14:textId="77777777" w:rsidTr="00036A6A">
        <w:trPr>
          <w:jc w:val="center"/>
        </w:trPr>
        <w:tc>
          <w:tcPr>
            <w:tcW w:w="2634" w:type="dxa"/>
            <w:hideMark/>
          </w:tcPr>
          <w:p w14:paraId="649FFDA2"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Enlaces Dedicados de Interconexión</w:t>
            </w:r>
          </w:p>
        </w:tc>
        <w:tc>
          <w:tcPr>
            <w:tcW w:w="6204" w:type="dxa"/>
            <w:hideMark/>
          </w:tcPr>
          <w:p w14:paraId="68D222B7"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Servicio de arrendamiento de líneas o circuitos de transmisión dedicados, para el transporte de señales digitales, que se proporcionan a otros concesionarios de redes públicas de telecomunicaciones, al amparo de convenios de interconexión, entregado a través de cualquier medio de transmisión, excepto satélite, dentro del área de cobertura concesionada a Telmex donde existan puntos de interconexión.</w:t>
            </w:r>
          </w:p>
        </w:tc>
      </w:tr>
      <w:tr w:rsidR="008762D1" w:rsidRPr="008762D1" w14:paraId="23A6349F" w14:textId="77777777" w:rsidTr="00036A6A">
        <w:trPr>
          <w:jc w:val="center"/>
        </w:trPr>
        <w:tc>
          <w:tcPr>
            <w:tcW w:w="2634" w:type="dxa"/>
          </w:tcPr>
          <w:p w14:paraId="104D57C9" w14:textId="44013E15"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 xml:space="preserve">Enlace de Transmisión de Interconexión entre </w:t>
            </w:r>
            <w:proofErr w:type="spellStart"/>
            <w:r w:rsidRPr="008762D1">
              <w:rPr>
                <w:rFonts w:ascii="ITC Avant Garde" w:hAnsi="ITC Avant Garde" w:cs="Arial"/>
                <w:b/>
                <w:color w:val="000000" w:themeColor="text1"/>
              </w:rPr>
              <w:t>Coubicaciones</w:t>
            </w:r>
            <w:proofErr w:type="spellEnd"/>
          </w:p>
        </w:tc>
        <w:tc>
          <w:tcPr>
            <w:tcW w:w="6204" w:type="dxa"/>
            <w:hideMark/>
          </w:tcPr>
          <w:p w14:paraId="022D6C73"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Servicio de Interconexión que consiste en el establecimiento de enlaces de transmisión físicos de cualquier tecnología, a través de los cuales se establece la interconexión entre redes públicas de telecomunicaciones distintas a Telmex, para el intercambio de Tráfico Público Conmutado entre sus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localizadas en un mismo PDIC de Telmex. Estos enlaces podrán suministrarse bajo las modalidades de Enlace de Transmisión de Interconexión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Gestionado y Enlace de Transmisión de Interconexión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No Gestionado.</w:t>
            </w:r>
          </w:p>
        </w:tc>
      </w:tr>
      <w:tr w:rsidR="008762D1" w:rsidRPr="008762D1" w14:paraId="2C7F7D84" w14:textId="77777777" w:rsidTr="00036A6A">
        <w:trPr>
          <w:jc w:val="center"/>
        </w:trPr>
        <w:tc>
          <w:tcPr>
            <w:tcW w:w="2634" w:type="dxa"/>
            <w:hideMark/>
          </w:tcPr>
          <w:p w14:paraId="3A3D7E1F"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Información Confidencial</w:t>
            </w:r>
          </w:p>
        </w:tc>
        <w:tc>
          <w:tcPr>
            <w:tcW w:w="6204" w:type="dxa"/>
            <w:hideMark/>
          </w:tcPr>
          <w:p w14:paraId="641C4B3E"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w:t>
            </w:r>
            <w:r w:rsidRPr="008762D1">
              <w:rPr>
                <w:rFonts w:ascii="ITC Avant Garde" w:hAnsi="ITC Avant Garde" w:cs="Arial"/>
                <w:color w:val="000000" w:themeColor="text1"/>
              </w:rPr>
              <w:lastRenderedPageBreak/>
              <w:t>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8762D1" w:rsidRPr="008762D1" w14:paraId="7AFB2B2E" w14:textId="77777777" w:rsidTr="00036A6A">
        <w:trPr>
          <w:jc w:val="center"/>
        </w:trPr>
        <w:tc>
          <w:tcPr>
            <w:tcW w:w="2634" w:type="dxa"/>
            <w:hideMark/>
          </w:tcPr>
          <w:p w14:paraId="31FEEB53" w14:textId="77777777" w:rsidR="00526FE9" w:rsidRPr="008762D1" w:rsidRDefault="00526FE9" w:rsidP="00F031E8">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lastRenderedPageBreak/>
              <w:t>Instituto</w:t>
            </w:r>
          </w:p>
        </w:tc>
        <w:tc>
          <w:tcPr>
            <w:tcW w:w="6204" w:type="dxa"/>
            <w:hideMark/>
          </w:tcPr>
          <w:p w14:paraId="1B9695BD" w14:textId="77777777" w:rsidR="00526FE9" w:rsidRPr="008762D1" w:rsidRDefault="00526FE9" w:rsidP="00F031E8">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El Instituto Federal de Telecomunicaciones.</w:t>
            </w:r>
          </w:p>
        </w:tc>
      </w:tr>
      <w:tr w:rsidR="008762D1" w:rsidRPr="008762D1" w14:paraId="37EBC559" w14:textId="77777777" w:rsidTr="00036A6A">
        <w:trPr>
          <w:jc w:val="center"/>
        </w:trPr>
        <w:tc>
          <w:tcPr>
            <w:tcW w:w="2634" w:type="dxa"/>
          </w:tcPr>
          <w:p w14:paraId="75E27472" w14:textId="77777777" w:rsidR="00526FE9" w:rsidRPr="008762D1" w:rsidRDefault="00526FE9" w:rsidP="00F031E8">
            <w:pPr>
              <w:autoSpaceDE w:val="0"/>
              <w:autoSpaceDN w:val="0"/>
              <w:adjustRightInd w:val="0"/>
              <w:spacing w:before="240"/>
              <w:rPr>
                <w:rFonts w:ascii="ITC Avant Garde" w:hAnsi="ITC Avant Garde" w:cs="Arial"/>
                <w:b/>
                <w:color w:val="000000" w:themeColor="text1"/>
              </w:rPr>
            </w:pPr>
            <w:r w:rsidRPr="008762D1">
              <w:rPr>
                <w:rFonts w:ascii="ITC Avant Garde" w:hAnsi="ITC Avant Garde" w:cs="Arial"/>
                <w:b/>
                <w:color w:val="000000" w:themeColor="text1"/>
              </w:rPr>
              <w:t>Interconexión</w:t>
            </w:r>
          </w:p>
        </w:tc>
        <w:tc>
          <w:tcPr>
            <w:tcW w:w="6204" w:type="dxa"/>
            <w:hideMark/>
          </w:tcPr>
          <w:p w14:paraId="0B9A423D" w14:textId="77777777" w:rsidR="00526FE9" w:rsidRPr="008762D1" w:rsidRDefault="00526FE9" w:rsidP="00964F7E">
            <w:pPr>
              <w:autoSpaceDE w:val="0"/>
              <w:autoSpaceDN w:val="0"/>
              <w:adjustRightInd w:val="0"/>
              <w:jc w:val="both"/>
              <w:rPr>
                <w:rFonts w:ascii="ITC Avant Garde" w:hAnsi="ITC Avant Garde" w:cs="Arial"/>
                <w:strike/>
                <w:color w:val="000000" w:themeColor="text1"/>
              </w:rPr>
            </w:pPr>
            <w:r w:rsidRPr="008762D1">
              <w:rPr>
                <w:rFonts w:ascii="ITC Avant Garde" w:hAnsi="ITC Avant Garde" w:cs="Arial"/>
                <w:color w:val="000000" w:themeColor="text1"/>
              </w:rPr>
              <w:t xml:space="preserve">Conexión física o virtual, lógica y funcional entre Redes Públicas de Telecomunicaciones que permite la conducción de Tráfico Público Conmutado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 </w:t>
            </w:r>
          </w:p>
        </w:tc>
      </w:tr>
      <w:tr w:rsidR="008762D1" w:rsidRPr="008762D1" w14:paraId="7A054A9A" w14:textId="77777777" w:rsidTr="00036A6A">
        <w:trPr>
          <w:jc w:val="center"/>
        </w:trPr>
        <w:tc>
          <w:tcPr>
            <w:tcW w:w="2634" w:type="dxa"/>
            <w:hideMark/>
          </w:tcPr>
          <w:p w14:paraId="6AFEC118"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 xml:space="preserve">Interconexión Cruzada: </w:t>
            </w:r>
          </w:p>
        </w:tc>
        <w:tc>
          <w:tcPr>
            <w:tcW w:w="6204" w:type="dxa"/>
            <w:hideMark/>
          </w:tcPr>
          <w:p w14:paraId="4A42A6C9"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Interconexión directa realizada entre concesionarios que tienen presencia y/o espacios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en el mismo punto de interconexión. Para lo cual el propietario de las instalaciones proveerá los enlaces de transmisión de interconexión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del tipo gestionado o no gestionado.</w:t>
            </w:r>
          </w:p>
        </w:tc>
      </w:tr>
      <w:tr w:rsidR="008762D1" w:rsidRPr="008762D1" w14:paraId="33DF2809" w14:textId="77777777" w:rsidTr="00036A6A">
        <w:trPr>
          <w:jc w:val="center"/>
        </w:trPr>
        <w:tc>
          <w:tcPr>
            <w:tcW w:w="2634" w:type="dxa"/>
            <w:hideMark/>
          </w:tcPr>
          <w:p w14:paraId="380BF121"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Interoperabilidad</w:t>
            </w:r>
          </w:p>
        </w:tc>
        <w:tc>
          <w:tcPr>
            <w:tcW w:w="6204" w:type="dxa"/>
            <w:hideMark/>
          </w:tcPr>
          <w:p w14:paraId="3D2E4A24"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Características técnicas de las Redes Públicas de Telecomunicaciones,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tc>
      </w:tr>
      <w:tr w:rsidR="008762D1" w:rsidRPr="008762D1" w14:paraId="0A433B75" w14:textId="77777777" w:rsidTr="00036A6A">
        <w:trPr>
          <w:jc w:val="center"/>
        </w:trPr>
        <w:tc>
          <w:tcPr>
            <w:tcW w:w="2634" w:type="dxa"/>
            <w:hideMark/>
          </w:tcPr>
          <w:p w14:paraId="130FBCC3" w14:textId="77777777" w:rsidR="00526FE9" w:rsidRPr="008762D1" w:rsidRDefault="00526FE9" w:rsidP="00964F7E">
            <w:pPr>
              <w:autoSpaceDE w:val="0"/>
              <w:autoSpaceDN w:val="0"/>
              <w:adjustRightInd w:val="0"/>
              <w:jc w:val="both"/>
              <w:rPr>
                <w:rFonts w:ascii="ITC Avant Garde" w:hAnsi="ITC Avant Garde" w:cs="Arial"/>
                <w:b/>
                <w:color w:val="000000" w:themeColor="text1"/>
              </w:rPr>
            </w:pPr>
            <w:r w:rsidRPr="008762D1">
              <w:rPr>
                <w:rFonts w:ascii="ITC Avant Garde" w:hAnsi="ITC Avant Garde" w:cs="Arial"/>
                <w:b/>
                <w:color w:val="000000" w:themeColor="text1"/>
              </w:rPr>
              <w:t>Ley</w:t>
            </w:r>
          </w:p>
        </w:tc>
        <w:tc>
          <w:tcPr>
            <w:tcW w:w="6204" w:type="dxa"/>
            <w:hideMark/>
          </w:tcPr>
          <w:p w14:paraId="5DC92FFF" w14:textId="77777777" w:rsidR="00526FE9" w:rsidRPr="008762D1" w:rsidRDefault="00526FE9" w:rsidP="00964F7E">
            <w:pPr>
              <w:pStyle w:val="Textosinforma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lang w:val="es-ES"/>
              </w:rPr>
              <w:t xml:space="preserve">La Ley Federal de Telecomunicaciones y Radiodifusión </w:t>
            </w:r>
          </w:p>
        </w:tc>
      </w:tr>
      <w:tr w:rsidR="008762D1" w:rsidRPr="008762D1" w14:paraId="12267DDF" w14:textId="77777777" w:rsidTr="00036A6A">
        <w:trPr>
          <w:jc w:val="center"/>
        </w:trPr>
        <w:tc>
          <w:tcPr>
            <w:tcW w:w="2634" w:type="dxa"/>
            <w:hideMark/>
          </w:tcPr>
          <w:p w14:paraId="504CA79B" w14:textId="77777777" w:rsidR="00526FE9" w:rsidRPr="008762D1" w:rsidRDefault="00526FE9" w:rsidP="00964F7E">
            <w:pPr>
              <w:autoSpaceDE w:val="0"/>
              <w:autoSpaceDN w:val="0"/>
              <w:adjustRightInd w:val="0"/>
              <w:rPr>
                <w:rFonts w:ascii="ITC Avant Garde" w:hAnsi="ITC Avant Garde" w:cs="Arial"/>
                <w:b/>
                <w:color w:val="000000" w:themeColor="text1"/>
                <w:lang w:val="es-ES"/>
              </w:rPr>
            </w:pPr>
            <w:r w:rsidRPr="008762D1">
              <w:rPr>
                <w:rFonts w:ascii="ITC Avant Garde" w:hAnsi="ITC Avant Garde" w:cs="Arial"/>
                <w:b/>
                <w:color w:val="000000" w:themeColor="text1"/>
              </w:rPr>
              <w:t>México</w:t>
            </w:r>
          </w:p>
        </w:tc>
        <w:tc>
          <w:tcPr>
            <w:tcW w:w="6204" w:type="dxa"/>
            <w:hideMark/>
          </w:tcPr>
          <w:p w14:paraId="27C6D6AD"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Los Estados Unidos Mexicanos.</w:t>
            </w:r>
          </w:p>
        </w:tc>
      </w:tr>
      <w:tr w:rsidR="008762D1" w:rsidRPr="008762D1" w14:paraId="3986D096" w14:textId="77777777" w:rsidTr="00036A6A">
        <w:trPr>
          <w:jc w:val="center"/>
        </w:trPr>
        <w:tc>
          <w:tcPr>
            <w:tcW w:w="2634" w:type="dxa"/>
            <w:hideMark/>
          </w:tcPr>
          <w:p w14:paraId="69B79160"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Numeración</w:t>
            </w:r>
          </w:p>
        </w:tc>
        <w:tc>
          <w:tcPr>
            <w:tcW w:w="6204" w:type="dxa"/>
            <w:hideMark/>
          </w:tcPr>
          <w:p w14:paraId="42510703"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Conjunto estructurado de combinaciones de dígitos decimales que permiten identificar unívocamente a cada línea telefónica, servicio especial o destino en una red o conjunto de redes de telecomunicaciones, de acuerdo con el Plan de Numeración.</w:t>
            </w:r>
          </w:p>
        </w:tc>
      </w:tr>
      <w:tr w:rsidR="008762D1" w:rsidRPr="008762D1" w14:paraId="2C74AF61" w14:textId="77777777" w:rsidTr="00036A6A">
        <w:trPr>
          <w:jc w:val="center"/>
        </w:trPr>
        <w:tc>
          <w:tcPr>
            <w:tcW w:w="2634" w:type="dxa"/>
            <w:hideMark/>
          </w:tcPr>
          <w:p w14:paraId="03FCE3D0" w14:textId="77777777" w:rsidR="00526FE9" w:rsidRPr="008762D1" w:rsidRDefault="00526FE9" w:rsidP="00964F7E">
            <w:pPr>
              <w:autoSpaceDE w:val="0"/>
              <w:autoSpaceDN w:val="0"/>
              <w:adjustRightInd w:val="0"/>
              <w:rPr>
                <w:rFonts w:ascii="ITC Avant Garde" w:hAnsi="ITC Avant Garde" w:cs="Arial"/>
                <w:b/>
                <w:color w:val="000000" w:themeColor="text1"/>
              </w:rPr>
            </w:pPr>
            <w:proofErr w:type="spellStart"/>
            <w:r w:rsidRPr="008762D1">
              <w:rPr>
                <w:rFonts w:ascii="ITC Avant Garde" w:hAnsi="ITC Avant Garde" w:cs="Arial"/>
                <w:b/>
                <w:color w:val="000000" w:themeColor="text1"/>
              </w:rPr>
              <w:t>Originación</w:t>
            </w:r>
            <w:proofErr w:type="spellEnd"/>
            <w:r w:rsidRPr="008762D1">
              <w:rPr>
                <w:rFonts w:ascii="ITC Avant Garde" w:hAnsi="ITC Avant Garde" w:cs="Arial"/>
                <w:b/>
                <w:color w:val="000000" w:themeColor="text1"/>
              </w:rPr>
              <w:t xml:space="preserve"> de Tráfico</w:t>
            </w:r>
          </w:p>
        </w:tc>
        <w:tc>
          <w:tcPr>
            <w:tcW w:w="6204" w:type="dxa"/>
            <w:hideMark/>
          </w:tcPr>
          <w:p w14:paraId="17BC4375"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Función que comprende la conmutación y transmisión de Tráfico Público en la red que lo recibe de un Usuario </w:t>
            </w:r>
            <w:r w:rsidRPr="008762D1">
              <w:rPr>
                <w:rFonts w:ascii="ITC Avant Garde" w:hAnsi="ITC Avant Garde" w:cs="Arial"/>
                <w:color w:val="000000" w:themeColor="text1"/>
              </w:rPr>
              <w:lastRenderedPageBreak/>
              <w:t>y lo entrega a la otra red en un Punto de Interconexión convenido.</w:t>
            </w:r>
          </w:p>
        </w:tc>
      </w:tr>
      <w:tr w:rsidR="008762D1" w:rsidRPr="008762D1" w14:paraId="1223EF5B" w14:textId="77777777" w:rsidTr="00036A6A">
        <w:trPr>
          <w:jc w:val="center"/>
        </w:trPr>
        <w:tc>
          <w:tcPr>
            <w:tcW w:w="2634" w:type="dxa"/>
            <w:hideMark/>
          </w:tcPr>
          <w:p w14:paraId="1378E7D8"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lastRenderedPageBreak/>
              <w:t>Parte Prestadora</w:t>
            </w:r>
          </w:p>
        </w:tc>
        <w:tc>
          <w:tcPr>
            <w:tcW w:w="6204" w:type="dxa"/>
            <w:hideMark/>
          </w:tcPr>
          <w:p w14:paraId="20630783"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Aquella de las Partes de este Convenio que presta el Servicio de Interconexión correspondiente.</w:t>
            </w:r>
          </w:p>
        </w:tc>
      </w:tr>
      <w:tr w:rsidR="008762D1" w:rsidRPr="008762D1" w14:paraId="52C0CD4C" w14:textId="77777777" w:rsidTr="00036A6A">
        <w:trPr>
          <w:jc w:val="center"/>
        </w:trPr>
        <w:tc>
          <w:tcPr>
            <w:tcW w:w="2634" w:type="dxa"/>
            <w:hideMark/>
          </w:tcPr>
          <w:p w14:paraId="07A22378"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Plan  de Numeración</w:t>
            </w:r>
          </w:p>
        </w:tc>
        <w:tc>
          <w:tcPr>
            <w:tcW w:w="6204" w:type="dxa"/>
            <w:hideMark/>
          </w:tcPr>
          <w:p w14:paraId="723768EA"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Plan Técnico Fundamental de Numeración así como aquellas disposiciones que lo modifiquen o lo sustituyan.</w:t>
            </w:r>
          </w:p>
        </w:tc>
      </w:tr>
      <w:tr w:rsidR="008762D1" w:rsidRPr="008762D1" w14:paraId="20BFD96B" w14:textId="77777777" w:rsidTr="00036A6A">
        <w:trPr>
          <w:jc w:val="center"/>
        </w:trPr>
        <w:tc>
          <w:tcPr>
            <w:tcW w:w="2634" w:type="dxa"/>
            <w:hideMark/>
          </w:tcPr>
          <w:p w14:paraId="4990B2DA"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Plan de Señalización</w:t>
            </w:r>
          </w:p>
        </w:tc>
        <w:tc>
          <w:tcPr>
            <w:tcW w:w="6204" w:type="dxa"/>
            <w:hideMark/>
          </w:tcPr>
          <w:p w14:paraId="4F2A31A8"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El Plan Técnico Fundamental de Señalización, así como aquellas disposiciones que lo modifiquen o sustituyan.</w:t>
            </w:r>
          </w:p>
        </w:tc>
      </w:tr>
      <w:tr w:rsidR="008762D1" w:rsidRPr="008762D1" w14:paraId="604EC609" w14:textId="77777777" w:rsidTr="00036A6A">
        <w:trPr>
          <w:jc w:val="center"/>
        </w:trPr>
        <w:tc>
          <w:tcPr>
            <w:tcW w:w="2634" w:type="dxa"/>
            <w:hideMark/>
          </w:tcPr>
          <w:p w14:paraId="7B049A1C"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Puerto de Acceso</w:t>
            </w:r>
          </w:p>
        </w:tc>
        <w:tc>
          <w:tcPr>
            <w:tcW w:w="6204" w:type="dxa"/>
            <w:hideMark/>
          </w:tcPr>
          <w:p w14:paraId="7A9925DF"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Punto de acceso en los equipos de conmutación de una Red Pública de Telecomunicaciones.</w:t>
            </w:r>
          </w:p>
        </w:tc>
      </w:tr>
      <w:tr w:rsidR="008762D1" w:rsidRPr="008762D1" w14:paraId="07212E8D" w14:textId="77777777" w:rsidTr="00036A6A">
        <w:trPr>
          <w:jc w:val="center"/>
        </w:trPr>
        <w:tc>
          <w:tcPr>
            <w:tcW w:w="2634" w:type="dxa"/>
            <w:hideMark/>
          </w:tcPr>
          <w:p w14:paraId="49102202"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Puerto de señalización</w:t>
            </w:r>
          </w:p>
        </w:tc>
        <w:tc>
          <w:tcPr>
            <w:tcW w:w="6204" w:type="dxa"/>
            <w:hideMark/>
          </w:tcPr>
          <w:p w14:paraId="0AF57F4C"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Servicio de conexión en un Punto de Interconexión que permite el acceso al Punto de Transferencia de Señalización para la entrega de la señalización correspondiente al Tráfico Público Conmutado.</w:t>
            </w:r>
          </w:p>
        </w:tc>
      </w:tr>
      <w:tr w:rsidR="008762D1" w:rsidRPr="008762D1" w14:paraId="5B6E4ECD" w14:textId="77777777" w:rsidTr="00036A6A">
        <w:trPr>
          <w:jc w:val="center"/>
        </w:trPr>
        <w:tc>
          <w:tcPr>
            <w:tcW w:w="2634" w:type="dxa"/>
            <w:hideMark/>
          </w:tcPr>
          <w:p w14:paraId="1F038395"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Punto de Interconexión</w:t>
            </w:r>
          </w:p>
        </w:tc>
        <w:tc>
          <w:tcPr>
            <w:tcW w:w="6204" w:type="dxa"/>
            <w:hideMark/>
          </w:tcPr>
          <w:p w14:paraId="64DBB2FC"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Punto físico o virtual donde se establece la Interconexión entre Redes Públicas de Telecomunicaciones, para el intercambio de tráfico de interconexión o de tráfico de servicios mayoristas.</w:t>
            </w:r>
          </w:p>
        </w:tc>
      </w:tr>
      <w:tr w:rsidR="008762D1" w:rsidRPr="008762D1" w14:paraId="0835FC9D" w14:textId="77777777" w:rsidTr="00036A6A">
        <w:trPr>
          <w:jc w:val="center"/>
        </w:trPr>
        <w:tc>
          <w:tcPr>
            <w:tcW w:w="2634" w:type="dxa"/>
            <w:hideMark/>
          </w:tcPr>
          <w:p w14:paraId="31D205D6"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PDIC</w:t>
            </w:r>
          </w:p>
        </w:tc>
        <w:tc>
          <w:tcPr>
            <w:tcW w:w="6204" w:type="dxa"/>
            <w:hideMark/>
          </w:tcPr>
          <w:p w14:paraId="6136A3C7"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Es el domicilio de la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que permite el acceso a un Punto de Interconexión.</w:t>
            </w:r>
          </w:p>
        </w:tc>
      </w:tr>
      <w:tr w:rsidR="008762D1" w:rsidRPr="008762D1" w14:paraId="470DC034" w14:textId="77777777" w:rsidTr="00036A6A">
        <w:trPr>
          <w:jc w:val="center"/>
        </w:trPr>
        <w:tc>
          <w:tcPr>
            <w:tcW w:w="2634" w:type="dxa"/>
            <w:hideMark/>
          </w:tcPr>
          <w:p w14:paraId="1A28B50E"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Punto de Transferencia de Señalización</w:t>
            </w:r>
          </w:p>
        </w:tc>
        <w:tc>
          <w:tcPr>
            <w:tcW w:w="6204" w:type="dxa"/>
            <w:hideMark/>
          </w:tcPr>
          <w:p w14:paraId="26B69F65"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Punto inteligente de transferencia dentro de una red de señalización número 7.</w:t>
            </w:r>
          </w:p>
        </w:tc>
      </w:tr>
      <w:tr w:rsidR="008762D1" w:rsidRPr="008762D1" w14:paraId="51DB0B3B" w14:textId="77777777" w:rsidTr="00036A6A">
        <w:trPr>
          <w:jc w:val="center"/>
        </w:trPr>
        <w:tc>
          <w:tcPr>
            <w:tcW w:w="2634" w:type="dxa"/>
            <w:hideMark/>
          </w:tcPr>
          <w:p w14:paraId="759374E9"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Red Pública de Telecomunicaciones</w:t>
            </w:r>
          </w:p>
        </w:tc>
        <w:tc>
          <w:tcPr>
            <w:tcW w:w="6204" w:type="dxa"/>
            <w:hideMark/>
          </w:tcPr>
          <w:p w14:paraId="34F90FAC"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8762D1" w:rsidRPr="008762D1" w14:paraId="03C49E54" w14:textId="77777777" w:rsidTr="00036A6A">
        <w:trPr>
          <w:jc w:val="center"/>
        </w:trPr>
        <w:tc>
          <w:tcPr>
            <w:tcW w:w="2634" w:type="dxa"/>
            <w:hideMark/>
          </w:tcPr>
          <w:p w14:paraId="5B4AB6CA" w14:textId="77777777" w:rsidR="00526FE9" w:rsidRPr="008762D1" w:rsidRDefault="00526FE9" w:rsidP="00964F7E">
            <w:pPr>
              <w:pStyle w:val="Textosinformato"/>
              <w:jc w:val="both"/>
              <w:rPr>
                <w:rFonts w:ascii="ITC Avant Garde" w:hAnsi="ITC Avant Garde" w:cs="Arial"/>
                <w:color w:val="000000" w:themeColor="text1"/>
                <w:sz w:val="22"/>
                <w:szCs w:val="22"/>
              </w:rPr>
            </w:pPr>
            <w:r w:rsidRPr="008762D1">
              <w:rPr>
                <w:rFonts w:ascii="ITC Avant Garde" w:hAnsi="ITC Avant Garde" w:cs="Arial"/>
                <w:b/>
                <w:color w:val="000000" w:themeColor="text1"/>
                <w:sz w:val="22"/>
                <w:szCs w:val="22"/>
              </w:rPr>
              <w:t xml:space="preserve">Registro Público de Concesiones </w:t>
            </w:r>
          </w:p>
        </w:tc>
        <w:tc>
          <w:tcPr>
            <w:tcW w:w="6204" w:type="dxa"/>
            <w:hideMark/>
          </w:tcPr>
          <w:p w14:paraId="5C5353D9"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El señalado en el artículo 177 de la Ley de Telecom.</w:t>
            </w:r>
          </w:p>
        </w:tc>
      </w:tr>
      <w:tr w:rsidR="008762D1" w:rsidRPr="008762D1" w14:paraId="3ECA0175" w14:textId="77777777" w:rsidTr="00036A6A">
        <w:trPr>
          <w:jc w:val="center"/>
        </w:trPr>
        <w:tc>
          <w:tcPr>
            <w:tcW w:w="2634" w:type="dxa"/>
            <w:hideMark/>
          </w:tcPr>
          <w:p w14:paraId="28FA9E9C"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 xml:space="preserve">Servicios </w:t>
            </w:r>
          </w:p>
          <w:p w14:paraId="31A392F3"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 xml:space="preserve">Auxiliares </w:t>
            </w:r>
          </w:p>
          <w:p w14:paraId="6B494AAB"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Conexos</w:t>
            </w:r>
          </w:p>
        </w:tc>
        <w:tc>
          <w:tcPr>
            <w:tcW w:w="6204" w:type="dxa"/>
            <w:hideMark/>
          </w:tcPr>
          <w:p w14:paraId="75C26C84" w14:textId="77777777" w:rsidR="00526FE9" w:rsidRPr="008762D1" w:rsidRDefault="00526FE9" w:rsidP="00964F7E">
            <w:pPr>
              <w:pStyle w:val="Textosinforma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8762D1" w:rsidRPr="008762D1" w14:paraId="27E1B2F9" w14:textId="77777777" w:rsidTr="00036A6A">
        <w:trPr>
          <w:jc w:val="center"/>
        </w:trPr>
        <w:tc>
          <w:tcPr>
            <w:tcW w:w="2634" w:type="dxa"/>
            <w:hideMark/>
          </w:tcPr>
          <w:p w14:paraId="66A6C8EF" w14:textId="77777777" w:rsidR="00526FE9" w:rsidRPr="008762D1" w:rsidRDefault="00526FE9" w:rsidP="00964F7E">
            <w:pPr>
              <w:autoSpaceDE w:val="0"/>
              <w:autoSpaceDN w:val="0"/>
              <w:adjustRightInd w:val="0"/>
              <w:rPr>
                <w:rFonts w:ascii="ITC Avant Garde" w:hAnsi="ITC Avant Garde" w:cs="Arial"/>
                <w:b/>
                <w:color w:val="000000" w:themeColor="text1"/>
                <w:lang w:val="es-ES"/>
              </w:rPr>
            </w:pPr>
            <w:r w:rsidRPr="008762D1">
              <w:rPr>
                <w:rFonts w:ascii="ITC Avant Garde" w:hAnsi="ITC Avant Garde" w:cs="Arial"/>
                <w:b/>
                <w:color w:val="000000" w:themeColor="text1"/>
              </w:rPr>
              <w:t>Servicios Conmutados de Interconexión</w:t>
            </w:r>
          </w:p>
        </w:tc>
        <w:tc>
          <w:tcPr>
            <w:tcW w:w="6204" w:type="dxa"/>
            <w:hideMark/>
          </w:tcPr>
          <w:p w14:paraId="27775417"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Servicios que consisten en la conmutación de Tráfico Público Conmutado, por una o más centrales de la red de cualquiera de las Partes y la entrega de dicho Tráfico </w:t>
            </w:r>
            <w:r w:rsidRPr="008762D1">
              <w:rPr>
                <w:rFonts w:ascii="ITC Avant Garde" w:hAnsi="ITC Avant Garde" w:cs="Arial"/>
                <w:color w:val="000000" w:themeColor="text1"/>
              </w:rPr>
              <w:lastRenderedPageBreak/>
              <w:t xml:space="preserve">para su </w:t>
            </w:r>
            <w:proofErr w:type="spellStart"/>
            <w:r w:rsidRPr="008762D1">
              <w:rPr>
                <w:rFonts w:ascii="ITC Avant Garde" w:hAnsi="ITC Avant Garde" w:cs="Arial"/>
                <w:color w:val="000000" w:themeColor="text1"/>
              </w:rPr>
              <w:t>originación</w:t>
            </w:r>
            <w:proofErr w:type="spellEnd"/>
            <w:r w:rsidRPr="008762D1">
              <w:rPr>
                <w:rFonts w:ascii="ITC Avant Garde" w:hAnsi="ITC Avant Garde" w:cs="Arial"/>
                <w:color w:val="000000" w:themeColor="text1"/>
              </w:rPr>
              <w:t>, terminación, tránsito o cualquier combinación entre ellos, en la otra red.</w:t>
            </w:r>
          </w:p>
        </w:tc>
      </w:tr>
      <w:tr w:rsidR="008762D1" w:rsidRPr="008762D1" w14:paraId="40AB4B9C" w14:textId="77777777" w:rsidTr="00036A6A">
        <w:trPr>
          <w:trHeight w:val="1254"/>
          <w:jc w:val="center"/>
        </w:trPr>
        <w:tc>
          <w:tcPr>
            <w:tcW w:w="2634" w:type="dxa"/>
            <w:hideMark/>
          </w:tcPr>
          <w:p w14:paraId="189BD247"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lastRenderedPageBreak/>
              <w:t>Servicios de Interconexión</w:t>
            </w:r>
          </w:p>
        </w:tc>
        <w:tc>
          <w:tcPr>
            <w:tcW w:w="6204" w:type="dxa"/>
          </w:tcPr>
          <w:p w14:paraId="2CDE9CC6"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Los que se prestan entre Concesionarios de servicios de telecomunicaciones, para realizar la interconexión entre sus redes e incluyen, entre otros, la conducción de tráfico, su </w:t>
            </w:r>
            <w:proofErr w:type="spellStart"/>
            <w:r w:rsidRPr="008762D1">
              <w:rPr>
                <w:rFonts w:ascii="ITC Avant Garde" w:hAnsi="ITC Avant Garde" w:cs="Arial"/>
                <w:color w:val="000000" w:themeColor="text1"/>
              </w:rPr>
              <w:t>originación</w:t>
            </w:r>
            <w:proofErr w:type="spellEnd"/>
            <w:r w:rsidRPr="008762D1">
              <w:rPr>
                <w:rFonts w:ascii="ITC Avant Garde" w:hAnsi="ITC Avant Garde" w:cs="Arial"/>
                <w:color w:val="000000" w:themeColor="text1"/>
              </w:rPr>
              <w:t xml:space="preserve"> y terminación, enlaces de transmisión, señalización, tránsito, puertos de acceso,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la compartición de infraestructura para interconexión, facturación y cobranza, así como otros servicios auxiliares de la misma y acceso a servicios. </w:t>
            </w:r>
          </w:p>
          <w:p w14:paraId="73312D7F" w14:textId="77777777" w:rsidR="00526FE9" w:rsidRPr="008762D1" w:rsidRDefault="00526FE9" w:rsidP="00964F7E">
            <w:pPr>
              <w:autoSpaceDE w:val="0"/>
              <w:autoSpaceDN w:val="0"/>
              <w:adjustRightInd w:val="0"/>
              <w:jc w:val="both"/>
              <w:rPr>
                <w:rFonts w:ascii="ITC Avant Garde" w:hAnsi="ITC Avant Garde" w:cs="Arial"/>
                <w:color w:val="000000" w:themeColor="text1"/>
              </w:rPr>
            </w:pPr>
          </w:p>
        </w:tc>
      </w:tr>
      <w:tr w:rsidR="008762D1" w:rsidRPr="008762D1" w14:paraId="7E1AA962" w14:textId="77777777" w:rsidTr="00036A6A">
        <w:trPr>
          <w:trHeight w:val="709"/>
          <w:jc w:val="center"/>
        </w:trPr>
        <w:tc>
          <w:tcPr>
            <w:tcW w:w="2634" w:type="dxa"/>
            <w:hideMark/>
          </w:tcPr>
          <w:p w14:paraId="06807DDC" w14:textId="77777777" w:rsidR="00526FE9" w:rsidRPr="008762D1" w:rsidRDefault="00526FE9" w:rsidP="00964F7E">
            <w:pPr>
              <w:autoSpaceDE w:val="0"/>
              <w:autoSpaceDN w:val="0"/>
              <w:adjustRightInd w:val="0"/>
              <w:rPr>
                <w:rFonts w:ascii="ITC Avant Garde" w:hAnsi="ITC Avant Garde" w:cs="Times New Roman"/>
                <w:b/>
                <w:color w:val="000000" w:themeColor="text1"/>
              </w:rPr>
            </w:pPr>
            <w:r w:rsidRPr="008762D1">
              <w:rPr>
                <w:rFonts w:ascii="ITC Avant Garde" w:hAnsi="ITC Avant Garde"/>
                <w:b/>
                <w:color w:val="000000" w:themeColor="text1"/>
              </w:rPr>
              <w:t>Servicio de Facturación</w:t>
            </w:r>
            <w:r w:rsidRPr="008762D1">
              <w:rPr>
                <w:rFonts w:ascii="ITC Avant Garde" w:hAnsi="ITC Avant Garde" w:cs="Arial"/>
                <w:b/>
                <w:color w:val="000000" w:themeColor="text1"/>
              </w:rPr>
              <w:t xml:space="preserve"> de Interconexión</w:t>
            </w:r>
          </w:p>
        </w:tc>
        <w:tc>
          <w:tcPr>
            <w:tcW w:w="6204" w:type="dxa"/>
            <w:hideMark/>
          </w:tcPr>
          <w:p w14:paraId="0A6920C4" w14:textId="402921F7" w:rsidR="00526FE9" w:rsidRPr="008762D1" w:rsidRDefault="00526FE9" w:rsidP="00F031E8">
            <w:pPr>
              <w:autoSpaceDE w:val="0"/>
              <w:autoSpaceDN w:val="0"/>
              <w:adjustRightInd w:val="0"/>
              <w:jc w:val="both"/>
              <w:rPr>
                <w:rFonts w:ascii="ITC Avant Garde" w:hAnsi="ITC Avant Garde"/>
                <w:color w:val="000000" w:themeColor="text1"/>
              </w:rPr>
            </w:pPr>
            <w:r w:rsidRPr="008762D1">
              <w:rPr>
                <w:rFonts w:ascii="ITC Avant Garde" w:hAnsi="ITC Avant Garde"/>
                <w:color w:val="000000" w:themeColor="text1"/>
              </w:rPr>
              <w:t>Proceso relativo a la expedición de comprobantes fiscales por cuenta de</w:t>
            </w:r>
            <w:r w:rsidR="00F031E8">
              <w:rPr>
                <w:rFonts w:ascii="ITC Avant Garde" w:hAnsi="ITC Avant Garde"/>
                <w:color w:val="000000" w:themeColor="text1"/>
              </w:rPr>
              <w:t xml:space="preserve"> </w:t>
            </w:r>
            <w:r w:rsidR="00F031E8" w:rsidRPr="00A04FEF">
              <w:rPr>
                <w:rFonts w:cs="Arial"/>
                <w:b/>
                <w:color w:val="0000FF"/>
              </w:rPr>
              <w:t>(…)</w:t>
            </w:r>
            <w:r w:rsidRPr="008762D1">
              <w:rPr>
                <w:rFonts w:ascii="ITC Avant Garde" w:hAnsi="ITC Avant Garde"/>
                <w:color w:val="000000" w:themeColor="text1"/>
              </w:rPr>
              <w:t xml:space="preserve">, comprende el procesamiento de registros con el importe de los servicios de </w:t>
            </w:r>
            <w:r w:rsidR="00F031E8" w:rsidRPr="00A04FEF">
              <w:rPr>
                <w:rFonts w:cs="Arial"/>
                <w:b/>
                <w:color w:val="0000FF"/>
              </w:rPr>
              <w:t>(…)</w:t>
            </w:r>
            <w:r w:rsidR="00F031E8">
              <w:rPr>
                <w:rFonts w:cs="Arial"/>
                <w:b/>
                <w:color w:val="0000FF"/>
              </w:rPr>
              <w:t xml:space="preserve"> </w:t>
            </w:r>
            <w:r w:rsidRPr="008762D1">
              <w:rPr>
                <w:rFonts w:ascii="ITC Avant Garde" w:hAnsi="ITC Avant Garde"/>
                <w:color w:val="000000" w:themeColor="text1"/>
              </w:rPr>
              <w:t>integrado en el Recibo Telmex, la impresión y envío al cliente final de dichos comprobantes dentro del Recibo Telmex.</w:t>
            </w:r>
          </w:p>
        </w:tc>
      </w:tr>
      <w:tr w:rsidR="008762D1" w:rsidRPr="008762D1" w14:paraId="7CC38F98" w14:textId="77777777" w:rsidTr="00036A6A">
        <w:trPr>
          <w:jc w:val="center"/>
        </w:trPr>
        <w:tc>
          <w:tcPr>
            <w:tcW w:w="2634" w:type="dxa"/>
            <w:hideMark/>
          </w:tcPr>
          <w:p w14:paraId="5FE11EEB" w14:textId="77777777" w:rsidR="00526FE9" w:rsidRPr="008762D1" w:rsidRDefault="00526FE9" w:rsidP="00964F7E">
            <w:pPr>
              <w:autoSpaceDE w:val="0"/>
              <w:autoSpaceDN w:val="0"/>
              <w:adjustRightInd w:val="0"/>
              <w:rPr>
                <w:rFonts w:ascii="ITC Avant Garde" w:hAnsi="ITC Avant Garde" w:cs="Arial"/>
                <w:b/>
                <w:color w:val="000000" w:themeColor="text1"/>
                <w:lang w:val="es-ES"/>
              </w:rPr>
            </w:pPr>
            <w:r w:rsidRPr="008762D1">
              <w:rPr>
                <w:rFonts w:ascii="ITC Avant Garde" w:hAnsi="ITC Avant Garde" w:cs="Arial"/>
                <w:b/>
                <w:color w:val="000000" w:themeColor="text1"/>
              </w:rPr>
              <w:t>Servicio de Facturación y cobranza</w:t>
            </w:r>
          </w:p>
        </w:tc>
        <w:tc>
          <w:tcPr>
            <w:tcW w:w="6204" w:type="dxa"/>
            <w:hideMark/>
          </w:tcPr>
          <w:p w14:paraId="5A6C0333" w14:textId="6B30F35B"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Servicio de interconexión relativo a la expedición de comprobantes fiscales por cuenta de Telmex, comprende el procesamiento de registros con el importe de los servicios de </w:t>
            </w:r>
            <w:r w:rsidR="00F031E8" w:rsidRPr="00A04FEF">
              <w:rPr>
                <w:rFonts w:cs="Arial"/>
                <w:b/>
                <w:color w:val="0000FF"/>
              </w:rPr>
              <w:t>(…)</w:t>
            </w:r>
            <w:r w:rsidR="00F031E8">
              <w:rPr>
                <w:rFonts w:cs="Arial"/>
                <w:b/>
                <w:color w:val="0000FF"/>
              </w:rPr>
              <w:t xml:space="preserve"> </w:t>
            </w:r>
            <w:r w:rsidRPr="008762D1">
              <w:rPr>
                <w:rFonts w:ascii="ITC Avant Garde" w:hAnsi="ITC Avant Garde" w:cs="Arial"/>
                <w:color w:val="000000" w:themeColor="text1"/>
              </w:rPr>
              <w:t>en el Recibo Telmex, la impresión y envío al cliente final de dichos comprobantes dentro del Recibo Telmex. También incluye las actividades necesarias, para llevar a cabo la receptoría de pagos, por virtud del cual Telmex recibe los pagos de los clientes finales por concepto de los servicios que ofrece el concesionario.</w:t>
            </w:r>
          </w:p>
        </w:tc>
      </w:tr>
      <w:tr w:rsidR="008762D1" w:rsidRPr="008762D1" w14:paraId="2A4AE92C" w14:textId="77777777" w:rsidTr="00036A6A">
        <w:trPr>
          <w:jc w:val="center"/>
        </w:trPr>
        <w:tc>
          <w:tcPr>
            <w:tcW w:w="2634" w:type="dxa"/>
            <w:hideMark/>
          </w:tcPr>
          <w:p w14:paraId="7568B2C7"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Servicios no Conmutados de Interconexión</w:t>
            </w:r>
          </w:p>
        </w:tc>
        <w:tc>
          <w:tcPr>
            <w:tcW w:w="6204" w:type="dxa"/>
            <w:hideMark/>
          </w:tcPr>
          <w:p w14:paraId="4C9F602C"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Los servicios que consisten en: </w:t>
            </w:r>
          </w:p>
          <w:p w14:paraId="193956C5" w14:textId="77777777" w:rsidR="00526FE9" w:rsidRPr="008762D1" w:rsidRDefault="00526FE9" w:rsidP="00964F7E">
            <w:pPr>
              <w:pStyle w:val="Prrafodelista1"/>
              <w:numPr>
                <w:ilvl w:val="0"/>
                <w:numId w:val="22"/>
              </w:numPr>
              <w:autoSpaceDE w:val="0"/>
              <w:autoSpaceDN w:val="0"/>
              <w:adjustRightInd w:val="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Enlaces de Transmisión de Interconexión,  </w:t>
            </w:r>
          </w:p>
          <w:p w14:paraId="47C294CA" w14:textId="77777777" w:rsidR="00526FE9" w:rsidRPr="008762D1" w:rsidRDefault="00526FE9" w:rsidP="00964F7E">
            <w:pPr>
              <w:pStyle w:val="Prrafodelista1"/>
              <w:numPr>
                <w:ilvl w:val="0"/>
                <w:numId w:val="22"/>
              </w:numPr>
              <w:autoSpaceDE w:val="0"/>
              <w:autoSpaceDN w:val="0"/>
              <w:adjustRightInd w:val="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Enlaces de Señalización, </w:t>
            </w:r>
          </w:p>
          <w:p w14:paraId="0ED2DF54" w14:textId="77777777" w:rsidR="00526FE9" w:rsidRPr="008762D1" w:rsidRDefault="00526FE9" w:rsidP="00964F7E">
            <w:pPr>
              <w:pStyle w:val="Prrafodelista1"/>
              <w:numPr>
                <w:ilvl w:val="0"/>
                <w:numId w:val="22"/>
              </w:numPr>
              <w:autoSpaceDE w:val="0"/>
              <w:autoSpaceDN w:val="0"/>
              <w:adjustRightInd w:val="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Puerto de Acceso, </w:t>
            </w:r>
          </w:p>
          <w:p w14:paraId="4ACE5A1A" w14:textId="77777777" w:rsidR="00526FE9" w:rsidRPr="008762D1" w:rsidRDefault="00526FE9" w:rsidP="00964F7E">
            <w:pPr>
              <w:pStyle w:val="Prrafodelista1"/>
              <w:numPr>
                <w:ilvl w:val="0"/>
                <w:numId w:val="22"/>
              </w:numPr>
              <w:autoSpaceDE w:val="0"/>
              <w:autoSpaceDN w:val="0"/>
              <w:adjustRightInd w:val="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Puerto de Señalización y</w:t>
            </w:r>
          </w:p>
          <w:p w14:paraId="69638750" w14:textId="77777777" w:rsidR="00526FE9" w:rsidRPr="008762D1" w:rsidRDefault="00526FE9" w:rsidP="00964F7E">
            <w:pPr>
              <w:pStyle w:val="Prrafodelista1"/>
              <w:numPr>
                <w:ilvl w:val="0"/>
                <w:numId w:val="22"/>
              </w:numPr>
              <w:autoSpaceDE w:val="0"/>
              <w:autoSpaceDN w:val="0"/>
              <w:adjustRightInd w:val="0"/>
              <w:jc w:val="both"/>
              <w:rPr>
                <w:rFonts w:ascii="ITC Avant Garde" w:hAnsi="ITC Avant Garde" w:cs="Arial"/>
                <w:color w:val="000000" w:themeColor="text1"/>
                <w:sz w:val="22"/>
                <w:szCs w:val="22"/>
              </w:rPr>
            </w:pPr>
            <w:proofErr w:type="spellStart"/>
            <w:r w:rsidRPr="008762D1">
              <w:rPr>
                <w:rFonts w:ascii="ITC Avant Garde" w:hAnsi="ITC Avant Garde" w:cs="Arial"/>
                <w:color w:val="000000" w:themeColor="text1"/>
                <w:sz w:val="22"/>
                <w:szCs w:val="22"/>
              </w:rPr>
              <w:t>Coubicación</w:t>
            </w:r>
            <w:proofErr w:type="spellEnd"/>
            <w:r w:rsidRPr="008762D1">
              <w:rPr>
                <w:rFonts w:ascii="ITC Avant Garde" w:hAnsi="ITC Avant Garde" w:cs="Arial"/>
                <w:color w:val="000000" w:themeColor="text1"/>
                <w:sz w:val="22"/>
                <w:szCs w:val="22"/>
              </w:rPr>
              <w:t>.</w:t>
            </w:r>
          </w:p>
        </w:tc>
      </w:tr>
      <w:tr w:rsidR="008762D1" w:rsidRPr="008762D1" w14:paraId="6F6F80C7" w14:textId="77777777" w:rsidTr="00036A6A">
        <w:trPr>
          <w:jc w:val="center"/>
        </w:trPr>
        <w:tc>
          <w:tcPr>
            <w:tcW w:w="2634" w:type="dxa"/>
            <w:hideMark/>
          </w:tcPr>
          <w:p w14:paraId="16E0000C"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Servicios de Señalización</w:t>
            </w:r>
          </w:p>
        </w:tc>
        <w:tc>
          <w:tcPr>
            <w:tcW w:w="6204" w:type="dxa"/>
            <w:hideMark/>
          </w:tcPr>
          <w:p w14:paraId="2A6E95A4"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Servicios de Interconexión que permiten el intercambio de información entre sistemas y equipos de diferentes redes públicas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8762D1" w:rsidRPr="008762D1" w14:paraId="388E96CA" w14:textId="77777777" w:rsidTr="00036A6A">
        <w:trPr>
          <w:jc w:val="center"/>
        </w:trPr>
        <w:tc>
          <w:tcPr>
            <w:tcW w:w="2634" w:type="dxa"/>
            <w:hideMark/>
          </w:tcPr>
          <w:p w14:paraId="23AC4815"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Servicios de telecomunicaciones</w:t>
            </w:r>
          </w:p>
        </w:tc>
        <w:tc>
          <w:tcPr>
            <w:tcW w:w="6204" w:type="dxa"/>
            <w:hideMark/>
          </w:tcPr>
          <w:p w14:paraId="235615C9"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 xml:space="preserve">Aquellos que son comercializados a los Usuarios para la transmisión y/o recepción de Tráfico a través de una Red Pública de Telecomunicaciones y cuya prestación </w:t>
            </w:r>
            <w:r w:rsidRPr="008762D1">
              <w:rPr>
                <w:rFonts w:ascii="ITC Avant Garde" w:hAnsi="ITC Avant Garde" w:cs="Arial"/>
                <w:color w:val="000000" w:themeColor="text1"/>
              </w:rPr>
              <w:lastRenderedPageBreak/>
              <w:t>requiere de la concesión, permiso o registro correspondiente.</w:t>
            </w:r>
          </w:p>
        </w:tc>
      </w:tr>
      <w:tr w:rsidR="008762D1" w:rsidRPr="008762D1" w14:paraId="72454495" w14:textId="77777777" w:rsidTr="00036A6A">
        <w:trPr>
          <w:jc w:val="center"/>
        </w:trPr>
        <w:tc>
          <w:tcPr>
            <w:tcW w:w="2634" w:type="dxa"/>
            <w:hideMark/>
          </w:tcPr>
          <w:p w14:paraId="513B83E5" w14:textId="77777777" w:rsidR="00526FE9" w:rsidRPr="008762D1" w:rsidRDefault="00526FE9" w:rsidP="00964F7E">
            <w:pPr>
              <w:autoSpaceDE w:val="0"/>
              <w:autoSpaceDN w:val="0"/>
              <w:adjustRightInd w:val="0"/>
              <w:rPr>
                <w:rFonts w:ascii="ITC Avant Garde" w:hAnsi="ITC Avant Garde" w:cs="Times New Roman"/>
                <w:b/>
                <w:color w:val="000000" w:themeColor="text1"/>
              </w:rPr>
            </w:pPr>
            <w:r w:rsidRPr="008762D1">
              <w:rPr>
                <w:rFonts w:ascii="ITC Avant Garde" w:hAnsi="ITC Avant Garde"/>
                <w:b/>
                <w:color w:val="000000" w:themeColor="text1"/>
              </w:rPr>
              <w:lastRenderedPageBreak/>
              <w:t>Servicios de Tránsito</w:t>
            </w:r>
          </w:p>
        </w:tc>
        <w:tc>
          <w:tcPr>
            <w:tcW w:w="6204" w:type="dxa"/>
            <w:hideMark/>
          </w:tcPr>
          <w:p w14:paraId="733FD117" w14:textId="77777777" w:rsidR="00526FE9" w:rsidRPr="008762D1" w:rsidRDefault="00526FE9" w:rsidP="00964F7E">
            <w:pPr>
              <w:autoSpaceDE w:val="0"/>
              <w:autoSpaceDN w:val="0"/>
              <w:adjustRightInd w:val="0"/>
              <w:jc w:val="both"/>
              <w:rPr>
                <w:rFonts w:ascii="ITC Avant Garde" w:hAnsi="ITC Avant Garde"/>
                <w:color w:val="000000" w:themeColor="text1"/>
              </w:rPr>
            </w:pPr>
            <w:r w:rsidRPr="008762D1">
              <w:rPr>
                <w:rFonts w:ascii="ITC Avant Garde" w:hAnsi="ITC Avant Garde"/>
                <w:color w:val="000000" w:themeColor="text1"/>
              </w:rPr>
              <w:t xml:space="preserve">Servicio de Interconexión para el enrutamiento de Tráfico </w:t>
            </w:r>
            <w:r w:rsidRPr="008762D1">
              <w:rPr>
                <w:rFonts w:ascii="ITC Avant Garde" w:hAnsi="ITC Avant Garde" w:cs="Arial"/>
                <w:color w:val="000000" w:themeColor="text1"/>
              </w:rPr>
              <w:t xml:space="preserve">Público Conmutado </w:t>
            </w:r>
            <w:r w:rsidRPr="008762D1">
              <w:rPr>
                <w:rFonts w:ascii="ITC Avant Garde" w:hAnsi="ITC Avant Garde"/>
                <w:color w:val="000000" w:themeColor="text1"/>
              </w:rPr>
              <w:t xml:space="preserve">que Telmex provee para la Interconexión de dos Redes Públicas de Telecomunicaciones distintas a Telmex, ya sea para la </w:t>
            </w:r>
            <w:proofErr w:type="spellStart"/>
            <w:r w:rsidRPr="008762D1">
              <w:rPr>
                <w:rFonts w:ascii="ITC Avant Garde" w:hAnsi="ITC Avant Garde"/>
                <w:color w:val="000000" w:themeColor="text1"/>
              </w:rPr>
              <w:t>Originación</w:t>
            </w:r>
            <w:proofErr w:type="spellEnd"/>
            <w:r w:rsidRPr="008762D1">
              <w:rPr>
                <w:rFonts w:ascii="ITC Avant Garde" w:hAnsi="ITC Avant Garde"/>
                <w:color w:val="000000" w:themeColor="text1"/>
              </w:rPr>
              <w:t xml:space="preserve"> o Terminación de Tráfico P</w:t>
            </w:r>
            <w:r w:rsidRPr="008762D1">
              <w:rPr>
                <w:rFonts w:ascii="ITC Avant Garde" w:hAnsi="ITC Avant Garde" w:cs="Arial"/>
                <w:color w:val="000000" w:themeColor="text1"/>
              </w:rPr>
              <w:t xml:space="preserve">úblico Conmutado </w:t>
            </w:r>
            <w:r w:rsidRPr="008762D1">
              <w:rPr>
                <w:rFonts w:ascii="ITC Avant Garde" w:hAnsi="ITC Avant Garde"/>
                <w:color w:val="000000" w:themeColor="text1"/>
              </w:rPr>
              <w:t xml:space="preserve">dentro del territorio nacional. </w:t>
            </w:r>
          </w:p>
        </w:tc>
      </w:tr>
      <w:tr w:rsidR="008762D1" w:rsidRPr="008762D1" w14:paraId="0605522A" w14:textId="77777777" w:rsidTr="00036A6A">
        <w:trPr>
          <w:jc w:val="center"/>
        </w:trPr>
        <w:tc>
          <w:tcPr>
            <w:tcW w:w="2634" w:type="dxa"/>
            <w:hideMark/>
          </w:tcPr>
          <w:p w14:paraId="6664F140"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Solicitudes de Servicio</w:t>
            </w:r>
          </w:p>
        </w:tc>
        <w:tc>
          <w:tcPr>
            <w:tcW w:w="6204" w:type="dxa"/>
            <w:hideMark/>
          </w:tcPr>
          <w:p w14:paraId="49881E75"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8762D1" w:rsidRPr="008762D1" w14:paraId="05616FE3" w14:textId="77777777" w:rsidTr="00036A6A">
        <w:trPr>
          <w:jc w:val="center"/>
        </w:trPr>
        <w:tc>
          <w:tcPr>
            <w:tcW w:w="2634" w:type="dxa"/>
            <w:hideMark/>
          </w:tcPr>
          <w:p w14:paraId="152DB8B4"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Terminación de Tráfico</w:t>
            </w:r>
          </w:p>
        </w:tc>
        <w:tc>
          <w:tcPr>
            <w:tcW w:w="6204" w:type="dxa"/>
            <w:hideMark/>
          </w:tcPr>
          <w:p w14:paraId="161381A6"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Función que comprende la conmutación y transmisión de Tráfico Público Conmutado en la red que lo recibe en un Punto de Interconexión y su entrega al equipo terminal del Usuario de destino.</w:t>
            </w:r>
          </w:p>
        </w:tc>
      </w:tr>
      <w:tr w:rsidR="008762D1" w:rsidRPr="008762D1" w14:paraId="3E74ED13" w14:textId="77777777" w:rsidTr="00036A6A">
        <w:trPr>
          <w:jc w:val="center"/>
        </w:trPr>
        <w:tc>
          <w:tcPr>
            <w:tcW w:w="2634" w:type="dxa"/>
            <w:hideMark/>
          </w:tcPr>
          <w:p w14:paraId="060DFBE2"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Tráfico</w:t>
            </w:r>
          </w:p>
        </w:tc>
        <w:tc>
          <w:tcPr>
            <w:tcW w:w="6204" w:type="dxa"/>
            <w:hideMark/>
          </w:tcPr>
          <w:p w14:paraId="6184CB37"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Datos, escritos, imágenes, voz, sonidos o información de cualquier naturaleza que circulan por una red de telecomunicaciones.</w:t>
            </w:r>
          </w:p>
        </w:tc>
      </w:tr>
      <w:tr w:rsidR="008762D1" w:rsidRPr="008762D1" w14:paraId="10E889ED" w14:textId="77777777" w:rsidTr="00036A6A">
        <w:trPr>
          <w:jc w:val="center"/>
        </w:trPr>
        <w:tc>
          <w:tcPr>
            <w:tcW w:w="2634" w:type="dxa"/>
            <w:hideMark/>
          </w:tcPr>
          <w:p w14:paraId="26B7C18E"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Tráfico Público Conmutado</w:t>
            </w:r>
          </w:p>
        </w:tc>
        <w:tc>
          <w:tcPr>
            <w:tcW w:w="6204" w:type="dxa"/>
            <w:hideMark/>
          </w:tcPr>
          <w:p w14:paraId="72891B48"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Toda emisión, transmisión o recepción de signos, señales,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8762D1" w:rsidRPr="008762D1" w14:paraId="2B4C8900" w14:textId="77777777" w:rsidTr="00036A6A">
        <w:trPr>
          <w:jc w:val="center"/>
        </w:trPr>
        <w:tc>
          <w:tcPr>
            <w:tcW w:w="2634" w:type="dxa"/>
            <w:hideMark/>
          </w:tcPr>
          <w:p w14:paraId="44000ACF"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 xml:space="preserve">Trato </w:t>
            </w:r>
          </w:p>
          <w:p w14:paraId="50AB8C80"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No discriminatorio</w:t>
            </w:r>
          </w:p>
        </w:tc>
        <w:tc>
          <w:tcPr>
            <w:tcW w:w="6204" w:type="dxa"/>
            <w:hideMark/>
          </w:tcPr>
          <w:p w14:paraId="6039FA84"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En materia de Servicios de Interconexión, la obligación de otorgar un trato equitativo igual a Concesionarios que se ubiquen en condiciones iguales entre sí, proporcionando la misma cantidad, calidad, precio y disponibilidad de cualquier Servicio de Interconexión.</w:t>
            </w:r>
          </w:p>
        </w:tc>
      </w:tr>
      <w:tr w:rsidR="008762D1" w:rsidRPr="008762D1" w14:paraId="02CFBFF4" w14:textId="77777777" w:rsidTr="00036A6A">
        <w:trPr>
          <w:jc w:val="center"/>
        </w:trPr>
        <w:tc>
          <w:tcPr>
            <w:tcW w:w="2634" w:type="dxa"/>
            <w:hideMark/>
          </w:tcPr>
          <w:p w14:paraId="32307FD2"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Uso Compartido de infraestructura</w:t>
            </w:r>
          </w:p>
        </w:tc>
        <w:tc>
          <w:tcPr>
            <w:tcW w:w="6204" w:type="dxa"/>
            <w:hideMark/>
          </w:tcPr>
          <w:p w14:paraId="09A46552"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El derecho de utilizar en forma conjunta y simultánea con otro concesionario, la infraestructura que le haya provisto Telmex, para fines de interconexión.</w:t>
            </w:r>
          </w:p>
        </w:tc>
      </w:tr>
      <w:tr w:rsidR="00A04FEF" w:rsidRPr="008762D1" w14:paraId="00C6C9CA" w14:textId="77777777" w:rsidTr="00036A6A">
        <w:trPr>
          <w:jc w:val="center"/>
        </w:trPr>
        <w:tc>
          <w:tcPr>
            <w:tcW w:w="2634" w:type="dxa"/>
            <w:hideMark/>
          </w:tcPr>
          <w:p w14:paraId="770399DA" w14:textId="77777777" w:rsidR="00526FE9" w:rsidRPr="008762D1" w:rsidRDefault="00526FE9" w:rsidP="00964F7E">
            <w:pPr>
              <w:autoSpaceDE w:val="0"/>
              <w:autoSpaceDN w:val="0"/>
              <w:adjustRightInd w:val="0"/>
              <w:rPr>
                <w:rFonts w:ascii="ITC Avant Garde" w:hAnsi="ITC Avant Garde" w:cs="Arial"/>
                <w:b/>
                <w:color w:val="000000" w:themeColor="text1"/>
              </w:rPr>
            </w:pPr>
            <w:r w:rsidRPr="008762D1">
              <w:rPr>
                <w:rFonts w:ascii="ITC Avant Garde" w:hAnsi="ITC Avant Garde" w:cs="Arial"/>
                <w:b/>
                <w:color w:val="000000" w:themeColor="text1"/>
              </w:rPr>
              <w:t>Usuario final</w:t>
            </w:r>
          </w:p>
        </w:tc>
        <w:tc>
          <w:tcPr>
            <w:tcW w:w="6204" w:type="dxa"/>
            <w:hideMark/>
          </w:tcPr>
          <w:p w14:paraId="60323276"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Persona física o moral que utiliza un Servicio de Telecomunicaciones como destinatario final.</w:t>
            </w:r>
          </w:p>
        </w:tc>
      </w:tr>
    </w:tbl>
    <w:p w14:paraId="0B463AC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Aquellos términos no definidos en este documento o en alguno de los Anexos al mismo, tendrán el significado que les corresponda conforme al contexto del presente Convenio; y, a falta de claridad, aquél que les atribuye la Ley, el Plan de </w:t>
      </w:r>
      <w:r w:rsidRPr="008762D1">
        <w:rPr>
          <w:rFonts w:ascii="ITC Avant Garde" w:hAnsi="ITC Avant Garde" w:cs="Arial"/>
          <w:color w:val="000000" w:themeColor="text1"/>
        </w:rPr>
        <w:lastRenderedPageBreak/>
        <w:t xml:space="preserve">Señalización y el Plan de Numeración,  así como los demás ordenamientos legales, </w:t>
      </w:r>
      <w:proofErr w:type="gramStart"/>
      <w:r w:rsidRPr="008762D1">
        <w:rPr>
          <w:rFonts w:ascii="ITC Avant Garde" w:hAnsi="ITC Avant Garde" w:cs="Arial"/>
          <w:color w:val="000000" w:themeColor="text1"/>
        </w:rPr>
        <w:t>reglamentarios</w:t>
      </w:r>
      <w:proofErr w:type="gramEnd"/>
      <w:r w:rsidRPr="008762D1">
        <w:rPr>
          <w:rFonts w:ascii="ITC Avant Garde" w:hAnsi="ITC Avant Garde" w:cs="Arial"/>
          <w:color w:val="000000" w:themeColor="text1"/>
        </w:rPr>
        <w:t xml:space="preserve"> o administrativos aplicables en la materia.</w:t>
      </w:r>
    </w:p>
    <w:p w14:paraId="2089B741" w14:textId="77777777" w:rsidR="000F0B9F" w:rsidRPr="008762D1" w:rsidRDefault="00526FE9" w:rsidP="000F0B9F">
      <w:pPr>
        <w:autoSpaceDE w:val="0"/>
        <w:autoSpaceDN w:val="0"/>
        <w:adjustRightInd w:val="0"/>
        <w:spacing w:before="240"/>
        <w:jc w:val="center"/>
        <w:rPr>
          <w:rFonts w:ascii="ITC Avant Garde" w:hAnsi="ITC Avant Garde" w:cs="Arial"/>
          <w:b/>
          <w:color w:val="000000" w:themeColor="text1"/>
        </w:rPr>
      </w:pPr>
      <w:r w:rsidRPr="008762D1">
        <w:rPr>
          <w:rFonts w:ascii="ITC Avant Garde" w:hAnsi="ITC Avant Garde" w:cs="Arial"/>
          <w:b/>
          <w:color w:val="000000" w:themeColor="text1"/>
        </w:rPr>
        <w:t>CLÁUSULA SEGUNDA.</w:t>
      </w:r>
    </w:p>
    <w:p w14:paraId="08DFB888"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u w:val="single"/>
        </w:rPr>
      </w:pPr>
      <w:r w:rsidRPr="008762D1">
        <w:rPr>
          <w:rFonts w:ascii="ITC Avant Garde" w:hAnsi="ITC Avant Garde" w:cs="Arial"/>
          <w:b/>
          <w:color w:val="000000" w:themeColor="text1"/>
          <w:u w:val="single"/>
        </w:rPr>
        <w:t>2.1 OBJETO Y GENERALIDADES DEL CONVENIO</w:t>
      </w:r>
      <w:r w:rsidRPr="008762D1">
        <w:rPr>
          <w:rFonts w:ascii="ITC Avant Garde" w:hAnsi="ITC Avant Garde" w:cs="Arial"/>
          <w:b/>
          <w:color w:val="000000" w:themeColor="text1"/>
        </w:rPr>
        <w:t>.</w:t>
      </w:r>
    </w:p>
    <w:p w14:paraId="4845FBCF" w14:textId="66291CE6"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El objeto del Convenio entre Telmex y </w:t>
      </w:r>
      <w:r w:rsidR="00F031E8" w:rsidRPr="00A04FEF">
        <w:rPr>
          <w:rFonts w:cs="Arial"/>
          <w:b/>
          <w:color w:val="0000FF"/>
        </w:rPr>
        <w:t>(…)</w:t>
      </w:r>
      <w:r w:rsidR="00F031E8">
        <w:rPr>
          <w:rFonts w:cs="Arial"/>
          <w:b/>
          <w:color w:val="0000FF"/>
        </w:rPr>
        <w:t xml:space="preserve"> </w:t>
      </w:r>
      <w:r w:rsidRPr="008762D1">
        <w:rPr>
          <w:rFonts w:ascii="ITC Avant Garde" w:hAnsi="ITC Avant Garde" w:cs="Arial"/>
          <w:color w:val="000000" w:themeColor="text1"/>
        </w:rPr>
        <w:t xml:space="preserve">es el de interconectar sus redes públicas de telecomunicaciones en términos de los artículos 124, 125, 126 y demás relativos de la Ley y las disposiciones aplicables permitiendo la interoperabilidad de los servicios en las condiciones que se determinan en el presente Convenio y sus anexos. </w:t>
      </w:r>
    </w:p>
    <w:p w14:paraId="2D1F92DF" w14:textId="77777777" w:rsidR="000F0B9F" w:rsidRPr="008762D1" w:rsidRDefault="00526FE9" w:rsidP="000F0B9F">
      <w:pPr>
        <w:spacing w:before="240" w:line="276" w:lineRule="auto"/>
        <w:jc w:val="both"/>
        <w:rPr>
          <w:rFonts w:ascii="ITC Avant Garde" w:hAnsi="ITC Avant Garde" w:cs="Times New Roman"/>
          <w:color w:val="000000" w:themeColor="text1"/>
          <w:lang w:val="es-ES_tradnl"/>
        </w:rPr>
      </w:pPr>
      <w:r w:rsidRPr="008762D1">
        <w:rPr>
          <w:rFonts w:ascii="ITC Avant Garde" w:hAnsi="ITC Avant Garde"/>
          <w:color w:val="000000" w:themeColor="text1"/>
          <w:lang w:val="es-ES_tradnl"/>
        </w:rPr>
        <w:t>Si el Concesionario Solicitante solicita la firma del presente Convenio Marco de Interconexión en los términos publicados por Telmex; acepta las tarifas publicadas por el Instituto con base en el artículo 137 de la Ley Federal de Telecomunicaciones y Radiodifusión, y no solicita una condición adicional a Telmex que sea materia de un diferendo, Telmex deberá suscribir el CMI dentro de un plazo de 10 días hábiles contados a partir de la fecha de solicitud del Concesionario Solicitante a través del sistema electrónico al que se refiere el artículo 129 de la referida ley.</w:t>
      </w:r>
    </w:p>
    <w:p w14:paraId="03BED1D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8762D1">
          <w:rPr>
            <w:rFonts w:ascii="ITC Avant Garde" w:hAnsi="ITC Avant Garde" w:cs="Arial"/>
            <w:color w:val="000000" w:themeColor="text1"/>
          </w:rPr>
          <w:t>2.3 a</w:t>
        </w:r>
      </w:smartTag>
      <w:r w:rsidRPr="008762D1">
        <w:rPr>
          <w:rFonts w:ascii="ITC Avant Garde" w:hAnsi="ITC Avant Garde" w:cs="Arial"/>
          <w:color w:val="000000" w:themeColor="text1"/>
        </w:rPr>
        <w:t xml:space="preserve"> través de los Puntos de Interconexión establecidos en el presente Convenio.</w:t>
      </w:r>
    </w:p>
    <w:p w14:paraId="6073977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Sin perjuicio de lo anterior, en caso que se llegasen a presentar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14:paraId="53D5241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Dentro del presente convenio quedan comprendidos los servicios y la Red Pública de Telecomunicaciones concesionada a Telmex a que se refieren su título de concesión. Del mismo modo, quedan comprendidos dentro de las obligaciones de Telmex, al amparo y en los términos del presente Convenio, los servicios que presta a través de empresas filiales, afiliadas o subsidiarias entendiéndose por tales a cualquier organización o entidad controlada por Telmex en la cual tenga directa o indirectamente una participación accionaria. </w:t>
      </w:r>
    </w:p>
    <w:p w14:paraId="0B3A7740" w14:textId="77777777" w:rsidR="000F0B9F" w:rsidRPr="008762D1" w:rsidRDefault="00526FE9" w:rsidP="000F0B9F">
      <w:pPr>
        <w:spacing w:before="240"/>
        <w:jc w:val="both"/>
        <w:rPr>
          <w:rFonts w:ascii="ITC Avant Garde" w:hAnsi="ITC Avant Garde" w:cs="Times New Roman"/>
          <w:color w:val="000000" w:themeColor="text1"/>
        </w:rPr>
      </w:pPr>
      <w:r w:rsidRPr="008762D1">
        <w:rPr>
          <w:rFonts w:ascii="ITC Avant Garde" w:hAnsi="ITC Avant Garde" w:cs="Arial"/>
          <w:color w:val="000000" w:themeColor="text1"/>
        </w:rPr>
        <w:lastRenderedPageBreak/>
        <w:t>Siendo el cumplimiento del Convenio y sus Anexos el principal objetivo de las Partes, en caso de requerirse su interpretación, ésta se llevará a cabo a fin de conservar y procurar que surta efecto el objeto del Convenio y su intención, por lo que si los términos son claros se estará a su literalidad, de lo contrario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57DCA8EC" w14:textId="29DFD6A6" w:rsidR="000F0B9F" w:rsidRPr="008762D1" w:rsidRDefault="00526FE9" w:rsidP="000F0B9F">
      <w:pPr>
        <w:numPr>
          <w:ilvl w:val="0"/>
          <w:numId w:val="23"/>
        </w:numPr>
        <w:spacing w:before="240" w:after="0" w:line="240" w:lineRule="auto"/>
        <w:ind w:left="1418"/>
        <w:jc w:val="both"/>
        <w:rPr>
          <w:rFonts w:ascii="ITC Avant Garde" w:hAnsi="ITC Avant Garde" w:cs="Times New Roman"/>
          <w:color w:val="000000" w:themeColor="text1"/>
        </w:rPr>
      </w:pPr>
      <w:r w:rsidRPr="008762D1">
        <w:rPr>
          <w:rFonts w:ascii="ITC Avant Garde" w:hAnsi="ITC Avant Garde" w:cs="Arial"/>
          <w:color w:val="000000" w:themeColor="text1"/>
        </w:rPr>
        <w:t>En primer lugar, a lo expresamente previsto en la Ley;</w:t>
      </w:r>
    </w:p>
    <w:p w14:paraId="63CD5165" w14:textId="77777777" w:rsidR="000F0B9F" w:rsidRPr="008762D1" w:rsidRDefault="00526FE9" w:rsidP="00964F7E">
      <w:pPr>
        <w:numPr>
          <w:ilvl w:val="0"/>
          <w:numId w:val="23"/>
        </w:numPr>
        <w:spacing w:after="0" w:line="240" w:lineRule="auto"/>
        <w:ind w:left="1418"/>
        <w:jc w:val="both"/>
        <w:rPr>
          <w:rFonts w:ascii="ITC Avant Garde" w:hAnsi="ITC Avant Garde"/>
          <w:color w:val="000000" w:themeColor="text1"/>
        </w:rPr>
      </w:pPr>
      <w:r w:rsidRPr="008762D1">
        <w:rPr>
          <w:rFonts w:ascii="ITC Avant Garde" w:hAnsi="ITC Avant Garde" w:cs="Arial"/>
          <w:color w:val="000000" w:themeColor="text1"/>
        </w:rPr>
        <w:t>En segundo lugar y en tanto estén vigentes, a lo expresamente previsto en las Medidas de Preponderancia;</w:t>
      </w:r>
    </w:p>
    <w:p w14:paraId="7ECEB461" w14:textId="77777777" w:rsidR="000F0B9F" w:rsidRPr="008762D1" w:rsidRDefault="00526FE9" w:rsidP="00964F7E">
      <w:pPr>
        <w:numPr>
          <w:ilvl w:val="0"/>
          <w:numId w:val="23"/>
        </w:numPr>
        <w:spacing w:after="0" w:line="240" w:lineRule="auto"/>
        <w:ind w:left="1418"/>
        <w:jc w:val="both"/>
        <w:rPr>
          <w:rFonts w:ascii="ITC Avant Garde" w:hAnsi="ITC Avant Garde"/>
          <w:color w:val="000000" w:themeColor="text1"/>
        </w:rPr>
      </w:pPr>
      <w:r w:rsidRPr="008762D1">
        <w:rPr>
          <w:rFonts w:ascii="ITC Avant Garde" w:hAnsi="ITC Avant Garde" w:cs="Arial"/>
          <w:color w:val="000000" w:themeColor="text1"/>
        </w:rPr>
        <w:t>En tercer lugar, a lo expresamente previsto en el Acuerdo para la abstención de cargos de larga distancia nacional, el Acuerdo de Puntos de Interconexión y el Acuerdo de Condiciones Técnicas Mínimas de Interconexión;</w:t>
      </w:r>
    </w:p>
    <w:p w14:paraId="0398034D" w14:textId="77777777" w:rsidR="000F0B9F" w:rsidRPr="008762D1" w:rsidRDefault="00526FE9" w:rsidP="00964F7E">
      <w:pPr>
        <w:numPr>
          <w:ilvl w:val="0"/>
          <w:numId w:val="23"/>
        </w:numPr>
        <w:spacing w:after="0" w:line="240" w:lineRule="auto"/>
        <w:ind w:left="1418"/>
        <w:jc w:val="both"/>
        <w:rPr>
          <w:rFonts w:ascii="ITC Avant Garde" w:hAnsi="ITC Avant Garde"/>
          <w:color w:val="000000" w:themeColor="text1"/>
        </w:rPr>
      </w:pPr>
      <w:r w:rsidRPr="008762D1">
        <w:rPr>
          <w:rFonts w:ascii="ITC Avant Garde" w:hAnsi="ITC Avant Garde"/>
          <w:color w:val="000000" w:themeColor="text1"/>
        </w:rPr>
        <w:t>En cuarto lugar, a lo expresamente previsto en el Plan de Interconexión;</w:t>
      </w:r>
    </w:p>
    <w:p w14:paraId="528C13FA" w14:textId="77777777" w:rsidR="000F0B9F" w:rsidRPr="008762D1" w:rsidRDefault="00526FE9" w:rsidP="00964F7E">
      <w:pPr>
        <w:numPr>
          <w:ilvl w:val="0"/>
          <w:numId w:val="23"/>
        </w:numPr>
        <w:spacing w:after="0" w:line="240" w:lineRule="auto"/>
        <w:ind w:left="1418"/>
        <w:jc w:val="both"/>
        <w:rPr>
          <w:rFonts w:ascii="ITC Avant Garde" w:hAnsi="ITC Avant Garde" w:cs="Times New Roman"/>
          <w:color w:val="000000" w:themeColor="text1"/>
        </w:rPr>
      </w:pPr>
      <w:r w:rsidRPr="008762D1">
        <w:rPr>
          <w:rFonts w:ascii="ITC Avant Garde" w:hAnsi="ITC Avant Garde" w:cs="Arial"/>
          <w:color w:val="000000" w:themeColor="text1"/>
        </w:rPr>
        <w:t xml:space="preserve">En quinto lugar, </w:t>
      </w:r>
      <w:r w:rsidRPr="008762D1">
        <w:rPr>
          <w:rFonts w:ascii="ITC Avant Garde" w:hAnsi="ITC Avant Garde"/>
          <w:color w:val="000000" w:themeColor="text1"/>
        </w:rPr>
        <w:t xml:space="preserve">para Telmex, </w:t>
      </w:r>
      <w:r w:rsidRPr="008762D1">
        <w:rPr>
          <w:rFonts w:ascii="ITC Avant Garde" w:hAnsi="ITC Avant Garde" w:cs="Arial"/>
          <w:color w:val="000000" w:themeColor="text1"/>
        </w:rPr>
        <w:t xml:space="preserve">a </w:t>
      </w:r>
      <w:r w:rsidRPr="008762D1">
        <w:rPr>
          <w:rFonts w:ascii="ITC Avant Garde" w:hAnsi="ITC Avant Garde"/>
          <w:color w:val="000000" w:themeColor="text1"/>
        </w:rPr>
        <w:t xml:space="preserve">lo expresamente previsto en </w:t>
      </w:r>
      <w:r w:rsidRPr="008762D1">
        <w:rPr>
          <w:rFonts w:ascii="ITC Avant Garde" w:hAnsi="ITC Avant Garde" w:cs="Arial"/>
          <w:color w:val="000000" w:themeColor="text1"/>
        </w:rPr>
        <w:t>su respectivo título</w:t>
      </w:r>
      <w:r w:rsidRPr="008762D1">
        <w:rPr>
          <w:rFonts w:ascii="ITC Avant Garde" w:hAnsi="ITC Avant Garde"/>
          <w:color w:val="000000" w:themeColor="text1"/>
        </w:rPr>
        <w:t xml:space="preserve"> de concesión o en las obligaciones adicionales que le sean impuestas por la autoridad competente, en su caso para ( ________), lo expresamente previsto en su respectivo título de concesión;</w:t>
      </w:r>
    </w:p>
    <w:p w14:paraId="5F2BF394" w14:textId="77777777" w:rsidR="000F0B9F" w:rsidRPr="008762D1" w:rsidRDefault="00526FE9" w:rsidP="00964F7E">
      <w:pPr>
        <w:numPr>
          <w:ilvl w:val="0"/>
          <w:numId w:val="23"/>
        </w:numPr>
        <w:spacing w:after="0" w:line="240" w:lineRule="auto"/>
        <w:ind w:left="1418"/>
        <w:jc w:val="both"/>
        <w:rPr>
          <w:rFonts w:ascii="ITC Avant Garde" w:hAnsi="ITC Avant Garde"/>
          <w:color w:val="000000" w:themeColor="text1"/>
        </w:rPr>
      </w:pPr>
      <w:r w:rsidRPr="008762D1">
        <w:rPr>
          <w:rFonts w:ascii="ITC Avant Garde" w:hAnsi="ITC Avant Garde" w:cs="Arial"/>
          <w:color w:val="000000" w:themeColor="text1"/>
        </w:rPr>
        <w:t>En sexto lugar, a la intención de no afectar la prestación de los servicios concesionados y, después de ésta la de no afectar a ninguna de las redes; y</w:t>
      </w:r>
    </w:p>
    <w:p w14:paraId="23041FA8" w14:textId="77777777" w:rsidR="000F0B9F" w:rsidRPr="008762D1" w:rsidRDefault="00526FE9" w:rsidP="00964F7E">
      <w:pPr>
        <w:numPr>
          <w:ilvl w:val="0"/>
          <w:numId w:val="23"/>
        </w:numPr>
        <w:spacing w:after="0" w:line="240" w:lineRule="auto"/>
        <w:ind w:left="1418"/>
        <w:jc w:val="both"/>
        <w:rPr>
          <w:rFonts w:ascii="ITC Avant Garde" w:hAnsi="ITC Avant Garde"/>
          <w:color w:val="000000" w:themeColor="text1"/>
        </w:rPr>
      </w:pPr>
      <w:r w:rsidRPr="008762D1">
        <w:rPr>
          <w:rFonts w:ascii="ITC Avant Garde" w:hAnsi="ITC Avant Garde" w:cs="Arial"/>
          <w:color w:val="000000" w:themeColor="text1"/>
        </w:rPr>
        <w:t>En séptimo lugar, a los principios contenidos en los artículos 20, 1851 al 1857 del Código Civil Federal.</w:t>
      </w:r>
    </w:p>
    <w:p w14:paraId="4192804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El presente Convenio, sus anexos y cualquier modificación que cualquiera de estos sufran, forma parte integrante del mismo.</w:t>
      </w:r>
    </w:p>
    <w:p w14:paraId="13AB0290"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u w:val="single"/>
        </w:rPr>
      </w:pPr>
      <w:r w:rsidRPr="008762D1">
        <w:rPr>
          <w:rFonts w:ascii="ITC Avant Garde" w:hAnsi="ITC Avant Garde" w:cs="Arial"/>
          <w:b/>
          <w:color w:val="000000" w:themeColor="text1"/>
          <w:u w:val="single"/>
        </w:rPr>
        <w:t>2.2 LISTA DE ANEXOS</w:t>
      </w:r>
    </w:p>
    <w:p w14:paraId="3C073E25"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rPr>
      </w:pPr>
      <w:r w:rsidRPr="008762D1">
        <w:rPr>
          <w:rFonts w:ascii="ITC Avant Garde" w:hAnsi="ITC Avant Garde" w:cs="Arial"/>
          <w:b/>
          <w:color w:val="000000" w:themeColor="text1"/>
        </w:rPr>
        <w:t>El convenio contiene los siguientes anexos:</w:t>
      </w:r>
    </w:p>
    <w:tbl>
      <w:tblPr>
        <w:tblStyle w:val="Cuadrculadetablaclara"/>
        <w:tblW w:w="0" w:type="auto"/>
        <w:jc w:val="center"/>
        <w:tblLook w:val="01E0" w:firstRow="1" w:lastRow="1" w:firstColumn="1" w:lastColumn="1" w:noHBand="0" w:noVBand="0"/>
        <w:tblCaption w:val="Tabla"/>
        <w:tblDescription w:val="Anexos"/>
      </w:tblPr>
      <w:tblGrid>
        <w:gridCol w:w="2088"/>
        <w:gridCol w:w="4140"/>
      </w:tblGrid>
      <w:tr w:rsidR="008762D1" w:rsidRPr="008762D1" w14:paraId="7C9ABA5A" w14:textId="77777777" w:rsidTr="00036A6A">
        <w:trPr>
          <w:tblHeader/>
          <w:jc w:val="center"/>
        </w:trPr>
        <w:tc>
          <w:tcPr>
            <w:tcW w:w="2088" w:type="dxa"/>
            <w:hideMark/>
          </w:tcPr>
          <w:p w14:paraId="6FCF8276"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ANEXO</w:t>
            </w:r>
          </w:p>
        </w:tc>
        <w:tc>
          <w:tcPr>
            <w:tcW w:w="4140" w:type="dxa"/>
            <w:hideMark/>
          </w:tcPr>
          <w:p w14:paraId="06CCDF2F"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NOMBRE</w:t>
            </w:r>
          </w:p>
        </w:tc>
      </w:tr>
      <w:tr w:rsidR="008762D1" w:rsidRPr="008762D1" w14:paraId="1307D7A2" w14:textId="77777777" w:rsidTr="00036A6A">
        <w:trPr>
          <w:jc w:val="center"/>
        </w:trPr>
        <w:tc>
          <w:tcPr>
            <w:tcW w:w="2088" w:type="dxa"/>
            <w:hideMark/>
          </w:tcPr>
          <w:p w14:paraId="56EC1C4F"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“A”</w:t>
            </w:r>
          </w:p>
        </w:tc>
        <w:tc>
          <w:tcPr>
            <w:tcW w:w="4140" w:type="dxa"/>
            <w:hideMark/>
          </w:tcPr>
          <w:p w14:paraId="3B06E83A"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Acuerdos Técnicos</w:t>
            </w:r>
          </w:p>
        </w:tc>
      </w:tr>
      <w:tr w:rsidR="008762D1" w:rsidRPr="008762D1" w14:paraId="63ED1EEC" w14:textId="77777777" w:rsidTr="00036A6A">
        <w:trPr>
          <w:jc w:val="center"/>
        </w:trPr>
        <w:tc>
          <w:tcPr>
            <w:tcW w:w="2088" w:type="dxa"/>
            <w:hideMark/>
          </w:tcPr>
          <w:p w14:paraId="2EE81E2C"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“B”</w:t>
            </w:r>
          </w:p>
        </w:tc>
        <w:tc>
          <w:tcPr>
            <w:tcW w:w="4140" w:type="dxa"/>
            <w:hideMark/>
          </w:tcPr>
          <w:p w14:paraId="19DA39EE"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Precios y Tarifas</w:t>
            </w:r>
          </w:p>
        </w:tc>
      </w:tr>
      <w:tr w:rsidR="008762D1" w:rsidRPr="008762D1" w14:paraId="6C1C3ABA" w14:textId="77777777" w:rsidTr="00036A6A">
        <w:trPr>
          <w:jc w:val="center"/>
        </w:trPr>
        <w:tc>
          <w:tcPr>
            <w:tcW w:w="2088" w:type="dxa"/>
            <w:hideMark/>
          </w:tcPr>
          <w:p w14:paraId="1AC83E2B"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“C”</w:t>
            </w:r>
          </w:p>
        </w:tc>
        <w:tc>
          <w:tcPr>
            <w:tcW w:w="4140" w:type="dxa"/>
            <w:hideMark/>
          </w:tcPr>
          <w:p w14:paraId="0F05C9D2"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Formato de solicitudes</w:t>
            </w:r>
          </w:p>
        </w:tc>
      </w:tr>
      <w:tr w:rsidR="008762D1" w:rsidRPr="008762D1" w14:paraId="1107DA45" w14:textId="77777777" w:rsidTr="00036A6A">
        <w:trPr>
          <w:jc w:val="center"/>
        </w:trPr>
        <w:tc>
          <w:tcPr>
            <w:tcW w:w="2088" w:type="dxa"/>
            <w:hideMark/>
          </w:tcPr>
          <w:p w14:paraId="1205EFAE"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“D”</w:t>
            </w:r>
          </w:p>
        </w:tc>
        <w:tc>
          <w:tcPr>
            <w:tcW w:w="4140" w:type="dxa"/>
            <w:hideMark/>
          </w:tcPr>
          <w:p w14:paraId="08C88E4D"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Formato de facturación</w:t>
            </w:r>
          </w:p>
        </w:tc>
      </w:tr>
      <w:tr w:rsidR="008762D1" w:rsidRPr="008762D1" w14:paraId="206FB74D" w14:textId="77777777" w:rsidTr="00036A6A">
        <w:trPr>
          <w:jc w:val="center"/>
        </w:trPr>
        <w:tc>
          <w:tcPr>
            <w:tcW w:w="2088" w:type="dxa"/>
            <w:hideMark/>
          </w:tcPr>
          <w:p w14:paraId="754D48AD"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“E”</w:t>
            </w:r>
          </w:p>
        </w:tc>
        <w:tc>
          <w:tcPr>
            <w:tcW w:w="4140" w:type="dxa"/>
            <w:hideMark/>
          </w:tcPr>
          <w:p w14:paraId="30EA1D38"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Calidad</w:t>
            </w:r>
          </w:p>
        </w:tc>
      </w:tr>
      <w:tr w:rsidR="008762D1" w:rsidRPr="008762D1" w14:paraId="70836C9B" w14:textId="77777777" w:rsidTr="00036A6A">
        <w:trPr>
          <w:trHeight w:val="207"/>
          <w:jc w:val="center"/>
        </w:trPr>
        <w:tc>
          <w:tcPr>
            <w:tcW w:w="2088" w:type="dxa"/>
            <w:hideMark/>
          </w:tcPr>
          <w:p w14:paraId="78D7C329"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t>“F”</w:t>
            </w:r>
          </w:p>
        </w:tc>
        <w:tc>
          <w:tcPr>
            <w:tcW w:w="4140" w:type="dxa"/>
            <w:hideMark/>
          </w:tcPr>
          <w:p w14:paraId="0866F2F6"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Formato de Pronósticos</w:t>
            </w:r>
          </w:p>
        </w:tc>
      </w:tr>
      <w:tr w:rsidR="00526FE9" w:rsidRPr="008762D1" w14:paraId="2E1BDB5F" w14:textId="77777777" w:rsidTr="00036A6A">
        <w:trPr>
          <w:jc w:val="center"/>
        </w:trPr>
        <w:tc>
          <w:tcPr>
            <w:tcW w:w="2088" w:type="dxa"/>
            <w:hideMark/>
          </w:tcPr>
          <w:p w14:paraId="7CEA5AB6" w14:textId="77777777" w:rsidR="00526FE9" w:rsidRPr="008762D1" w:rsidRDefault="00526FE9" w:rsidP="00964F7E">
            <w:pPr>
              <w:autoSpaceDE w:val="0"/>
              <w:autoSpaceDN w:val="0"/>
              <w:adjustRightInd w:val="0"/>
              <w:jc w:val="center"/>
              <w:rPr>
                <w:rFonts w:ascii="ITC Avant Garde" w:hAnsi="ITC Avant Garde" w:cs="Arial"/>
                <w:b/>
                <w:color w:val="000000" w:themeColor="text1"/>
              </w:rPr>
            </w:pPr>
            <w:r w:rsidRPr="008762D1">
              <w:rPr>
                <w:rFonts w:ascii="ITC Avant Garde" w:hAnsi="ITC Avant Garde" w:cs="Arial"/>
                <w:b/>
                <w:color w:val="000000" w:themeColor="text1"/>
              </w:rPr>
              <w:lastRenderedPageBreak/>
              <w:t>“G”</w:t>
            </w:r>
          </w:p>
        </w:tc>
        <w:tc>
          <w:tcPr>
            <w:tcW w:w="4140" w:type="dxa"/>
            <w:hideMark/>
          </w:tcPr>
          <w:p w14:paraId="45A6E13E" w14:textId="77777777" w:rsidR="00526FE9" w:rsidRPr="008762D1" w:rsidRDefault="00526FE9" w:rsidP="00964F7E">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Enlaces Dedicados de Interconexión</w:t>
            </w:r>
          </w:p>
        </w:tc>
      </w:tr>
    </w:tbl>
    <w:p w14:paraId="023A6BFC"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u w:val="single"/>
        </w:rPr>
      </w:pPr>
      <w:r w:rsidRPr="008762D1">
        <w:rPr>
          <w:rFonts w:ascii="ITC Avant Garde" w:hAnsi="ITC Avant Garde" w:cs="Arial"/>
          <w:b/>
          <w:color w:val="000000" w:themeColor="text1"/>
          <w:u w:val="single"/>
        </w:rPr>
        <w:t>2.3 SERVICIOS DE INTERCONEXIÓN</w:t>
      </w:r>
    </w:p>
    <w:p w14:paraId="2F519CB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Los servicios de Interconexión que están contemplados en este Convenio son los siguientes:</w:t>
      </w:r>
    </w:p>
    <w:p w14:paraId="347C774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2.3.1. Conducción de Tráfico, que incluye </w:t>
      </w:r>
      <w:proofErr w:type="spellStart"/>
      <w:r w:rsidRPr="008762D1">
        <w:rPr>
          <w:rFonts w:ascii="ITC Avant Garde" w:hAnsi="ITC Avant Garde" w:cs="Arial"/>
          <w:color w:val="000000" w:themeColor="text1"/>
        </w:rPr>
        <w:t>Originación</w:t>
      </w:r>
      <w:proofErr w:type="spellEnd"/>
      <w:r w:rsidRPr="008762D1">
        <w:rPr>
          <w:rFonts w:ascii="ITC Avant Garde" w:hAnsi="ITC Avant Garde" w:cs="Arial"/>
          <w:color w:val="000000" w:themeColor="text1"/>
        </w:rPr>
        <w:t xml:space="preserve"> y Terminación de Tráfico.</w:t>
      </w:r>
    </w:p>
    <w:p w14:paraId="438D54C4" w14:textId="77777777" w:rsidR="000F0B9F" w:rsidRPr="008762D1" w:rsidRDefault="00526FE9" w:rsidP="00964F7E">
      <w:pPr>
        <w:autoSpaceDE w:val="0"/>
        <w:autoSpaceDN w:val="0"/>
        <w:adjustRightInd w:val="0"/>
        <w:spacing w:after="0"/>
        <w:jc w:val="both"/>
        <w:rPr>
          <w:rFonts w:ascii="ITC Avant Garde" w:hAnsi="ITC Avant Garde" w:cs="Arial"/>
          <w:color w:val="000000" w:themeColor="text1"/>
        </w:rPr>
      </w:pPr>
      <w:r w:rsidRPr="008762D1">
        <w:rPr>
          <w:rFonts w:ascii="ITC Avant Garde" w:hAnsi="ITC Avant Garde" w:cs="Arial"/>
          <w:color w:val="000000" w:themeColor="text1"/>
        </w:rPr>
        <w:t>2.3.2. Servicio de Tránsito.</w:t>
      </w:r>
    </w:p>
    <w:p w14:paraId="4D378540" w14:textId="77777777" w:rsidR="000F0B9F" w:rsidRPr="008762D1" w:rsidRDefault="00526FE9" w:rsidP="00964F7E">
      <w:pPr>
        <w:autoSpaceDE w:val="0"/>
        <w:autoSpaceDN w:val="0"/>
        <w:adjustRightInd w:val="0"/>
        <w:spacing w:after="0"/>
        <w:jc w:val="both"/>
        <w:rPr>
          <w:rFonts w:ascii="ITC Avant Garde" w:hAnsi="ITC Avant Garde" w:cs="Arial"/>
          <w:color w:val="000000" w:themeColor="text1"/>
        </w:rPr>
      </w:pPr>
      <w:r w:rsidRPr="008762D1">
        <w:rPr>
          <w:rFonts w:ascii="ITC Avant Garde" w:hAnsi="ITC Avant Garde" w:cs="Arial"/>
          <w:color w:val="000000" w:themeColor="text1"/>
        </w:rPr>
        <w:t>2.3.3 Enlaces Dedicados de Interconexión.</w:t>
      </w:r>
    </w:p>
    <w:p w14:paraId="2101EFCE" w14:textId="77777777" w:rsidR="000F0B9F" w:rsidRPr="008762D1" w:rsidRDefault="00526FE9" w:rsidP="00964F7E">
      <w:pPr>
        <w:autoSpaceDE w:val="0"/>
        <w:autoSpaceDN w:val="0"/>
        <w:adjustRightInd w:val="0"/>
        <w:spacing w:after="0"/>
        <w:jc w:val="both"/>
        <w:rPr>
          <w:rFonts w:ascii="ITC Avant Garde" w:hAnsi="ITC Avant Garde" w:cs="Arial"/>
          <w:color w:val="000000" w:themeColor="text1"/>
        </w:rPr>
      </w:pPr>
      <w:r w:rsidRPr="008762D1">
        <w:rPr>
          <w:rFonts w:ascii="ITC Avant Garde" w:hAnsi="ITC Avant Garde" w:cs="Arial"/>
          <w:color w:val="000000" w:themeColor="text1"/>
        </w:rPr>
        <w:t xml:space="preserve">2.3.4. Enlaces de Transmisión de Interconexión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w:t>
      </w:r>
    </w:p>
    <w:p w14:paraId="1B8D745B" w14:textId="77777777" w:rsidR="000F0B9F" w:rsidRPr="008762D1" w:rsidRDefault="00526FE9" w:rsidP="00964F7E">
      <w:pPr>
        <w:autoSpaceDE w:val="0"/>
        <w:autoSpaceDN w:val="0"/>
        <w:adjustRightInd w:val="0"/>
        <w:spacing w:after="0"/>
        <w:jc w:val="both"/>
        <w:rPr>
          <w:rFonts w:ascii="ITC Avant Garde" w:hAnsi="ITC Avant Garde" w:cs="Arial"/>
          <w:color w:val="000000" w:themeColor="text1"/>
        </w:rPr>
      </w:pPr>
      <w:r w:rsidRPr="008762D1">
        <w:rPr>
          <w:rFonts w:ascii="ITC Avant Garde" w:hAnsi="ITC Avant Garde" w:cs="Arial"/>
          <w:color w:val="000000" w:themeColor="text1"/>
        </w:rPr>
        <w:t>2.3.5. Servicio de Señalización.</w:t>
      </w:r>
    </w:p>
    <w:p w14:paraId="7C3E4801" w14:textId="77777777" w:rsidR="000F0B9F" w:rsidRPr="008762D1" w:rsidRDefault="00526FE9" w:rsidP="00964F7E">
      <w:pPr>
        <w:autoSpaceDE w:val="0"/>
        <w:autoSpaceDN w:val="0"/>
        <w:adjustRightInd w:val="0"/>
        <w:spacing w:after="0"/>
        <w:jc w:val="both"/>
        <w:rPr>
          <w:rFonts w:ascii="ITC Avant Garde" w:hAnsi="ITC Avant Garde" w:cs="Arial"/>
          <w:color w:val="000000" w:themeColor="text1"/>
        </w:rPr>
      </w:pPr>
      <w:r w:rsidRPr="008762D1">
        <w:rPr>
          <w:rFonts w:ascii="ITC Avant Garde" w:hAnsi="ITC Avant Garde" w:cs="Arial"/>
          <w:color w:val="000000" w:themeColor="text1"/>
        </w:rPr>
        <w:t xml:space="preserve">2.3.6.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w:t>
      </w:r>
    </w:p>
    <w:p w14:paraId="200C7FE9" w14:textId="77777777" w:rsidR="000F0B9F" w:rsidRPr="008762D1" w:rsidRDefault="00526FE9" w:rsidP="00964F7E">
      <w:pPr>
        <w:autoSpaceDE w:val="0"/>
        <w:autoSpaceDN w:val="0"/>
        <w:adjustRightInd w:val="0"/>
        <w:spacing w:after="0"/>
        <w:jc w:val="both"/>
        <w:rPr>
          <w:rFonts w:ascii="ITC Avant Garde" w:hAnsi="ITC Avant Garde" w:cs="Arial"/>
          <w:color w:val="000000" w:themeColor="text1"/>
        </w:rPr>
      </w:pPr>
      <w:r w:rsidRPr="008762D1">
        <w:rPr>
          <w:rFonts w:ascii="ITC Avant Garde" w:hAnsi="ITC Avant Garde" w:cs="Arial"/>
          <w:color w:val="000000" w:themeColor="text1"/>
        </w:rPr>
        <w:t>2.3.7. Facturación y Cobranza.</w:t>
      </w:r>
    </w:p>
    <w:p w14:paraId="3535E7F7" w14:textId="77777777" w:rsidR="000F0B9F" w:rsidRPr="008762D1" w:rsidRDefault="00526FE9" w:rsidP="00964F7E">
      <w:pPr>
        <w:autoSpaceDE w:val="0"/>
        <w:autoSpaceDN w:val="0"/>
        <w:adjustRightInd w:val="0"/>
        <w:spacing w:after="0"/>
        <w:jc w:val="both"/>
        <w:rPr>
          <w:rFonts w:ascii="ITC Avant Garde" w:hAnsi="ITC Avant Garde" w:cs="Arial"/>
          <w:color w:val="000000" w:themeColor="text1"/>
        </w:rPr>
      </w:pPr>
      <w:r w:rsidRPr="008762D1">
        <w:rPr>
          <w:rFonts w:ascii="ITC Avant Garde" w:hAnsi="ITC Avant Garde" w:cs="Arial"/>
          <w:color w:val="000000" w:themeColor="text1"/>
        </w:rPr>
        <w:t>2.3.8. Puerto de Acceso.</w:t>
      </w:r>
    </w:p>
    <w:p w14:paraId="4BD7BE25" w14:textId="77777777" w:rsidR="000F0B9F" w:rsidRPr="008762D1" w:rsidRDefault="00526FE9" w:rsidP="00964F7E">
      <w:pPr>
        <w:autoSpaceDE w:val="0"/>
        <w:autoSpaceDN w:val="0"/>
        <w:adjustRightInd w:val="0"/>
        <w:spacing w:after="0"/>
        <w:jc w:val="both"/>
        <w:rPr>
          <w:rFonts w:ascii="ITC Avant Garde" w:hAnsi="ITC Avant Garde" w:cs="Arial"/>
          <w:color w:val="000000" w:themeColor="text1"/>
        </w:rPr>
      </w:pPr>
      <w:r w:rsidRPr="008762D1">
        <w:rPr>
          <w:rFonts w:ascii="ITC Avant Garde" w:hAnsi="ITC Avant Garde" w:cs="Arial"/>
          <w:color w:val="000000" w:themeColor="text1"/>
        </w:rPr>
        <w:t>2.3.9. Servicios Auxiliares Conexos.</w:t>
      </w:r>
    </w:p>
    <w:p w14:paraId="43DB5EE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2.4. SOLICITUDES DE SERVICIO</w:t>
      </w:r>
      <w:r w:rsidRPr="008762D1">
        <w:rPr>
          <w:rFonts w:ascii="ITC Avant Garde" w:hAnsi="ITC Avant Garde" w:cs="Arial"/>
          <w:color w:val="000000" w:themeColor="text1"/>
        </w:rPr>
        <w:t>.</w:t>
      </w:r>
    </w:p>
    <w:p w14:paraId="57F93FC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Telmex  se obliga a atender las Solicitudes de Servicios de Interconexión en el mismo tiempo y forma en que atiende sus propias necesidades y las de sus afiliadas, filiales, subsidiarias o empresas dentro de los plazos establecidos en el presente Convenio. Para efectos de lo anterior, Telmex deberá contar con un solo proceso de atención de Solicitudes de los Servicios de Interconexión conforme al cual deberán ser atendidas las solicitudes respectivas, en el orden en el que fueron presentadas, o de acuerdo a la fecha compromiso acordada entre las Partes.</w:t>
      </w:r>
    </w:p>
    <w:p w14:paraId="0D6E9A7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El concesionario solicitante deberá proveer los servicios de Interconexión de conducción de tráfico, puertos de acceso y señalización solicitados por Telmex, en los plazos establecidos en el Plan de Interconexión o los que las partes convengan en el presente Convenio, a fin de poder establecer la interconexión e interoperabilidad entre las redes.</w:t>
      </w:r>
    </w:p>
    <w:p w14:paraId="09EC19B5"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lang w:val="es-ES"/>
        </w:rPr>
      </w:pPr>
      <w:r w:rsidRPr="008762D1">
        <w:rPr>
          <w:rFonts w:ascii="ITC Avant Garde" w:hAnsi="ITC Avant Garde" w:cs="Arial"/>
          <w:color w:val="000000" w:themeColor="text1"/>
          <w:sz w:val="22"/>
          <w:szCs w:val="22"/>
        </w:rPr>
        <w:t xml:space="preserve">Telmex </w:t>
      </w:r>
      <w:r w:rsidRPr="008762D1">
        <w:rPr>
          <w:rFonts w:ascii="ITC Avant Garde" w:hAnsi="ITC Avant Garde" w:cs="Arial"/>
          <w:color w:val="000000" w:themeColor="text1"/>
          <w:sz w:val="22"/>
          <w:szCs w:val="22"/>
          <w:lang w:val="es-ES"/>
        </w:rPr>
        <w:t xml:space="preserve">se obliga a instalar la capacidad necesaria para satisfacer la demanda de Servicios de Interconexión a que se refiere el presente Convenio. </w:t>
      </w:r>
    </w:p>
    <w:p w14:paraId="209FFD86" w14:textId="665BC5B0"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Cada Solicitud de Servicio de Interconexión contendrá la fecha en que </w:t>
      </w:r>
      <w:r w:rsidR="00F031E8" w:rsidRPr="00A04FEF">
        <w:rPr>
          <w:rFonts w:cs="Arial"/>
          <w:b/>
          <w:color w:val="0000FF"/>
        </w:rPr>
        <w:t>(…)</w:t>
      </w:r>
      <w:r w:rsidR="00F031E8">
        <w:rPr>
          <w:rFonts w:cs="Arial"/>
          <w:b/>
          <w:color w:val="0000FF"/>
        </w:rPr>
        <w:t xml:space="preserve"> </w:t>
      </w:r>
      <w:r w:rsidRPr="008762D1">
        <w:rPr>
          <w:rFonts w:ascii="ITC Avant Garde" w:hAnsi="ITC Avant Garde" w:cs="Arial"/>
          <w:color w:val="000000" w:themeColor="text1"/>
        </w:rPr>
        <w:t>requiera el inicio de la prestación de los Servicios de Interconexión correlativos, en el entendido de que Telmex se obliga a iniciar dicha prestación en unos plazos no mayores a los estipulados en el Anexo E o en cualquier otro que hubiere sido convenida con</w:t>
      </w:r>
      <w:r w:rsidR="00F031E8">
        <w:rPr>
          <w:rFonts w:ascii="ITC Avant Garde" w:hAnsi="ITC Avant Garde" w:cs="Arial"/>
          <w:color w:val="000000" w:themeColor="text1"/>
        </w:rPr>
        <w:t xml:space="preserve"> </w:t>
      </w:r>
      <w:r w:rsidR="00F031E8" w:rsidRPr="00A04FEF">
        <w:rPr>
          <w:rFonts w:cs="Arial"/>
          <w:b/>
          <w:color w:val="0000FF"/>
        </w:rPr>
        <w:t>(…)</w:t>
      </w:r>
      <w:r w:rsidRPr="008762D1">
        <w:rPr>
          <w:rFonts w:ascii="ITC Avant Garde" w:hAnsi="ITC Avant Garde" w:cs="Arial"/>
          <w:color w:val="000000" w:themeColor="text1"/>
        </w:rPr>
        <w:t xml:space="preserve">  por escrito.</w:t>
      </w:r>
    </w:p>
    <w:p w14:paraId="53CCC949" w14:textId="02C53ADC" w:rsidR="000F0B9F" w:rsidRPr="008762D1" w:rsidRDefault="00526FE9" w:rsidP="000F0B9F">
      <w:pPr>
        <w:tabs>
          <w:tab w:val="left" w:pos="3600"/>
        </w:tabs>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 xml:space="preserve">Cuando una Solicitud de Servicio de Interconexión que no pueda ser atendida en un Punto de Interconexión solicitado por </w:t>
      </w:r>
      <w:r w:rsidR="00F031E8" w:rsidRPr="00A04FEF">
        <w:rPr>
          <w:rFonts w:cs="Arial"/>
          <w:b/>
          <w:color w:val="0000FF"/>
        </w:rPr>
        <w:t>(…)</w:t>
      </w:r>
      <w:r w:rsidR="00F031E8">
        <w:rPr>
          <w:rFonts w:cs="Arial"/>
          <w:b/>
          <w:color w:val="0000FF"/>
        </w:rPr>
        <w:t xml:space="preserve"> </w:t>
      </w:r>
      <w:r w:rsidRPr="008762D1">
        <w:rPr>
          <w:rFonts w:ascii="ITC Avant Garde" w:hAnsi="ITC Avant Garde" w:cs="Arial"/>
          <w:color w:val="000000" w:themeColor="text1"/>
        </w:rPr>
        <w:t xml:space="preserve">por falta de capacidad, será responsabilidad de Telmex ofrecer a </w:t>
      </w:r>
      <w:r w:rsidR="00F031E8" w:rsidRPr="00A04FEF">
        <w:rPr>
          <w:rFonts w:cs="Arial"/>
          <w:b/>
          <w:color w:val="0000FF"/>
        </w:rPr>
        <w:t>(…)</w:t>
      </w:r>
      <w:r w:rsidR="00F031E8">
        <w:rPr>
          <w:rFonts w:cs="Arial"/>
          <w:b/>
          <w:color w:val="0000FF"/>
        </w:rPr>
        <w:t xml:space="preserve"> </w:t>
      </w:r>
      <w:r w:rsidRPr="008762D1">
        <w:rPr>
          <w:rFonts w:ascii="ITC Avant Garde" w:hAnsi="ITC Avant Garde" w:cs="Arial"/>
          <w:color w:val="000000" w:themeColor="text1"/>
        </w:rPr>
        <w:t xml:space="preserve">en un plazo no mayor a 20 días hábiles contados a partir de la fecha de recepción de la solicitud respectiva, una alternativa de Interconexión viable, es decir que la infraestructura se encuentre lista y en operación y que cumpla con las obligaciones previstas en el presente Convenio sin que esto resulte en un costo adicional o diferenciado para su establecimiento, ya sea en la instalación de enlaces o en la prestación de los Servicios de Interconexión, es decir, no implicará ningún tipo de proyecto especial, acondicionamiento o cargo adicional a </w:t>
      </w:r>
      <w:r w:rsidR="00F031E8" w:rsidRPr="00A04FEF">
        <w:rPr>
          <w:rFonts w:cs="Arial"/>
          <w:b/>
          <w:color w:val="0000FF"/>
        </w:rPr>
        <w:t>(…)</w:t>
      </w:r>
      <w:r w:rsidR="00F031E8">
        <w:rPr>
          <w:rFonts w:cs="Arial"/>
          <w:b/>
          <w:color w:val="0000FF"/>
        </w:rPr>
        <w:t xml:space="preserve"> </w:t>
      </w:r>
      <w:r w:rsidRPr="008762D1">
        <w:rPr>
          <w:rFonts w:ascii="ITC Avant Garde" w:hAnsi="ITC Avant Garde" w:cs="Arial"/>
          <w:color w:val="000000" w:themeColor="text1"/>
        </w:rPr>
        <w:t>al momento de acceder por sus medios propios o arrendados al punto de interconexión alternativo, lo anterior, en el entendido de que:</w:t>
      </w:r>
    </w:p>
    <w:p w14:paraId="7079309B" w14:textId="5254319F" w:rsidR="000F0B9F" w:rsidRPr="008762D1" w:rsidRDefault="00526FE9" w:rsidP="000F0B9F">
      <w:pPr>
        <w:pStyle w:val="Textosinformato"/>
        <w:numPr>
          <w:ilvl w:val="0"/>
          <w:numId w:val="24"/>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Si </w:t>
      </w:r>
      <w:r w:rsidR="00F031E8" w:rsidRPr="00A04FEF">
        <w:rPr>
          <w:rFonts w:cs="Arial"/>
          <w:b/>
          <w:color w:val="0000FF"/>
        </w:rPr>
        <w:t>(…</w:t>
      </w:r>
      <w:proofErr w:type="gramStart"/>
      <w:r w:rsidR="00F031E8" w:rsidRPr="00A04FEF">
        <w:rPr>
          <w:rFonts w:cs="Arial"/>
          <w:b/>
          <w:color w:val="0000FF"/>
        </w:rPr>
        <w:t>)</w:t>
      </w:r>
      <w:r w:rsidRPr="008762D1">
        <w:rPr>
          <w:rFonts w:ascii="ITC Avant Garde" w:hAnsi="ITC Avant Garde" w:cs="Arial"/>
          <w:color w:val="000000" w:themeColor="text1"/>
          <w:sz w:val="22"/>
          <w:szCs w:val="22"/>
        </w:rPr>
        <w:t>solicita</w:t>
      </w:r>
      <w:proofErr w:type="gramEnd"/>
      <w:r w:rsidRPr="008762D1">
        <w:rPr>
          <w:rFonts w:ascii="ITC Avant Garde" w:hAnsi="ITC Avant Garde" w:cs="Arial"/>
          <w:color w:val="000000" w:themeColor="text1"/>
          <w:sz w:val="22"/>
          <w:szCs w:val="22"/>
        </w:rPr>
        <w:t xml:space="preserve"> la interconexión en una localidad en la que Telmex no tenga Punto de Interconexión, entonces las partes de común acuerdo definirán el Punto de Interconexión existente indicado en el </w:t>
      </w:r>
      <w:proofErr w:type="spellStart"/>
      <w:r w:rsidRPr="008762D1">
        <w:rPr>
          <w:rFonts w:ascii="ITC Avant Garde" w:hAnsi="ITC Avant Garde" w:cs="Arial"/>
          <w:color w:val="000000" w:themeColor="text1"/>
          <w:sz w:val="22"/>
          <w:szCs w:val="22"/>
        </w:rPr>
        <w:t>Subanexo</w:t>
      </w:r>
      <w:proofErr w:type="spellEnd"/>
      <w:r w:rsidRPr="008762D1">
        <w:rPr>
          <w:rFonts w:ascii="ITC Avant Garde" w:hAnsi="ITC Avant Garde" w:cs="Arial"/>
          <w:color w:val="000000" w:themeColor="text1"/>
          <w:sz w:val="22"/>
          <w:szCs w:val="22"/>
        </w:rPr>
        <w:t xml:space="preserve"> A-1, tomando en cuenta el más cercano en la red de Telmex a dicha localidad. </w:t>
      </w:r>
    </w:p>
    <w:p w14:paraId="6C9C5671" w14:textId="4793F347" w:rsidR="000F0B9F" w:rsidRPr="008762D1" w:rsidRDefault="00526FE9" w:rsidP="000F0B9F">
      <w:pPr>
        <w:pStyle w:val="Textosinformato"/>
        <w:numPr>
          <w:ilvl w:val="0"/>
          <w:numId w:val="24"/>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Si </w:t>
      </w:r>
      <w:r w:rsidR="00F031E8" w:rsidRPr="00A04FEF">
        <w:rPr>
          <w:rFonts w:cs="Arial"/>
          <w:b/>
          <w:color w:val="0000FF"/>
        </w:rPr>
        <w:t>(…</w:t>
      </w:r>
      <w:proofErr w:type="gramStart"/>
      <w:r w:rsidR="00F031E8" w:rsidRPr="00A04FEF">
        <w:rPr>
          <w:rFonts w:cs="Arial"/>
          <w:b/>
          <w:color w:val="0000FF"/>
        </w:rPr>
        <w:t>)</w:t>
      </w:r>
      <w:r w:rsidRPr="008762D1">
        <w:rPr>
          <w:rFonts w:ascii="ITC Avant Garde" w:hAnsi="ITC Avant Garde" w:cs="Arial"/>
          <w:color w:val="000000" w:themeColor="text1"/>
          <w:sz w:val="22"/>
          <w:szCs w:val="22"/>
        </w:rPr>
        <w:t>solicita</w:t>
      </w:r>
      <w:proofErr w:type="gramEnd"/>
      <w:r w:rsidRPr="008762D1">
        <w:rPr>
          <w:rFonts w:ascii="ITC Avant Garde" w:hAnsi="ITC Avant Garde" w:cs="Arial"/>
          <w:color w:val="000000" w:themeColor="text1"/>
          <w:sz w:val="22"/>
          <w:szCs w:val="22"/>
        </w:rPr>
        <w:t xml:space="preserve"> interconexión en un Punto de Interconexión que se encuentre saturado, entonces Telmex designará un Punto de interconexión existente alternativo del </w:t>
      </w:r>
      <w:proofErr w:type="spellStart"/>
      <w:r w:rsidRPr="008762D1">
        <w:rPr>
          <w:rFonts w:ascii="ITC Avant Garde" w:hAnsi="ITC Avant Garde" w:cs="Arial"/>
          <w:color w:val="000000" w:themeColor="text1"/>
          <w:sz w:val="22"/>
          <w:szCs w:val="22"/>
        </w:rPr>
        <w:t>Subanexo</w:t>
      </w:r>
      <w:proofErr w:type="spellEnd"/>
      <w:r w:rsidRPr="008762D1">
        <w:rPr>
          <w:rFonts w:ascii="ITC Avant Garde" w:hAnsi="ITC Avant Garde" w:cs="Arial"/>
          <w:color w:val="000000" w:themeColor="text1"/>
          <w:sz w:val="22"/>
          <w:szCs w:val="22"/>
        </w:rPr>
        <w:t xml:space="preserve"> A-1, de ser posible en la misma localidad. En caso contrario las partes estarán a lo manifestado en el numeral i) anterior.</w:t>
      </w:r>
    </w:p>
    <w:p w14:paraId="40CAFE16" w14:textId="28AA1097" w:rsidR="000F0B9F" w:rsidRPr="008762D1" w:rsidRDefault="00526FE9" w:rsidP="000F0B9F">
      <w:pPr>
        <w:pStyle w:val="Textosinformato"/>
        <w:numPr>
          <w:ilvl w:val="0"/>
          <w:numId w:val="24"/>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El plazo de 20 días hábiles mencionado para ofrecer la alternativa de interconexión, será obligatorio para Telmex, siempre y cuando </w:t>
      </w:r>
      <w:r w:rsidR="00F031E8" w:rsidRPr="00A04FEF">
        <w:rPr>
          <w:rFonts w:cs="Arial"/>
          <w:b/>
          <w:color w:val="0000FF"/>
        </w:rPr>
        <w:t>(…)</w:t>
      </w:r>
      <w:r w:rsidRPr="008762D1">
        <w:rPr>
          <w:rFonts w:ascii="ITC Avant Garde" w:hAnsi="ITC Avant Garde" w:cs="Arial"/>
          <w:color w:val="000000" w:themeColor="text1"/>
          <w:sz w:val="22"/>
          <w:szCs w:val="22"/>
        </w:rPr>
        <w:t xml:space="preserve">, tenga lista y en operación la infraestructura para la interconexión. </w:t>
      </w:r>
    </w:p>
    <w:p w14:paraId="15AEADB3" w14:textId="2432FAB8" w:rsidR="000F0B9F" w:rsidRPr="008762D1" w:rsidRDefault="00526FE9" w:rsidP="000F0B9F">
      <w:pPr>
        <w:pStyle w:val="Textosinformato"/>
        <w:numPr>
          <w:ilvl w:val="0"/>
          <w:numId w:val="24"/>
        </w:numPr>
        <w:spacing w:before="240"/>
        <w:jc w:val="both"/>
        <w:rPr>
          <w:rStyle w:val="Refdecomentario"/>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En caso de que </w:t>
      </w:r>
      <w:r w:rsidR="00F031E8" w:rsidRPr="00A04FEF">
        <w:rPr>
          <w:rFonts w:cs="Arial"/>
          <w:b/>
          <w:color w:val="0000FF"/>
        </w:rPr>
        <w:t>(…)</w:t>
      </w:r>
      <w:r w:rsidRPr="008762D1">
        <w:rPr>
          <w:rFonts w:ascii="ITC Avant Garde" w:hAnsi="ITC Avant Garde" w:cs="Arial"/>
          <w:color w:val="000000" w:themeColor="text1"/>
          <w:sz w:val="22"/>
          <w:szCs w:val="22"/>
        </w:rPr>
        <w:t xml:space="preserve"> no esté listo para recibir los servicios de interconexión en los 20 días hábiles referidos en el numeral anterior, las partes acordarán en conjunto una nueva fecha para la entrega de los servicios de interconexión de acuerdo al contenido aplicable del Anexo E “Calidad” del presente convenio.</w:t>
      </w:r>
      <w:r w:rsidRPr="008762D1">
        <w:rPr>
          <w:rStyle w:val="Refdecomentario"/>
          <w:rFonts w:ascii="ITC Avant Garde" w:hAnsi="ITC Avant Garde"/>
          <w:color w:val="000000" w:themeColor="text1"/>
          <w:sz w:val="22"/>
          <w:szCs w:val="22"/>
          <w:lang w:val="es-ES"/>
        </w:rPr>
        <w:t xml:space="preserve"> </w:t>
      </w:r>
    </w:p>
    <w:p w14:paraId="35B304A9" w14:textId="46827426" w:rsidR="00526FE9" w:rsidRPr="008762D1" w:rsidRDefault="00526FE9" w:rsidP="000F0B9F">
      <w:pPr>
        <w:spacing w:before="240" w:after="200" w:line="276" w:lineRule="auto"/>
        <w:jc w:val="both"/>
        <w:rPr>
          <w:rFonts w:ascii="ITC Avant Garde" w:eastAsia="Calibri" w:hAnsi="ITC Avant Garde" w:cs="Times New Roman"/>
          <w:color w:val="000000" w:themeColor="text1"/>
          <w:u w:val="single"/>
          <w:lang w:val="es-ES"/>
        </w:rPr>
      </w:pPr>
      <w:r w:rsidRPr="008762D1">
        <w:rPr>
          <w:rFonts w:ascii="ITC Avant Garde" w:eastAsia="Calibri" w:hAnsi="ITC Avant Garde"/>
          <w:color w:val="000000" w:themeColor="text1"/>
          <w:u w:val="single"/>
        </w:rPr>
        <w:t>Redundancia y balanceo de Tráfico.</w:t>
      </w:r>
    </w:p>
    <w:p w14:paraId="659D8544" w14:textId="77777777" w:rsidR="000F0B9F" w:rsidRPr="008762D1" w:rsidRDefault="00526FE9" w:rsidP="000F0B9F">
      <w:pPr>
        <w:spacing w:before="240"/>
        <w:jc w:val="both"/>
        <w:rPr>
          <w:rFonts w:ascii="ITC Avant Garde" w:eastAsia="Times New Roman" w:hAnsi="ITC Avant Garde"/>
          <w:color w:val="000000" w:themeColor="text1"/>
          <w:lang w:eastAsia="es-ES"/>
        </w:rPr>
      </w:pPr>
      <w:r w:rsidRPr="008762D1">
        <w:rPr>
          <w:rFonts w:ascii="ITC Avant Garde" w:hAnsi="ITC Avant Garde"/>
          <w:color w:val="000000" w:themeColor="text1"/>
        </w:rPr>
        <w:t xml:space="preserve">Las Partes están de acuerdo en implementar Servicios de Interconexión directa en al menos 2 (dos) </w:t>
      </w:r>
      <w:proofErr w:type="spellStart"/>
      <w:r w:rsidRPr="008762D1">
        <w:rPr>
          <w:rFonts w:ascii="ITC Avant Garde" w:hAnsi="ITC Avant Garde"/>
          <w:color w:val="000000" w:themeColor="text1"/>
        </w:rPr>
        <w:t>PDICs</w:t>
      </w:r>
      <w:proofErr w:type="spellEnd"/>
      <w:r w:rsidRPr="008762D1">
        <w:rPr>
          <w:rFonts w:ascii="ITC Avant Garde" w:hAnsi="ITC Avant Garde"/>
          <w:color w:val="000000" w:themeColor="text1"/>
        </w:rPr>
        <w:t xml:space="preserve"> por cada Parte, para efectos de redundancia. </w:t>
      </w:r>
    </w:p>
    <w:p w14:paraId="2F6737D0" w14:textId="77777777" w:rsidR="000F0B9F" w:rsidRPr="008762D1" w:rsidRDefault="00526FE9" w:rsidP="000F0B9F">
      <w:pPr>
        <w:spacing w:before="240"/>
        <w:jc w:val="both"/>
        <w:rPr>
          <w:rFonts w:ascii="ITC Avant Garde" w:hAnsi="ITC Avant Garde"/>
          <w:color w:val="000000" w:themeColor="text1"/>
        </w:rPr>
      </w:pPr>
      <w:r w:rsidRPr="008762D1">
        <w:rPr>
          <w:rFonts w:ascii="ITC Avant Garde" w:hAnsi="ITC Avant Garde"/>
          <w:color w:val="000000" w:themeColor="text1"/>
          <w:shd w:val="clear" w:color="auto" w:fill="FFFFFF"/>
        </w:rPr>
        <w:t xml:space="preserve">Para efectos de redundancia local (misma ciudad) o geográfica (distinta ciudad), las partes están de acuerdo en implementar Servicios de Interconexión directa entre 2 sitios distintos de modo que entre dichos sitios siempre se habilitará un balanceo de tráfico entre TELMEX y el CONCESIONARIO. Dicho balanceo permitirá </w:t>
      </w:r>
      <w:r w:rsidRPr="008762D1">
        <w:rPr>
          <w:rFonts w:ascii="ITC Avant Garde" w:hAnsi="ITC Avant Garde"/>
          <w:color w:val="000000" w:themeColor="text1"/>
          <w:shd w:val="clear" w:color="auto" w:fill="FFFFFF"/>
        </w:rPr>
        <w:lastRenderedPageBreak/>
        <w:t>realizar el desborde sobre el sitio redundante disminuyendo la afectación a los servicios cursantes.</w:t>
      </w:r>
    </w:p>
    <w:p w14:paraId="7535BB57" w14:textId="77777777" w:rsidR="000F0B9F" w:rsidRPr="008762D1" w:rsidRDefault="00526FE9" w:rsidP="000F0B9F">
      <w:pPr>
        <w:spacing w:before="240"/>
        <w:jc w:val="both"/>
        <w:rPr>
          <w:rFonts w:ascii="ITC Avant Garde" w:hAnsi="ITC Avant Garde"/>
          <w:color w:val="000000" w:themeColor="text1"/>
        </w:rPr>
      </w:pPr>
      <w:r w:rsidRPr="008762D1">
        <w:rPr>
          <w:rFonts w:ascii="ITC Avant Garde" w:hAnsi="ITC Avant Garde"/>
          <w:color w:val="000000" w:themeColor="text1"/>
        </w:rPr>
        <w:t xml:space="preserve">De tal manera, de presentarse fallas en los Servicios de Interconexión en uno de los </w:t>
      </w:r>
      <w:proofErr w:type="spellStart"/>
      <w:r w:rsidRPr="008762D1">
        <w:rPr>
          <w:rFonts w:ascii="ITC Avant Garde" w:hAnsi="ITC Avant Garde"/>
          <w:color w:val="000000" w:themeColor="text1"/>
        </w:rPr>
        <w:t>PDICs</w:t>
      </w:r>
      <w:proofErr w:type="spellEnd"/>
      <w:r w:rsidRPr="008762D1">
        <w:rPr>
          <w:rFonts w:ascii="ITC Avant Garde" w:hAnsi="ITC Avant Garde"/>
          <w:color w:val="000000" w:themeColor="text1"/>
        </w:rPr>
        <w:t xml:space="preserve">, que pudieren ocasionar mala calidad u otras afectaciones en la Terminación de Tráfico, las Partes deberán </w:t>
      </w:r>
      <w:proofErr w:type="spellStart"/>
      <w:r w:rsidRPr="008762D1">
        <w:rPr>
          <w:rFonts w:ascii="ITC Avant Garde" w:hAnsi="ITC Avant Garde"/>
          <w:color w:val="000000" w:themeColor="text1"/>
        </w:rPr>
        <w:t>enrutar</w:t>
      </w:r>
      <w:proofErr w:type="spellEnd"/>
      <w:r w:rsidRPr="008762D1">
        <w:rPr>
          <w:rFonts w:ascii="ITC Avant Garde" w:hAnsi="ITC Avant Garde"/>
          <w:color w:val="000000" w:themeColor="text1"/>
        </w:rPr>
        <w:t xml:space="preserve"> dicho Tráfico de manera temporal hacia el otro PDIC que se encuentre en servicio. Una vez reestablecida la conectividad en el PDIC afectado, el Tráfico se deberá balancear nuevamente sobre los </w:t>
      </w:r>
      <w:proofErr w:type="spellStart"/>
      <w:r w:rsidRPr="008762D1">
        <w:rPr>
          <w:rFonts w:ascii="ITC Avant Garde" w:hAnsi="ITC Avant Garde"/>
          <w:color w:val="000000" w:themeColor="text1"/>
        </w:rPr>
        <w:t>PDICs</w:t>
      </w:r>
      <w:proofErr w:type="spellEnd"/>
      <w:r w:rsidRPr="008762D1">
        <w:rPr>
          <w:rFonts w:ascii="ITC Avant Garde" w:hAnsi="ITC Avant Garde"/>
          <w:color w:val="000000" w:themeColor="text1"/>
        </w:rPr>
        <w:t xml:space="preserve"> entre los que se establece la interconexión.</w:t>
      </w:r>
    </w:p>
    <w:p w14:paraId="5FFE18B6" w14:textId="0CE6D7B7" w:rsidR="00526FE9" w:rsidRPr="008762D1" w:rsidRDefault="00526FE9" w:rsidP="00F031E8">
      <w:pPr>
        <w:spacing w:before="240"/>
        <w:jc w:val="both"/>
        <w:rPr>
          <w:rFonts w:ascii="ITC Avant Garde" w:hAnsi="ITC Avant Garde"/>
          <w:color w:val="000000" w:themeColor="text1"/>
        </w:rPr>
      </w:pPr>
      <w:r w:rsidRPr="008762D1">
        <w:rPr>
          <w:rFonts w:ascii="ITC Avant Garde" w:hAnsi="ITC Avant Garde"/>
          <w:color w:val="000000" w:themeColor="text1"/>
        </w:rPr>
        <w:t xml:space="preserve">Los </w:t>
      </w:r>
      <w:proofErr w:type="spellStart"/>
      <w:r w:rsidRPr="008762D1">
        <w:rPr>
          <w:rFonts w:ascii="ITC Avant Garde" w:hAnsi="ITC Avant Garde"/>
          <w:color w:val="000000" w:themeColor="text1"/>
        </w:rPr>
        <w:t>PDICs</w:t>
      </w:r>
      <w:proofErr w:type="spellEnd"/>
      <w:r w:rsidRPr="008762D1">
        <w:rPr>
          <w:rFonts w:ascii="ITC Avant Garde" w:hAnsi="ITC Avant Garde"/>
          <w:color w:val="000000" w:themeColor="text1"/>
        </w:rPr>
        <w:t xml:space="preserve"> podrán ubicarse en los mismos o en diferentes Puntos de Interconexión (de los previstos en el Acuer</w:t>
      </w:r>
      <w:r w:rsidR="00F031E8">
        <w:rPr>
          <w:rFonts w:ascii="ITC Avant Garde" w:hAnsi="ITC Avant Garde"/>
          <w:color w:val="000000" w:themeColor="text1"/>
        </w:rPr>
        <w:t>do de Puntos de Interconexión).</w:t>
      </w:r>
    </w:p>
    <w:p w14:paraId="07081C9B" w14:textId="77777777" w:rsidR="000F0B9F" w:rsidRPr="008762D1" w:rsidRDefault="00526FE9" w:rsidP="000F0B9F">
      <w:pPr>
        <w:spacing w:before="240"/>
        <w:jc w:val="both"/>
        <w:rPr>
          <w:rFonts w:ascii="ITC Avant Garde" w:hAnsi="ITC Avant Garde"/>
          <w:color w:val="000000" w:themeColor="text1"/>
        </w:rPr>
      </w:pPr>
      <w:r w:rsidRPr="008762D1">
        <w:rPr>
          <w:rFonts w:ascii="ITC Avant Garde" w:hAnsi="ITC Avant Garde"/>
          <w:color w:val="000000" w:themeColor="text1"/>
        </w:rPr>
        <w:t>En caso de habilitarse redundancia entre sitios, los enlaces por sitio deberán estar dimensionados para soportar la carga del otro sitio de modo que, en caso de falla de uno de los sitios, la ocupación de los enlaces de cada sitio no deberá rebasar el 85% (ochenta por ciento) al soportar el tráfico del otro sitio, en cuyo caso se deberá incrementar la capacidad de los enlaces de los sitios redundados para soportar la carga total en caso de falla.</w:t>
      </w:r>
    </w:p>
    <w:p w14:paraId="3050BE23" w14:textId="77777777" w:rsidR="000F0B9F" w:rsidRPr="008762D1" w:rsidRDefault="00526FE9" w:rsidP="000F0B9F">
      <w:pPr>
        <w:spacing w:before="240"/>
        <w:jc w:val="both"/>
        <w:rPr>
          <w:rFonts w:ascii="ITC Avant Garde" w:hAnsi="ITC Avant Garde" w:cs="Arial"/>
          <w:color w:val="000000" w:themeColor="text1"/>
        </w:rPr>
      </w:pPr>
      <w:r w:rsidRPr="008762D1">
        <w:rPr>
          <w:rFonts w:ascii="ITC Avant Garde" w:hAnsi="ITC Avant Garde" w:cs="Arial"/>
          <w:color w:val="000000" w:themeColor="text1"/>
        </w:rPr>
        <w:t>Dentro del mes siguiente a la fecha de firma del presente Convenio las Partes se deberán proporcionar mutuamente un pronóstico de su demanda de Servicios de Interconexión, para el año de firma y el primer semestre calendario del año siguiente en los términos descritos en el Anexo E y lo hagan constar en el Formato de Pronóstico de Demanda de Servicios de Interconexión, contenidos en el Anexo F,  los cuales  forman parte integrante al presente Convenio.</w:t>
      </w:r>
    </w:p>
    <w:p w14:paraId="69DC8E33" w14:textId="666982E1" w:rsidR="000F0B9F" w:rsidRPr="008762D1" w:rsidRDefault="00526FE9" w:rsidP="000F0B9F">
      <w:p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Posteriormente, en su caso, las Partes entregarán en el meses de julio y diciembre su Pronóstico de Demanda de Servicios de Interconexión para el primer y segundo semestre del año calendario siguiente, mismos que deberán ser ratificados por </w:t>
      </w:r>
      <w:r w:rsidR="00F031E8" w:rsidRPr="00A04FEF">
        <w:rPr>
          <w:rFonts w:cs="Arial"/>
          <w:b/>
          <w:color w:val="0000FF"/>
        </w:rPr>
        <w:t>(…)</w:t>
      </w:r>
      <w:r w:rsidRPr="008762D1">
        <w:rPr>
          <w:rFonts w:ascii="ITC Avant Garde" w:hAnsi="ITC Avant Garde" w:cs="Arial"/>
          <w:color w:val="000000" w:themeColor="text1"/>
        </w:rPr>
        <w:t xml:space="preserve"> en las fechas descritas en la tabla 2 del numeral 1.1.1. del anexo E, sin que dicho pronóstico limite, el hecho de que las Partes en el Convenio puedan solicitar Servicios de Interconexión en adición a los comprendidos en dicha proyección durante la vigencia del presente Convenio, los cuales serán entregados en la fecha que sea acordada entre las partes, la cual no podrá exceder de 60 días naturales.</w:t>
      </w:r>
    </w:p>
    <w:p w14:paraId="66E80AC4" w14:textId="77777777" w:rsidR="000F0B9F" w:rsidRPr="008762D1" w:rsidRDefault="00526FE9" w:rsidP="000F0B9F">
      <w:pPr>
        <w:spacing w:before="240"/>
        <w:jc w:val="both"/>
        <w:rPr>
          <w:rFonts w:ascii="ITC Avant Garde" w:hAnsi="ITC Avant Garde" w:cs="Arial"/>
          <w:color w:val="000000" w:themeColor="text1"/>
        </w:rPr>
      </w:pPr>
      <w:r w:rsidRPr="008762D1">
        <w:rPr>
          <w:rFonts w:ascii="ITC Avant Garde" w:hAnsi="ITC Avant Garde" w:cs="Arial"/>
          <w:color w:val="000000" w:themeColor="text1"/>
        </w:rPr>
        <w:t>Lo anterior, en el entendido de que el simple pronóstico de demanda de Servicios de Interconexión no obligará a las Partes a adquirir cualquier tipo de equipos o a efectuar modificaciones o ampliaciones a su infraestructura.</w:t>
      </w:r>
    </w:p>
    <w:p w14:paraId="38BE7ABF" w14:textId="4D483A0E" w:rsidR="00526FE9" w:rsidRPr="008762D1" w:rsidRDefault="00526FE9" w:rsidP="000F0B9F">
      <w:pPr>
        <w:autoSpaceDE w:val="0"/>
        <w:autoSpaceDN w:val="0"/>
        <w:adjustRightInd w:val="0"/>
        <w:spacing w:before="240"/>
        <w:jc w:val="both"/>
        <w:rPr>
          <w:rFonts w:ascii="ITC Avant Garde" w:hAnsi="ITC Avant Garde" w:cs="Arial"/>
          <w:color w:val="000000" w:themeColor="text1"/>
          <w:lang w:val="es-ES"/>
        </w:rPr>
      </w:pPr>
      <w:r w:rsidRPr="008762D1">
        <w:rPr>
          <w:rFonts w:ascii="ITC Avant Garde" w:hAnsi="ITC Avant Garde" w:cs="Arial"/>
          <w:color w:val="000000" w:themeColor="text1"/>
        </w:rPr>
        <w:t>Dentro del mes siguiente a la fecha de firma del presente Convenio las Partes se deberán proporcionar mutuamente un pronóstico de su demanda de Servicios de Interconexión.</w:t>
      </w:r>
    </w:p>
    <w:p w14:paraId="54EAA76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En caso de que las partes acuerden una fecha compromiso con un plazo mayor a los señalados en la Tabla 3 del numeral 1.1.1 del Anexo E, prevalecerá la fecha acordada.</w:t>
      </w:r>
    </w:p>
    <w:p w14:paraId="4EE02DD6"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Para que proceda la Cancelación de Solicitudes de Servicio de Interconexión, sin cargo, la parte que lo solicite deberá hacerlo por escrito antes de que definan la fecha efectiva de entrega de los Servicios de Interconexión de que se trate. </w:t>
      </w:r>
    </w:p>
    <w:p w14:paraId="2B3BEFA4" w14:textId="77777777" w:rsidR="000F0B9F" w:rsidRPr="008762D1" w:rsidRDefault="00526FE9" w:rsidP="000F0B9F">
      <w:pPr>
        <w:autoSpaceDE w:val="0"/>
        <w:autoSpaceDN w:val="0"/>
        <w:adjustRightInd w:val="0"/>
        <w:spacing w:before="240"/>
        <w:jc w:val="center"/>
        <w:rPr>
          <w:rFonts w:ascii="ITC Avant Garde" w:hAnsi="ITC Avant Garde" w:cs="Arial"/>
          <w:b/>
          <w:color w:val="000000" w:themeColor="text1"/>
          <w:lang w:val="es-ES"/>
        </w:rPr>
      </w:pPr>
      <w:r w:rsidRPr="008762D1">
        <w:rPr>
          <w:rFonts w:ascii="ITC Avant Garde" w:hAnsi="ITC Avant Garde" w:cs="Arial"/>
          <w:b/>
          <w:color w:val="000000" w:themeColor="text1"/>
        </w:rPr>
        <w:t>CLÁUSULA TERCERA.</w:t>
      </w:r>
    </w:p>
    <w:p w14:paraId="08371C9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INTERCAMBIO DE INFORMACIÓN</w:t>
      </w:r>
      <w:r w:rsidRPr="008762D1">
        <w:rPr>
          <w:rFonts w:ascii="ITC Avant Garde" w:hAnsi="ITC Avant Garde" w:cs="Arial"/>
          <w:color w:val="000000" w:themeColor="text1"/>
        </w:rPr>
        <w:t>.</w:t>
      </w:r>
    </w:p>
    <w:p w14:paraId="62E7127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3.1</w:t>
      </w:r>
      <w:r w:rsidRPr="008762D1">
        <w:rPr>
          <w:rFonts w:ascii="ITC Avant Garde" w:hAnsi="ITC Avant Garde" w:cs="Arial"/>
          <w:color w:val="000000" w:themeColor="text1"/>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14BCFD9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3.2</w:t>
      </w:r>
      <w:r w:rsidRPr="008762D1">
        <w:rPr>
          <w:rFonts w:ascii="ITC Avant Garde" w:hAnsi="ITC Avant Garde" w:cs="Arial"/>
          <w:color w:val="000000" w:themeColor="text1"/>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21A4AC6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3.3</w:t>
      </w:r>
      <w:r w:rsidRPr="008762D1">
        <w:rPr>
          <w:rFonts w:ascii="ITC Avant Garde" w:hAnsi="ITC Avant Garde" w:cs="Arial"/>
          <w:color w:val="000000" w:themeColor="text1"/>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08EA895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3.4</w:t>
      </w:r>
      <w:r w:rsidRPr="008762D1">
        <w:rPr>
          <w:rFonts w:ascii="ITC Avant Garde" w:hAnsi="ITC Avant Garde" w:cs="Arial"/>
          <w:color w:val="000000" w:themeColor="text1"/>
        </w:rPr>
        <w:t xml:space="preserve"> Las Partes no podrán copiar o reproducir total o parcialmente la Información Confidencial recibida sin el consentimiento, por escrito, de la contraparte.</w:t>
      </w:r>
    </w:p>
    <w:p w14:paraId="056B4EB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3.5</w:t>
      </w:r>
      <w:r w:rsidRPr="008762D1">
        <w:rPr>
          <w:rFonts w:ascii="ITC Avant Garde" w:hAnsi="ITC Avant Garde" w:cs="Arial"/>
          <w:color w:val="000000" w:themeColor="text1"/>
        </w:rPr>
        <w:t xml:space="preserve"> La Información Confidencial proporcionada con anterioridad a la firma del presente Convenio, recibirá el mismo tratamiento que la que se proporcione al amparo del mismo.</w:t>
      </w:r>
    </w:p>
    <w:p w14:paraId="42D7AA2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3.6</w:t>
      </w:r>
      <w:r w:rsidRPr="008762D1">
        <w:rPr>
          <w:rFonts w:ascii="ITC Avant Garde" w:hAnsi="ITC Avant Garde" w:cs="Arial"/>
          <w:color w:val="000000" w:themeColor="text1"/>
        </w:rPr>
        <w:t xml:space="preserve"> No obstante lo anterior, las Partes no tendrán obligación de mantener como Información Confidencial la información que las mismas obtengan bajo cualquiera de los siguientes supuestos:</w:t>
      </w:r>
    </w:p>
    <w:p w14:paraId="2E7F1262" w14:textId="00B88BCB" w:rsidR="00526FE9" w:rsidRPr="008762D1" w:rsidRDefault="00526FE9" w:rsidP="000F0B9F">
      <w:pPr>
        <w:numPr>
          <w:ilvl w:val="0"/>
          <w:numId w:val="25"/>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que previamente a su divulgación fuese conocida por la parte receptora, libre de cualquier obligación de mantenerla confidencial, según se evidencie en la documentación bajo su posesión;</w:t>
      </w:r>
    </w:p>
    <w:p w14:paraId="5BF0FDB6" w14:textId="77777777" w:rsidR="00526FE9" w:rsidRPr="008762D1" w:rsidRDefault="00526FE9" w:rsidP="000F0B9F">
      <w:pPr>
        <w:numPr>
          <w:ilvl w:val="0"/>
          <w:numId w:val="25"/>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lastRenderedPageBreak/>
        <w:t>que sea desarrollada o elaborada de manera independiente por o de parte del receptor o legalmente recibida, libre de restricciones, de otra fuente con derecho a divulgarla;</w:t>
      </w:r>
    </w:p>
    <w:p w14:paraId="47420D3A" w14:textId="77777777" w:rsidR="00526FE9" w:rsidRPr="008762D1" w:rsidRDefault="00526FE9" w:rsidP="000F0B9F">
      <w:pPr>
        <w:numPr>
          <w:ilvl w:val="0"/>
          <w:numId w:val="25"/>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que sea o llegue a ser del dominio público, sin mediar incumplimiento de este Convenio por la parte receptora, y;</w:t>
      </w:r>
    </w:p>
    <w:p w14:paraId="2832ACB5" w14:textId="77777777" w:rsidR="000F0B9F" w:rsidRPr="008762D1" w:rsidRDefault="00526FE9" w:rsidP="000F0B9F">
      <w:pPr>
        <w:numPr>
          <w:ilvl w:val="0"/>
          <w:numId w:val="25"/>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que se reciba legítimamente de un tercero, sin que esa divulgación quebrante o viole una obligación de confidencialidad.</w:t>
      </w:r>
    </w:p>
    <w:p w14:paraId="34A0772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3.7</w:t>
      </w:r>
      <w:r w:rsidRPr="008762D1">
        <w:rPr>
          <w:rFonts w:ascii="ITC Avant Garde" w:hAnsi="ITC Avant Garde" w:cs="Arial"/>
          <w:color w:val="000000" w:themeColor="text1"/>
        </w:rPr>
        <w:t xml:space="preserve"> 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previamente a la entrega que, por mandato judicial o acto administrativo, requiera hacer la parte receptora</w:t>
      </w:r>
    </w:p>
    <w:p w14:paraId="6B10DBD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3.8</w:t>
      </w:r>
      <w:r w:rsidRPr="008762D1">
        <w:rPr>
          <w:rFonts w:ascii="ITC Avant Garde" w:hAnsi="ITC Avant Garde" w:cs="Arial"/>
          <w:color w:val="000000" w:themeColor="text1"/>
        </w:rPr>
        <w:t xml:space="preserve"> La terminación del presente convenio, no exime a las Partes de todas las obligaciones contraídas en tiempo y forma contenidas en esta cláusula.</w:t>
      </w:r>
    </w:p>
    <w:p w14:paraId="7F0FEFC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3.9</w:t>
      </w:r>
      <w:r w:rsidRPr="008762D1">
        <w:rPr>
          <w:rFonts w:ascii="ITC Avant Garde" w:hAnsi="ITC Avant Garde" w:cs="Arial"/>
          <w:color w:val="000000" w:themeColor="text1"/>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0B84F5C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3.10</w:t>
      </w:r>
      <w:r w:rsidRPr="008762D1">
        <w:rPr>
          <w:rFonts w:ascii="ITC Avant Garde" w:hAnsi="ITC Avant Garde" w:cs="Arial"/>
          <w:color w:val="000000" w:themeColor="text1"/>
        </w:rPr>
        <w:t xml:space="preserve"> La Información Confidencial no podrá ser divulgada en forma alguna por la parte receptora, sin el consentimiento, por escrito, de la parte que la proporcionó.</w:t>
      </w:r>
    </w:p>
    <w:p w14:paraId="6DCD790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3.11</w:t>
      </w:r>
      <w:r w:rsidRPr="008762D1">
        <w:rPr>
          <w:rFonts w:ascii="ITC Avant Garde" w:hAnsi="ITC Avant Garde" w:cs="Arial"/>
          <w:color w:val="000000" w:themeColor="text1"/>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420314C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3.12</w:t>
      </w:r>
      <w:r w:rsidRPr="008762D1">
        <w:rPr>
          <w:rFonts w:ascii="ITC Avant Garde" w:hAnsi="ITC Avant Garde" w:cs="Arial"/>
          <w:color w:val="000000" w:themeColor="text1"/>
        </w:rPr>
        <w:t xml:space="preserve"> En términos de las disposiciones aplicables,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w:t>
      </w:r>
      <w:r w:rsidRPr="008762D1">
        <w:rPr>
          <w:rFonts w:ascii="ITC Avant Garde" w:hAnsi="ITC Avant Garde" w:cs="Arial"/>
          <w:color w:val="000000" w:themeColor="text1"/>
        </w:rPr>
        <w:lastRenderedPageBreak/>
        <w:t>información contenida dentro del presente Convenio será considerada información de carácter público en términos de la legislación aplicable.</w:t>
      </w:r>
    </w:p>
    <w:p w14:paraId="01869C7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3.13</w:t>
      </w:r>
      <w:r w:rsidRPr="008762D1">
        <w:rPr>
          <w:rFonts w:ascii="ITC Avant Garde" w:hAnsi="ITC Avant Garde" w:cs="Arial"/>
          <w:color w:val="000000" w:themeColor="text1"/>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14:paraId="1094DB2B"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CUARTA</w:t>
      </w:r>
      <w:r w:rsidRPr="008762D1">
        <w:rPr>
          <w:rFonts w:ascii="ITC Avant Garde" w:hAnsi="ITC Avant Garde" w:cs="Arial"/>
          <w:color w:val="000000" w:themeColor="text1"/>
        </w:rPr>
        <w:t>.</w:t>
      </w:r>
    </w:p>
    <w:p w14:paraId="1986340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proofErr w:type="spellStart"/>
      <w:r w:rsidRPr="008762D1">
        <w:rPr>
          <w:rFonts w:ascii="ITC Avant Garde" w:hAnsi="ITC Avant Garde" w:cs="Arial"/>
          <w:b/>
          <w:color w:val="000000" w:themeColor="text1"/>
          <w:u w:val="single"/>
        </w:rPr>
        <w:t>CONTRAPRESTAClONES</w:t>
      </w:r>
      <w:proofErr w:type="spellEnd"/>
      <w:r w:rsidRPr="008762D1">
        <w:rPr>
          <w:rFonts w:ascii="ITC Avant Garde" w:hAnsi="ITC Avant Garde" w:cs="Arial"/>
          <w:color w:val="000000" w:themeColor="text1"/>
        </w:rPr>
        <w:t>.</w:t>
      </w:r>
    </w:p>
    <w:p w14:paraId="4AE06A6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4.1 </w:t>
      </w:r>
      <w:r w:rsidRPr="008762D1">
        <w:rPr>
          <w:rFonts w:ascii="ITC Avant Garde" w:hAnsi="ITC Avant Garde" w:cs="Arial"/>
          <w:b/>
          <w:color w:val="000000" w:themeColor="text1"/>
          <w:u w:val="single"/>
        </w:rPr>
        <w:t>TARIFAS Y FORMAS DE PAGO</w:t>
      </w:r>
      <w:r w:rsidRPr="008762D1">
        <w:rPr>
          <w:rFonts w:ascii="ITC Avant Garde" w:hAnsi="ITC Avant Garde" w:cs="Arial"/>
          <w:color w:val="000000" w:themeColor="text1"/>
        </w:rPr>
        <w:t>.</w:t>
      </w:r>
    </w:p>
    <w:p w14:paraId="42DFBC6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tarifas aplicables a los Servicios de Interconexión que se provean las partes deberán cumplir con los siguientes principios:</w:t>
      </w:r>
    </w:p>
    <w:p w14:paraId="4615828C" w14:textId="77777777" w:rsidR="000F0B9F" w:rsidRPr="008762D1" w:rsidRDefault="00526FE9" w:rsidP="000F0B9F">
      <w:pPr>
        <w:pStyle w:val="Prrafodelista1"/>
        <w:numPr>
          <w:ilvl w:val="0"/>
          <w:numId w:val="26"/>
        </w:numPr>
        <w:spacing w:before="240"/>
        <w:ind w:left="709" w:hanging="283"/>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Sujetarse a lo establecido en el artículo 131 de la Ley.</w:t>
      </w:r>
    </w:p>
    <w:p w14:paraId="5F6835FC" w14:textId="77777777" w:rsidR="000F0B9F" w:rsidRPr="008762D1" w:rsidRDefault="00526FE9" w:rsidP="00964F7E">
      <w:pPr>
        <w:pStyle w:val="Prrafodelista1"/>
        <w:numPr>
          <w:ilvl w:val="0"/>
          <w:numId w:val="26"/>
        </w:numPr>
        <w:ind w:left="709" w:hanging="283"/>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6682424F" w14:textId="77777777" w:rsidR="000F0B9F" w:rsidRPr="008762D1" w:rsidRDefault="00526FE9" w:rsidP="00964F7E">
      <w:pPr>
        <w:numPr>
          <w:ilvl w:val="0"/>
          <w:numId w:val="26"/>
        </w:numPr>
        <w:autoSpaceDE w:val="0"/>
        <w:autoSpaceDN w:val="0"/>
        <w:adjustRightInd w:val="0"/>
        <w:spacing w:after="0" w:line="240" w:lineRule="auto"/>
        <w:ind w:left="709" w:hanging="283"/>
        <w:jc w:val="both"/>
        <w:rPr>
          <w:rFonts w:ascii="ITC Avant Garde" w:hAnsi="ITC Avant Garde" w:cs="Arial"/>
          <w:color w:val="000000" w:themeColor="text1"/>
        </w:rPr>
      </w:pPr>
      <w:r w:rsidRPr="008762D1">
        <w:rPr>
          <w:rFonts w:ascii="ITC Avant Garde" w:hAnsi="ITC Avant Garde" w:cs="Arial"/>
          <w:color w:val="000000" w:themeColor="text1"/>
        </w:rPr>
        <w:t>Permitir recuperar al menos el costo incremental total promedio de largo plazo o el costo incremental de largo plazo puro, según sea el servicio de interconexión de que se trate.</w:t>
      </w:r>
    </w:p>
    <w:p w14:paraId="07FBDF77" w14:textId="77777777" w:rsidR="000F0B9F" w:rsidRPr="008762D1" w:rsidRDefault="00526FE9" w:rsidP="00964F7E">
      <w:pPr>
        <w:pStyle w:val="Prrafodelista1"/>
        <w:numPr>
          <w:ilvl w:val="0"/>
          <w:numId w:val="26"/>
        </w:numPr>
        <w:ind w:left="709" w:hanging="283"/>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No deberán contener costos no asociados a la prestación del Servicio de Interconexión relevante.</w:t>
      </w:r>
    </w:p>
    <w:p w14:paraId="16251851" w14:textId="77777777" w:rsidR="000F0B9F" w:rsidRPr="008762D1" w:rsidRDefault="00526FE9" w:rsidP="00964F7E">
      <w:pPr>
        <w:pStyle w:val="Prrafodelista1"/>
        <w:numPr>
          <w:ilvl w:val="0"/>
          <w:numId w:val="26"/>
        </w:numPr>
        <w:ind w:left="709" w:hanging="283"/>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No deberán incluir cualquier otro costo fijo o variable que sea recuperado a través del usuario.</w:t>
      </w:r>
    </w:p>
    <w:p w14:paraId="53ED41C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4.1.1 Contraprestaciones</w:t>
      </w:r>
      <w:r w:rsidRPr="008762D1">
        <w:rPr>
          <w:rFonts w:ascii="ITC Avant Garde" w:hAnsi="ITC Avant Garde" w:cs="Arial"/>
          <w:color w:val="000000" w:themeColor="text1"/>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4C76464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Las Partes estarán obligadas al pago de las contraprestaciones que resulten aplicables a nuevos Servicios de Interconexión que, con posterioridad a la firma de este Convenio, convengan prestarse entre sí, siempre y cuando dichas contraprestaciones sean acordadas por las mismas o adoptadas por ellas en </w:t>
      </w:r>
      <w:r w:rsidRPr="008762D1">
        <w:rPr>
          <w:rFonts w:ascii="ITC Avant Garde" w:hAnsi="ITC Avant Garde" w:cs="Arial"/>
          <w:color w:val="000000" w:themeColor="text1"/>
        </w:rPr>
        <w:lastRenderedPageBreak/>
        <w:t>cumplimiento de alguna disposición administrativa emitida por la autoridad competente, la cual será aplicable en los términos en que determine el Instituto. Dichas contraprestaciones se incorporarán en los términos de una modificación al Anexo "B" que al efecto suscribirán las Partes y que formará parte integrante de este Convenio.</w:t>
      </w:r>
    </w:p>
    <w:p w14:paraId="04F449F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contraprestaciones estarán sujetas a la legislación fiscal que sea aplicable.</w:t>
      </w:r>
    </w:p>
    <w:p w14:paraId="79582AE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4.1.2 </w:t>
      </w:r>
      <w:r w:rsidRPr="008762D1">
        <w:rPr>
          <w:rFonts w:ascii="ITC Avant Garde" w:hAnsi="ITC Avant Garde" w:cs="Arial"/>
          <w:b/>
          <w:color w:val="000000" w:themeColor="text1"/>
          <w:u w:val="single"/>
        </w:rPr>
        <w:t>Vigencia</w:t>
      </w:r>
      <w:r w:rsidRPr="008762D1">
        <w:rPr>
          <w:rFonts w:ascii="ITC Avant Garde" w:hAnsi="ITC Avant Garde" w:cs="Arial"/>
          <w:color w:val="000000" w:themeColor="text1"/>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C24D36F"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lang w:val="es-ES"/>
        </w:rPr>
      </w:pPr>
      <w:r w:rsidRPr="008762D1">
        <w:rPr>
          <w:rFonts w:ascii="ITC Avant Garde" w:hAnsi="ITC Avant Garde" w:cs="Arial"/>
          <w:color w:val="000000" w:themeColor="text1"/>
          <w:sz w:val="22"/>
          <w:szCs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10 (diez)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14:paraId="4D2F196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4.1.3 </w:t>
      </w:r>
      <w:r w:rsidRPr="008762D1">
        <w:rPr>
          <w:rFonts w:ascii="ITC Avant Garde" w:hAnsi="ITC Avant Garde" w:cs="Arial"/>
          <w:b/>
          <w:color w:val="000000" w:themeColor="text1"/>
          <w:u w:val="single"/>
        </w:rPr>
        <w:t>Modificaciones</w:t>
      </w:r>
      <w:r w:rsidRPr="008762D1">
        <w:rPr>
          <w:rFonts w:ascii="ITC Avant Garde" w:hAnsi="ITC Avant Garde" w:cs="Arial"/>
          <w:color w:val="000000" w:themeColor="text1"/>
        </w:rPr>
        <w:t>.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costos adicionales, la parte solicitante una vez acordado con la parte solicitada, pagará a esta ultima la contraprestación o monto que corresponda conforme a lo convenido para la situación original, más una cantidad que, en su caso, acuerden las Partes y que refleje el incremento en los costos correspondientes. En caso de desacuerdo, las Partes podrán resolverlo a través del Procedimiento de Arreglo Amistoso de Diferencias previsto en el presente convenio, o en su caso cualquiera de las Partes tendrá sus derechos a salvo para solicitar la intervención del Instituto, a fin de que éste determine las tarifas, términos y condiciones que deban ser aplicables de conformidad con la legislación vigente.</w:t>
      </w:r>
    </w:p>
    <w:p w14:paraId="4470F4FD"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b/>
          <w:color w:val="000000" w:themeColor="text1"/>
          <w:sz w:val="22"/>
          <w:szCs w:val="22"/>
        </w:rPr>
        <w:lastRenderedPageBreak/>
        <w:t xml:space="preserve">4.1.4 </w:t>
      </w:r>
      <w:r w:rsidRPr="008762D1">
        <w:rPr>
          <w:rFonts w:ascii="ITC Avant Garde" w:hAnsi="ITC Avant Garde" w:cs="Arial"/>
          <w:b/>
          <w:color w:val="000000" w:themeColor="text1"/>
          <w:sz w:val="22"/>
          <w:szCs w:val="22"/>
          <w:u w:val="single"/>
        </w:rPr>
        <w:t>Otras Contraprestaciones</w:t>
      </w:r>
      <w:r w:rsidRPr="008762D1">
        <w:rPr>
          <w:rFonts w:ascii="ITC Avant Garde" w:hAnsi="ITC Avant Garde" w:cs="Arial"/>
          <w:color w:val="000000" w:themeColor="text1"/>
          <w:sz w:val="22"/>
          <w:szCs w:val="22"/>
        </w:rPr>
        <w:t xml:space="preserve">. Ambas Partes aceptan que cuando se solicite a Telmex un servicio de interconexión que no cuente con tarifa acordada a la firma de este Convenio y que Telmex esté ofreciendo a otro concesionario, Telmex deberá proveerlo en el plazo acordado para atender las Solicitudes de Servicios de Interconexión, con independencia de que las Partes acuerden una contraprestación para estos servicios. En caso de que las Partes no lleguen a un acuerdo, solicitarán al Instituto definir las tarifas, términos y condiciones que deban ser aplicables de conformidad con la legislación vigente. </w:t>
      </w:r>
    </w:p>
    <w:p w14:paraId="628C401A" w14:textId="22EEF670"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4.2 </w:t>
      </w:r>
      <w:r w:rsidRPr="008762D1">
        <w:rPr>
          <w:rFonts w:ascii="ITC Avant Garde" w:hAnsi="ITC Avant Garde" w:cs="Arial"/>
          <w:b/>
          <w:color w:val="000000" w:themeColor="text1"/>
          <w:u w:val="single"/>
        </w:rPr>
        <w:t>LUGAR DE PAGO</w:t>
      </w:r>
      <w:r w:rsidRPr="008762D1">
        <w:rPr>
          <w:rFonts w:ascii="ITC Avant Garde" w:hAnsi="ITC Avant Garde" w:cs="Arial"/>
          <w:color w:val="000000" w:themeColor="text1"/>
        </w:rPr>
        <w:t>. Cualquier contraprestación, gasto o reembolso a cargo de las Partes será pagado por las mismas a la parte acreedora de acuerdo a las siguientes opciones:</w:t>
      </w:r>
    </w:p>
    <w:p w14:paraId="18F3990A" w14:textId="77777777" w:rsidR="00526FE9" w:rsidRPr="008762D1" w:rsidRDefault="00526FE9" w:rsidP="000F0B9F">
      <w:pPr>
        <w:pStyle w:val="Prrafodelista"/>
        <w:numPr>
          <w:ilvl w:val="0"/>
          <w:numId w:val="27"/>
        </w:numPr>
        <w:spacing w:before="240" w:after="0" w:line="240" w:lineRule="auto"/>
        <w:ind w:right="72"/>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Vía cheque Certificado, en el domicilio  que corresponda a la Parte acreedora, según lo previsto en la Cláusula Decimosexta; o</w:t>
      </w:r>
    </w:p>
    <w:p w14:paraId="5442C3E9" w14:textId="77777777" w:rsidR="00526FE9" w:rsidRPr="008762D1" w:rsidRDefault="00526FE9" w:rsidP="000F0B9F">
      <w:pPr>
        <w:pStyle w:val="Prrafodelista"/>
        <w:numPr>
          <w:ilvl w:val="0"/>
          <w:numId w:val="27"/>
        </w:numPr>
        <w:spacing w:before="240" w:after="0" w:line="240" w:lineRule="auto"/>
        <w:ind w:right="72"/>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Depósito, abono o transferencia bancaria en alguna cuenta que haya notificado para dichos efectos la Parte acreedora, en las instituciones que para este fin estén establecidas en los Estados Unidos Mexicanos; o</w:t>
      </w:r>
    </w:p>
    <w:p w14:paraId="057D2CFC" w14:textId="4270E86E" w:rsidR="00526FE9" w:rsidRPr="00F031E8" w:rsidRDefault="00526FE9" w:rsidP="00F031E8">
      <w:pPr>
        <w:pStyle w:val="Prrafodelista"/>
        <w:numPr>
          <w:ilvl w:val="0"/>
          <w:numId w:val="27"/>
        </w:numPr>
        <w:spacing w:before="240" w:after="0" w:line="240" w:lineRule="auto"/>
        <w:ind w:right="72"/>
        <w:jc w:val="both"/>
        <w:rPr>
          <w:rFonts w:ascii="ITC Avant Garde" w:hAnsi="ITC Avant Garde" w:cs="Arial"/>
          <w:color w:val="000000" w:themeColor="text1"/>
          <w:lang w:eastAsia="es-MX"/>
        </w:rPr>
      </w:pPr>
      <w:r w:rsidRPr="008762D1">
        <w:rPr>
          <w:rFonts w:ascii="ITC Avant Garde" w:hAnsi="ITC Avant Garde" w:cs="Arial"/>
          <w:color w:val="000000" w:themeColor="text1"/>
          <w:lang w:eastAsia="es-MX"/>
        </w:rPr>
        <w:t>otra manera que las Partes acuerden previamente por escrito.</w:t>
      </w:r>
    </w:p>
    <w:p w14:paraId="314EEEB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Para los efectos de la presente Cláusula y en general del presente Convenio y sus Anexos, los domicilios de las Partes serán los respectivamente señalados en la Cláusula Decimosexta posterior.</w:t>
      </w:r>
    </w:p>
    <w:p w14:paraId="776A7F1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Para todo lo relativo al presente Convenio las Partes acuerdan que el mismo se regirá por el derecho sustantivo, tratados, leyes y disposiciones aplicables en los Estados Unidos Mexicanos.</w:t>
      </w:r>
    </w:p>
    <w:p w14:paraId="7AF12DA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4.3 </w:t>
      </w:r>
      <w:r w:rsidRPr="008762D1">
        <w:rPr>
          <w:rFonts w:ascii="ITC Avant Garde" w:hAnsi="ITC Avant Garde" w:cs="Arial"/>
          <w:b/>
          <w:color w:val="000000" w:themeColor="text1"/>
          <w:u w:val="single"/>
        </w:rPr>
        <w:t>DENOMINACIÓN</w:t>
      </w:r>
      <w:r w:rsidRPr="008762D1">
        <w:rPr>
          <w:rFonts w:ascii="ITC Avant Garde" w:hAnsi="ITC Avant Garde" w:cs="Arial"/>
          <w:color w:val="000000" w:themeColor="text1"/>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319AC49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4.4 </w:t>
      </w:r>
      <w:r w:rsidRPr="008762D1">
        <w:rPr>
          <w:rFonts w:ascii="ITC Avant Garde" w:hAnsi="ITC Avant Garde" w:cs="Arial"/>
          <w:b/>
          <w:color w:val="000000" w:themeColor="text1"/>
          <w:u w:val="single"/>
        </w:rPr>
        <w:t>CONDICIONES DE PAGO</w:t>
      </w:r>
      <w:r w:rsidRPr="008762D1">
        <w:rPr>
          <w:rFonts w:ascii="ITC Avant Garde" w:hAnsi="ITC Avant Garde" w:cs="Arial"/>
          <w:color w:val="000000" w:themeColor="text1"/>
        </w:rPr>
        <w:t>. Para el pago de las contraprestaciones por los Servicios de Interconexión objeto de este Convenio, regirán las siguientes condiciones de pago:</w:t>
      </w:r>
    </w:p>
    <w:p w14:paraId="4B4DF00B" w14:textId="77777777" w:rsidR="000F0B9F" w:rsidRPr="008762D1" w:rsidRDefault="00526FE9" w:rsidP="000F0B9F">
      <w:pPr>
        <w:autoSpaceDE w:val="0"/>
        <w:autoSpaceDN w:val="0"/>
        <w:adjustRightInd w:val="0"/>
        <w:spacing w:before="240"/>
        <w:jc w:val="both"/>
        <w:rPr>
          <w:rFonts w:ascii="ITC Avant Garde" w:hAnsi="ITC Avant Garde" w:cs="Times New Roman"/>
          <w:color w:val="000000" w:themeColor="text1"/>
        </w:rPr>
      </w:pPr>
      <w:r w:rsidRPr="008762D1">
        <w:rPr>
          <w:rFonts w:ascii="ITC Avant Garde" w:hAnsi="ITC Avant Garde" w:cs="Arial"/>
          <w:b/>
          <w:color w:val="000000" w:themeColor="text1"/>
        </w:rPr>
        <w:t xml:space="preserve">4.4.1 </w:t>
      </w:r>
      <w:r w:rsidRPr="008762D1">
        <w:rPr>
          <w:rFonts w:ascii="ITC Avant Garde" w:hAnsi="ITC Avant Garde" w:cs="Arial"/>
          <w:b/>
          <w:color w:val="000000" w:themeColor="text1"/>
          <w:u w:val="single"/>
        </w:rPr>
        <w:t>Facturas</w:t>
      </w:r>
      <w:r w:rsidRPr="008762D1">
        <w:rPr>
          <w:rFonts w:ascii="ITC Avant Garde" w:hAnsi="ITC Avant Garde" w:cs="Arial"/>
          <w:color w:val="000000" w:themeColor="text1"/>
        </w:rPr>
        <w:t xml:space="preserve">. Las Partes se entregarán mutuamente en la dirección señalada o vía correo electrónico señalado para tales efectos en la Cláusula Decimosexta posterior, una factura física o electrónica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w:t>
      </w:r>
      <w:r w:rsidRPr="008762D1">
        <w:rPr>
          <w:rFonts w:ascii="ITC Avant Garde" w:hAnsi="ITC Avant Garde" w:cs="Arial"/>
          <w:color w:val="000000" w:themeColor="text1"/>
        </w:rPr>
        <w:lastRenderedPageBreak/>
        <w:t>convengan las Partes 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14:paraId="50E8D3B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Dentro de </w:t>
      </w:r>
      <w:r w:rsidRPr="008762D1">
        <w:rPr>
          <w:rFonts w:ascii="ITC Avant Garde" w:hAnsi="ITC Avant Garde"/>
          <w:color w:val="000000" w:themeColor="text1"/>
          <w:u w:val="single"/>
        </w:rPr>
        <w:t>los 18 (dieciocho)</w:t>
      </w:r>
      <w:r w:rsidRPr="008762D1">
        <w:rPr>
          <w:rFonts w:ascii="ITC Avant Garde" w:hAnsi="ITC Avant Garde" w:cs="Arial"/>
          <w:color w:val="000000" w:themeColor="text1"/>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las contraprestaciones o las facturas que contengan las liquidaciones correspondientes en el plazo referido en este párrafo, las mismas se considerarán aceptadas, salvo por lo previsto en el inciso 4.4.5</w:t>
      </w:r>
    </w:p>
    <w:p w14:paraId="322A6F0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4.4.2 </w:t>
      </w:r>
      <w:r w:rsidRPr="008762D1">
        <w:rPr>
          <w:rFonts w:ascii="ITC Avant Garde" w:hAnsi="ITC Avant Garde" w:cs="Arial"/>
          <w:b/>
          <w:color w:val="000000" w:themeColor="text1"/>
          <w:u w:val="single"/>
        </w:rPr>
        <w:t>Época y Forma de Pago</w:t>
      </w:r>
      <w:r w:rsidRPr="008762D1">
        <w:rPr>
          <w:rFonts w:ascii="ITC Avant Garde" w:hAnsi="ITC Avant Garde" w:cs="Arial"/>
          <w:color w:val="000000" w:themeColor="text1"/>
        </w:rPr>
        <w:t>.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14:paraId="171D632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7360D35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4.4.3 </w:t>
      </w:r>
      <w:r w:rsidRPr="008762D1">
        <w:rPr>
          <w:rFonts w:ascii="ITC Avant Garde" w:hAnsi="ITC Avant Garde" w:cs="Arial"/>
          <w:b/>
          <w:color w:val="000000" w:themeColor="text1"/>
          <w:u w:val="single"/>
        </w:rPr>
        <w:t>Facturas Objetadas</w:t>
      </w:r>
      <w:r w:rsidRPr="008762D1">
        <w:rPr>
          <w:rFonts w:ascii="ITC Avant Garde" w:hAnsi="ITC Avant Garde" w:cs="Arial"/>
          <w:color w:val="000000" w:themeColor="text1"/>
        </w:rPr>
        <w:t xml:space="preserve">. Cualquier Factura objetada deberá sujetarse al procedimiento incluido en el punto 2 “Metodología para la aclaración de consumos no reconocidos (disputas)” del anexo D “Formato de Facturación”. Para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w:t>
      </w:r>
      <w:r w:rsidRPr="008762D1">
        <w:rPr>
          <w:rFonts w:ascii="ITC Avant Garde" w:hAnsi="ITC Avant Garde" w:cs="Arial"/>
          <w:color w:val="000000" w:themeColor="text1"/>
        </w:rPr>
        <w:lastRenderedPageBreak/>
        <w:t>18 (dieciocho) días naturales siguientes a la fecha de recepción de la factura original de que se trate,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539B062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4852AAF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Facturas Objetadas se sujetarán a lo siguiente:</w:t>
      </w:r>
    </w:p>
    <w:p w14:paraId="6954A7D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4.4.3.1</w:t>
      </w:r>
      <w:r w:rsidRPr="008762D1">
        <w:rPr>
          <w:rFonts w:ascii="ITC Avant Garde" w:hAnsi="ITC Avant Garde" w:cs="Arial"/>
          <w:color w:val="000000" w:themeColor="text1"/>
        </w:rPr>
        <w:t xml:space="preserve">.-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 </w:t>
      </w:r>
    </w:p>
    <w:p w14:paraId="7950C52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4.4.3.2.- </w:t>
      </w:r>
      <w:r w:rsidRPr="008762D1">
        <w:rPr>
          <w:rFonts w:ascii="ITC Avant Garde" w:hAnsi="ITC Avant Garde" w:cs="Arial"/>
          <w:b/>
          <w:color w:val="000000" w:themeColor="text1"/>
          <w:u w:val="single"/>
        </w:rPr>
        <w:t>Pagos Recibidos en Exceso</w:t>
      </w:r>
      <w:r w:rsidRPr="008762D1">
        <w:rPr>
          <w:rFonts w:ascii="ITC Avant Garde" w:hAnsi="ITC Avant Garde" w:cs="Arial"/>
          <w:color w:val="000000" w:themeColor="text1"/>
        </w:rPr>
        <w:t>. Para el caso de (i) devoluciones o reembolsos de pagos recibidos en exceso por la Parte prestadora del servicio; y (ii) devolución de pagos bajo protesta; estos deberán realizarse en un plazo de 60 (sesenta) días 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p>
    <w:p w14:paraId="7971A8C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4.4.4.- </w:t>
      </w:r>
      <w:r w:rsidRPr="008762D1">
        <w:rPr>
          <w:rFonts w:ascii="ITC Avant Garde" w:hAnsi="ITC Avant Garde" w:cs="Arial"/>
          <w:b/>
          <w:color w:val="000000" w:themeColor="text1"/>
          <w:u w:val="single"/>
        </w:rPr>
        <w:t>Intereses Moratorios</w:t>
      </w:r>
      <w:r w:rsidRPr="008762D1">
        <w:rPr>
          <w:rFonts w:ascii="ITC Avant Garde" w:hAnsi="ITC Avant Garde" w:cs="Arial"/>
          <w:color w:val="000000" w:themeColor="text1"/>
        </w:rPr>
        <w:t>. En caso de incumplimiento de cualquiera de las Partes respecto del pago puntual de:</w:t>
      </w:r>
    </w:p>
    <w:p w14:paraId="447422E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4.4.4.1.- Las contraprestaciones no objetadas, determinadas o consentidas, o</w:t>
      </w:r>
    </w:p>
    <w:p w14:paraId="67C4274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4.4.4.2.-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7844C82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  sobre bases de cálculos mensuales.</w:t>
      </w:r>
    </w:p>
    <w:p w14:paraId="3D2DB92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 tasa base para efectos del cálculo de intereses moratorios en el primer periodo mensual será la Tasa de Interés Interbancaria de Equilibrio vigente en la fecha de vencimiento de las contraprestaciones o reembolsos correspondientes. Dicha tasa base se ajustara mensualmente empleando la Tasa de Interés Interbancaria de Equilibrio vigente en la fecha en que inicie cada periodo mensual subsecuente, contado a partir de la fecha de vencimiento de las contraprestaciones o reembolsos correspondientes.</w:t>
      </w:r>
    </w:p>
    <w:p w14:paraId="670CC48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14:paraId="54DE1A9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20A8FDA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4.4.5. </w:t>
      </w:r>
      <w:proofErr w:type="spellStart"/>
      <w:r w:rsidRPr="008762D1">
        <w:rPr>
          <w:rFonts w:ascii="ITC Avant Garde" w:hAnsi="ITC Avant Garde" w:cs="Arial"/>
          <w:b/>
          <w:color w:val="000000" w:themeColor="text1"/>
          <w:u w:val="single"/>
        </w:rPr>
        <w:t>Refacturación</w:t>
      </w:r>
      <w:proofErr w:type="spellEnd"/>
      <w:r w:rsidRPr="008762D1">
        <w:rPr>
          <w:rFonts w:ascii="ITC Avant Garde" w:hAnsi="ITC Avant Garde" w:cs="Arial"/>
          <w:b/>
          <w:color w:val="000000" w:themeColor="text1"/>
          <w:u w:val="single"/>
        </w:rPr>
        <w:t xml:space="preserve"> y ajustes</w:t>
      </w:r>
      <w:r w:rsidRPr="008762D1">
        <w:rPr>
          <w:rFonts w:ascii="ITC Avant Garde" w:hAnsi="ITC Avant Garde" w:cs="Arial"/>
          <w:color w:val="000000" w:themeColor="text1"/>
        </w:rPr>
        <w:t xml:space="preserve">. No obstante lo dispuesto en los incisos precedentes, la Parte prestadora podrá presentar facturas complementarias por servicios omitidos o incorrectamente facturados, hasta 120 (ciento veinte) días naturales después de la conclusión del ciclo mensual de facturación correspondiente. Este plazo se interrumpirá por demanda o cualquier otro género de interpelación judicial, requerimiento o por reconocimiento del adeudo. La Parte receptora podrá </w:t>
      </w:r>
      <w:r w:rsidRPr="008762D1">
        <w:rPr>
          <w:rFonts w:ascii="ITC Avant Garde" w:hAnsi="ITC Avant Garde" w:cs="Arial"/>
          <w:color w:val="000000" w:themeColor="text1"/>
        </w:rPr>
        <w:lastRenderedPageBreak/>
        <w:t>reclamar la devolución de cantidades pagadas en exceso por causa de facturación indebida hasta 60 (sesenta) días naturales después de la conclusión del ciclo mensual de facturación correspondiente.</w:t>
      </w:r>
    </w:p>
    <w:p w14:paraId="3EF9B02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recepción del pago indebido hasta la fecha de la devolución total. </w:t>
      </w:r>
    </w:p>
    <w:p w14:paraId="5C766BB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4.5 </w:t>
      </w:r>
      <w:r w:rsidRPr="008762D1">
        <w:rPr>
          <w:rFonts w:ascii="ITC Avant Garde" w:hAnsi="ITC Avant Garde" w:cs="Arial"/>
          <w:b/>
          <w:color w:val="000000" w:themeColor="text1"/>
          <w:u w:val="single"/>
        </w:rPr>
        <w:t>REVISIÓN DE COSTOS</w:t>
      </w:r>
      <w:r w:rsidRPr="008762D1">
        <w:rPr>
          <w:rFonts w:ascii="ITC Avant Garde" w:hAnsi="ITC Avant Garde" w:cs="Arial"/>
          <w:color w:val="000000" w:themeColor="text1"/>
        </w:rPr>
        <w:t>.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14:paraId="2C3FD240" w14:textId="77777777" w:rsidR="000F0B9F" w:rsidRPr="008762D1" w:rsidRDefault="00526FE9" w:rsidP="000F0B9F">
      <w:pPr>
        <w:autoSpaceDE w:val="0"/>
        <w:autoSpaceDN w:val="0"/>
        <w:adjustRightInd w:val="0"/>
        <w:spacing w:before="240"/>
        <w:jc w:val="center"/>
        <w:rPr>
          <w:rFonts w:ascii="ITC Avant Garde" w:hAnsi="ITC Avant Garde" w:cs="Arial"/>
          <w:b/>
          <w:color w:val="000000" w:themeColor="text1"/>
        </w:rPr>
      </w:pPr>
      <w:r w:rsidRPr="008762D1">
        <w:rPr>
          <w:rFonts w:ascii="ITC Avant Garde" w:hAnsi="ITC Avant Garde" w:cs="Arial"/>
          <w:b/>
          <w:color w:val="000000" w:themeColor="text1"/>
        </w:rPr>
        <w:t>CLÁUSULA QUINTA.</w:t>
      </w:r>
    </w:p>
    <w:p w14:paraId="4FBEC310"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u w:val="single"/>
        </w:rPr>
      </w:pPr>
      <w:r w:rsidRPr="008762D1">
        <w:rPr>
          <w:rFonts w:ascii="ITC Avant Garde" w:hAnsi="ITC Avant Garde" w:cs="Arial"/>
          <w:b/>
          <w:color w:val="000000" w:themeColor="text1"/>
          <w:u w:val="single"/>
        </w:rPr>
        <w:t>ASPECTOS TÉCNICOS.</w:t>
      </w:r>
    </w:p>
    <w:p w14:paraId="248E01E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5624A4E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Partes establecerán procedimientos y especificaciones que se incluirán en los Acuerdos Técnicos, mismos que deberán observar al menos lo siguiente:</w:t>
      </w:r>
    </w:p>
    <w:p w14:paraId="0DEE9C9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5.1 </w:t>
      </w:r>
      <w:r w:rsidRPr="008762D1">
        <w:rPr>
          <w:rFonts w:ascii="ITC Avant Garde" w:hAnsi="ITC Avant Garde" w:cs="Arial"/>
          <w:b/>
          <w:color w:val="000000" w:themeColor="text1"/>
          <w:u w:val="single"/>
        </w:rPr>
        <w:t>ARQUITECTURA ABIERTA</w:t>
      </w:r>
      <w:r w:rsidRPr="008762D1">
        <w:rPr>
          <w:rFonts w:ascii="ITC Avant Garde" w:hAnsi="ITC Avant Garde" w:cs="Arial"/>
          <w:color w:val="000000" w:themeColor="text1"/>
        </w:rPr>
        <w:t>: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Disposiciones Técnicas emitidas por el Instituto,  Normas Oficiales Mexicanas y demás disposiciones de carácter general que para tal efecto emita el Instituto.</w:t>
      </w:r>
    </w:p>
    <w:p w14:paraId="5719B9E3"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Sin menoscabo de lo anterior y de conformidad con el principio de neutralidad tecnológica consagrado en la Ley, que implica la libertad de los Concesionarios de Redes Públicas de Telecomunicaciones para seleccionar las tecnologías </w:t>
      </w:r>
      <w:r w:rsidRPr="008762D1">
        <w:rPr>
          <w:rFonts w:ascii="ITC Avant Garde" w:hAnsi="ITC Avant Garde" w:cs="Arial"/>
          <w:color w:val="000000" w:themeColor="text1"/>
          <w:sz w:val="22"/>
          <w:szCs w:val="22"/>
        </w:rPr>
        <w:lastRenderedPageBreak/>
        <w:t>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Público Conmutado, ésta se llevará a cabo utilizando algún protocolo que ambas determinen, basándose en Disposiciones Técnicas emitidas por el Instituto, Normas Oficiales Mexicanas, recomendaciones internacionales emitidas por la Unión Internacional de Telecomunicaciones o elaboradas por organismos internacionales que resulten aplicables. En caso de controversia entre las partes, éstas podrán recurrir a los medios de solución contemplados en la Ley.</w:t>
      </w:r>
    </w:p>
    <w:p w14:paraId="5D944525" w14:textId="714846E3"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b/>
          <w:color w:val="000000" w:themeColor="text1"/>
          <w:sz w:val="22"/>
          <w:szCs w:val="22"/>
        </w:rPr>
        <w:t xml:space="preserve">5.2. </w:t>
      </w:r>
      <w:r w:rsidRPr="008762D1">
        <w:rPr>
          <w:rFonts w:ascii="ITC Avant Garde" w:hAnsi="ITC Avant Garde" w:cs="Arial"/>
          <w:b/>
          <w:color w:val="000000" w:themeColor="text1"/>
          <w:sz w:val="22"/>
          <w:szCs w:val="22"/>
          <w:u w:val="single"/>
        </w:rPr>
        <w:t>PDIC Y COUBICACIONES</w:t>
      </w:r>
      <w:r w:rsidRPr="008762D1">
        <w:rPr>
          <w:rFonts w:ascii="ITC Avant Garde" w:hAnsi="ITC Avant Garde" w:cs="Arial"/>
          <w:color w:val="000000" w:themeColor="text1"/>
          <w:sz w:val="22"/>
          <w:szCs w:val="22"/>
        </w:rPr>
        <w:t xml:space="preserve">. Telmex se encuentra obligado a proporcionar, a solicitud de </w:t>
      </w:r>
      <w:r w:rsidR="00F031E8" w:rsidRPr="00F031E8">
        <w:rPr>
          <w:rFonts w:ascii="ITC Avant Garde" w:hAnsi="ITC Avant Garde" w:cs="Arial"/>
          <w:b/>
          <w:color w:val="0000FF"/>
          <w:sz w:val="22"/>
          <w:szCs w:val="22"/>
        </w:rPr>
        <w:t>(…</w:t>
      </w:r>
      <w:proofErr w:type="gramStart"/>
      <w:r w:rsidR="00F031E8" w:rsidRPr="00F031E8">
        <w:rPr>
          <w:rFonts w:ascii="ITC Avant Garde" w:hAnsi="ITC Avant Garde" w:cs="Arial"/>
          <w:b/>
          <w:color w:val="0000FF"/>
          <w:sz w:val="22"/>
          <w:szCs w:val="22"/>
        </w:rPr>
        <w:t>)</w:t>
      </w:r>
      <w:r w:rsidRPr="008762D1">
        <w:rPr>
          <w:rFonts w:ascii="ITC Avant Garde" w:hAnsi="ITC Avant Garde" w:cs="Arial"/>
          <w:color w:val="000000" w:themeColor="text1"/>
          <w:sz w:val="22"/>
          <w:szCs w:val="22"/>
        </w:rPr>
        <w:t>un</w:t>
      </w:r>
      <w:proofErr w:type="gramEnd"/>
      <w:r w:rsidRPr="008762D1">
        <w:rPr>
          <w:rFonts w:ascii="ITC Avant Garde" w:hAnsi="ITC Avant Garde" w:cs="Arial"/>
          <w:color w:val="000000" w:themeColor="text1"/>
          <w:sz w:val="22"/>
          <w:szCs w:val="22"/>
        </w:rPr>
        <w:t xml:space="preserve"> listado actualizado de todos los </w:t>
      </w:r>
      <w:proofErr w:type="spellStart"/>
      <w:r w:rsidRPr="008762D1">
        <w:rPr>
          <w:rFonts w:ascii="ITC Avant Garde" w:hAnsi="ITC Avant Garde" w:cs="Arial"/>
          <w:color w:val="000000" w:themeColor="text1"/>
          <w:sz w:val="22"/>
          <w:szCs w:val="22"/>
        </w:rPr>
        <w:t>PDIC's</w:t>
      </w:r>
      <w:proofErr w:type="spellEnd"/>
      <w:r w:rsidRPr="008762D1">
        <w:rPr>
          <w:rFonts w:ascii="ITC Avant Garde" w:hAnsi="ITC Avant Garde" w:cs="Arial"/>
          <w:color w:val="000000" w:themeColor="text1"/>
          <w:sz w:val="22"/>
          <w:szCs w:val="22"/>
        </w:rPr>
        <w:t xml:space="preserve"> señalados en el </w:t>
      </w:r>
      <w:proofErr w:type="spellStart"/>
      <w:r w:rsidRPr="008762D1">
        <w:rPr>
          <w:rFonts w:ascii="ITC Avant Garde" w:hAnsi="ITC Avant Garde" w:cs="Arial"/>
          <w:color w:val="000000" w:themeColor="text1"/>
          <w:sz w:val="22"/>
          <w:szCs w:val="22"/>
        </w:rPr>
        <w:t>Subanexo</w:t>
      </w:r>
      <w:proofErr w:type="spellEnd"/>
      <w:r w:rsidRPr="008762D1">
        <w:rPr>
          <w:rFonts w:ascii="ITC Avant Garde" w:hAnsi="ITC Avant Garde" w:cs="Arial"/>
          <w:color w:val="000000" w:themeColor="text1"/>
          <w:sz w:val="22"/>
          <w:szCs w:val="22"/>
        </w:rPr>
        <w:t xml:space="preserve"> A-1  que contenga la información que más adelante se indica. Las especificaciones técnicas de las </w:t>
      </w:r>
      <w:proofErr w:type="spellStart"/>
      <w:r w:rsidRPr="008762D1">
        <w:rPr>
          <w:rFonts w:ascii="ITC Avant Garde" w:hAnsi="ITC Avant Garde" w:cs="Arial"/>
          <w:color w:val="000000" w:themeColor="text1"/>
          <w:sz w:val="22"/>
          <w:szCs w:val="22"/>
        </w:rPr>
        <w:t>Coubicaciones</w:t>
      </w:r>
      <w:proofErr w:type="spellEnd"/>
      <w:r w:rsidRPr="008762D1">
        <w:rPr>
          <w:rFonts w:ascii="ITC Avant Garde" w:hAnsi="ITC Avant Garde" w:cs="Arial"/>
          <w:color w:val="000000" w:themeColor="text1"/>
          <w:sz w:val="22"/>
          <w:szCs w:val="22"/>
        </w:rPr>
        <w:t xml:space="preserve"> se definen en el Anexo A</w:t>
      </w:r>
      <w:r w:rsidR="00F031E8">
        <w:rPr>
          <w:rFonts w:ascii="ITC Avant Garde" w:hAnsi="ITC Avant Garde" w:cs="Arial"/>
          <w:color w:val="000000" w:themeColor="text1"/>
          <w:sz w:val="22"/>
          <w:szCs w:val="22"/>
        </w:rPr>
        <w:t xml:space="preserve">. </w:t>
      </w:r>
      <w:r w:rsidR="00F031E8" w:rsidRPr="00F031E8">
        <w:rPr>
          <w:rFonts w:ascii="ITC Avant Garde" w:hAnsi="ITC Avant Garde" w:cs="Arial"/>
          <w:b/>
          <w:color w:val="0000FF"/>
          <w:sz w:val="22"/>
          <w:szCs w:val="22"/>
        </w:rPr>
        <w:t>(…)</w:t>
      </w:r>
      <w:r w:rsidRPr="008762D1">
        <w:rPr>
          <w:rFonts w:ascii="ITC Avant Garde" w:hAnsi="ITC Avant Garde" w:cs="Arial"/>
          <w:color w:val="000000" w:themeColor="text1"/>
          <w:sz w:val="22"/>
          <w:szCs w:val="22"/>
        </w:rPr>
        <w:t xml:space="preserve"> podrá recibir en una </w:t>
      </w:r>
      <w:proofErr w:type="spellStart"/>
      <w:r w:rsidRPr="008762D1">
        <w:rPr>
          <w:rFonts w:ascii="ITC Avant Garde" w:hAnsi="ITC Avant Garde" w:cs="Arial"/>
          <w:color w:val="000000" w:themeColor="text1"/>
          <w:sz w:val="22"/>
          <w:szCs w:val="22"/>
        </w:rPr>
        <w:t>Coubicación</w:t>
      </w:r>
      <w:proofErr w:type="spellEnd"/>
      <w:r w:rsidRPr="008762D1">
        <w:rPr>
          <w:rFonts w:ascii="ITC Avant Garde" w:hAnsi="ITC Avant Garde" w:cs="Arial"/>
          <w:color w:val="000000" w:themeColor="text1"/>
          <w:sz w:val="22"/>
          <w:szCs w:val="22"/>
        </w:rPr>
        <w:t xml:space="preserve">, los Enlaces de Transmisión de Interconexión que le provea Telmex. </w:t>
      </w:r>
    </w:p>
    <w:p w14:paraId="1A051877" w14:textId="77777777" w:rsidR="000F0B9F" w:rsidRPr="008762D1" w:rsidRDefault="00526FE9" w:rsidP="000F0B9F">
      <w:pPr>
        <w:pStyle w:val="Texto"/>
        <w:spacing w:before="24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En el caso de interconexión IP:</w:t>
      </w:r>
    </w:p>
    <w:p w14:paraId="61AE83D5" w14:textId="1C2D899D" w:rsidR="00526FE9" w:rsidRPr="008762D1" w:rsidRDefault="00526FE9" w:rsidP="000F0B9F">
      <w:pPr>
        <w:pStyle w:val="Texto"/>
        <w:numPr>
          <w:ilvl w:val="0"/>
          <w:numId w:val="28"/>
        </w:numPr>
        <w:spacing w:before="24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Nombre y código de  identificación de los puntos de interconexión.</w:t>
      </w:r>
    </w:p>
    <w:p w14:paraId="7F047B76" w14:textId="77777777" w:rsidR="00526FE9" w:rsidRPr="008762D1" w:rsidRDefault="00526FE9" w:rsidP="00964F7E">
      <w:pPr>
        <w:pStyle w:val="Texto"/>
        <w:numPr>
          <w:ilvl w:val="0"/>
          <w:numId w:val="28"/>
        </w:numPr>
        <w:spacing w:after="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Dirección y coordenadas geográficas de los puntos de interconexión.</w:t>
      </w:r>
    </w:p>
    <w:p w14:paraId="6A014C16" w14:textId="77777777" w:rsidR="00526FE9" w:rsidRPr="008762D1" w:rsidRDefault="00526FE9" w:rsidP="00964F7E">
      <w:pPr>
        <w:pStyle w:val="Texto"/>
        <w:numPr>
          <w:ilvl w:val="0"/>
          <w:numId w:val="28"/>
        </w:numPr>
        <w:spacing w:after="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 xml:space="preserve">En cuanto se encuentre disponible la interconexión IP y una vez que entren en operación, las Direcciones IP de los Controladores de Frontera de Sesión (SBC del inglés </w:t>
      </w:r>
      <w:proofErr w:type="spellStart"/>
      <w:r w:rsidRPr="008762D1">
        <w:rPr>
          <w:rFonts w:ascii="ITC Avant Garde" w:hAnsi="ITC Avant Garde"/>
          <w:color w:val="000000" w:themeColor="text1"/>
          <w:sz w:val="22"/>
          <w:szCs w:val="22"/>
        </w:rPr>
        <w:t>Session</w:t>
      </w:r>
      <w:proofErr w:type="spellEnd"/>
      <w:r w:rsidRPr="008762D1">
        <w:rPr>
          <w:rFonts w:ascii="ITC Avant Garde" w:hAnsi="ITC Avant Garde"/>
          <w:color w:val="000000" w:themeColor="text1"/>
          <w:sz w:val="22"/>
          <w:szCs w:val="22"/>
        </w:rPr>
        <w:t xml:space="preserve"> </w:t>
      </w:r>
      <w:proofErr w:type="spellStart"/>
      <w:r w:rsidRPr="008762D1">
        <w:rPr>
          <w:rFonts w:ascii="ITC Avant Garde" w:hAnsi="ITC Avant Garde"/>
          <w:color w:val="000000" w:themeColor="text1"/>
          <w:sz w:val="22"/>
          <w:szCs w:val="22"/>
        </w:rPr>
        <w:t>Border</w:t>
      </w:r>
      <w:proofErr w:type="spellEnd"/>
      <w:r w:rsidRPr="008762D1">
        <w:rPr>
          <w:rFonts w:ascii="ITC Avant Garde" w:hAnsi="ITC Avant Garde"/>
          <w:color w:val="000000" w:themeColor="text1"/>
          <w:sz w:val="22"/>
          <w:szCs w:val="22"/>
        </w:rPr>
        <w:t xml:space="preserve"> </w:t>
      </w:r>
      <w:proofErr w:type="spellStart"/>
      <w:r w:rsidRPr="008762D1">
        <w:rPr>
          <w:rFonts w:ascii="ITC Avant Garde" w:hAnsi="ITC Avant Garde"/>
          <w:color w:val="000000" w:themeColor="text1"/>
          <w:sz w:val="22"/>
          <w:szCs w:val="22"/>
        </w:rPr>
        <w:t>Controller</w:t>
      </w:r>
      <w:proofErr w:type="spellEnd"/>
      <w:r w:rsidRPr="008762D1">
        <w:rPr>
          <w:rFonts w:ascii="ITC Avant Garde" w:hAnsi="ITC Avant Garde"/>
          <w:color w:val="000000" w:themeColor="text1"/>
          <w:sz w:val="22"/>
          <w:szCs w:val="22"/>
        </w:rPr>
        <w:t xml:space="preserve">). </w:t>
      </w:r>
    </w:p>
    <w:p w14:paraId="4ED0C953" w14:textId="77777777" w:rsidR="00526FE9" w:rsidRPr="008762D1" w:rsidRDefault="00526FE9" w:rsidP="000F0B9F">
      <w:pPr>
        <w:pStyle w:val="Texto"/>
        <w:spacing w:before="24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En el caso de interconexión TDM (</w:t>
      </w:r>
      <w:proofErr w:type="spellStart"/>
      <w:r w:rsidRPr="008762D1">
        <w:rPr>
          <w:rFonts w:ascii="ITC Avant Garde" w:hAnsi="ITC Avant Garde"/>
          <w:color w:val="000000" w:themeColor="text1"/>
          <w:sz w:val="22"/>
          <w:szCs w:val="22"/>
        </w:rPr>
        <w:t>Multiplexación</w:t>
      </w:r>
      <w:proofErr w:type="spellEnd"/>
      <w:r w:rsidRPr="008762D1">
        <w:rPr>
          <w:rFonts w:ascii="ITC Avant Garde" w:hAnsi="ITC Avant Garde"/>
          <w:color w:val="000000" w:themeColor="text1"/>
          <w:sz w:val="22"/>
          <w:szCs w:val="22"/>
        </w:rPr>
        <w:t xml:space="preserve"> por División de Tiempo):</w:t>
      </w:r>
    </w:p>
    <w:p w14:paraId="3AC84D1E" w14:textId="77777777" w:rsidR="00526FE9" w:rsidRPr="008762D1" w:rsidRDefault="00526FE9" w:rsidP="000F0B9F">
      <w:pPr>
        <w:pStyle w:val="ROMANOS"/>
        <w:numPr>
          <w:ilvl w:val="0"/>
          <w:numId w:val="29"/>
        </w:numPr>
        <w:spacing w:before="24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Nombre y código de identificación de los puntos de interconexión.</w:t>
      </w:r>
    </w:p>
    <w:p w14:paraId="31435B2E" w14:textId="77777777" w:rsidR="00526FE9" w:rsidRPr="008762D1" w:rsidRDefault="00526FE9" w:rsidP="00964F7E">
      <w:pPr>
        <w:pStyle w:val="ROMANOS"/>
        <w:numPr>
          <w:ilvl w:val="0"/>
          <w:numId w:val="29"/>
        </w:numPr>
        <w:spacing w:after="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Dirección y coordenadas geográficas de los puntos de interconexión.</w:t>
      </w:r>
    </w:p>
    <w:p w14:paraId="000DC10B" w14:textId="77777777" w:rsidR="00526FE9" w:rsidRPr="008762D1" w:rsidRDefault="00526FE9" w:rsidP="00964F7E">
      <w:pPr>
        <w:pStyle w:val="ROMANOS"/>
        <w:numPr>
          <w:ilvl w:val="0"/>
          <w:numId w:val="29"/>
        </w:numPr>
        <w:spacing w:after="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Ubicación de  los binodos  de Puntos de Transferencia de Señalización.</w:t>
      </w:r>
    </w:p>
    <w:p w14:paraId="2AB3617E" w14:textId="77777777" w:rsidR="00526FE9" w:rsidRPr="008762D1" w:rsidRDefault="00526FE9" w:rsidP="00964F7E">
      <w:pPr>
        <w:pStyle w:val="ROMANOS"/>
        <w:numPr>
          <w:ilvl w:val="0"/>
          <w:numId w:val="29"/>
        </w:numPr>
        <w:spacing w:after="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 xml:space="preserve">Puntos de Transferencia de Señalización </w:t>
      </w:r>
      <w:proofErr w:type="gramStart"/>
      <w:r w:rsidRPr="008762D1">
        <w:rPr>
          <w:rFonts w:ascii="ITC Avant Garde" w:hAnsi="ITC Avant Garde"/>
          <w:color w:val="000000" w:themeColor="text1"/>
          <w:sz w:val="22"/>
          <w:szCs w:val="22"/>
        </w:rPr>
        <w:t>a</w:t>
      </w:r>
      <w:proofErr w:type="gramEnd"/>
      <w:r w:rsidRPr="008762D1">
        <w:rPr>
          <w:rFonts w:ascii="ITC Avant Garde" w:hAnsi="ITC Avant Garde"/>
          <w:color w:val="000000" w:themeColor="text1"/>
          <w:sz w:val="22"/>
          <w:szCs w:val="22"/>
        </w:rPr>
        <w:t xml:space="preserve"> los que está interconectado cada punto de interconexión en caso de señalización número 7 (SS7).</w:t>
      </w:r>
    </w:p>
    <w:p w14:paraId="17B99F53" w14:textId="77777777" w:rsidR="000F0B9F" w:rsidRPr="008762D1" w:rsidRDefault="00526FE9" w:rsidP="00964F7E">
      <w:pPr>
        <w:pStyle w:val="ROMANOS"/>
        <w:numPr>
          <w:ilvl w:val="0"/>
          <w:numId w:val="29"/>
        </w:numPr>
        <w:spacing w:after="0" w:line="276" w:lineRule="auto"/>
        <w:rPr>
          <w:rFonts w:ascii="ITC Avant Garde" w:hAnsi="ITC Avant Garde"/>
          <w:color w:val="000000" w:themeColor="text1"/>
          <w:sz w:val="22"/>
          <w:szCs w:val="22"/>
        </w:rPr>
      </w:pPr>
      <w:r w:rsidRPr="008762D1">
        <w:rPr>
          <w:rFonts w:ascii="ITC Avant Garde" w:hAnsi="ITC Avant Garde"/>
          <w:color w:val="000000" w:themeColor="text1"/>
          <w:sz w:val="22"/>
          <w:szCs w:val="22"/>
        </w:rPr>
        <w:t>Códigos de puntos de señalización de origen y destino.</w:t>
      </w:r>
    </w:p>
    <w:p w14:paraId="7A4EC385" w14:textId="4969AC6E" w:rsidR="000F0B9F" w:rsidRPr="008762D1" w:rsidRDefault="00526FE9" w:rsidP="000F0B9F">
      <w:pPr>
        <w:autoSpaceDE w:val="0"/>
        <w:autoSpaceDN w:val="0"/>
        <w:adjustRightInd w:val="0"/>
        <w:spacing w:before="240"/>
        <w:jc w:val="both"/>
        <w:rPr>
          <w:rFonts w:ascii="ITC Avant Garde" w:hAnsi="ITC Avant Garde"/>
          <w:color w:val="000000" w:themeColor="text1"/>
        </w:rPr>
      </w:pPr>
      <w:r w:rsidRPr="008762D1">
        <w:rPr>
          <w:rFonts w:ascii="ITC Avant Garde" w:hAnsi="ITC Avant Garde" w:cs="Arial"/>
          <w:color w:val="000000" w:themeColor="text1"/>
        </w:rPr>
        <w:t xml:space="preserve">Previamente a cualquier modificación, Telmex y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deberán acordar un plan de trabajo para realizar los cambios en su respectivas redes públicas de telecomunicaciones a fin de poder </w:t>
      </w:r>
      <w:proofErr w:type="spellStart"/>
      <w:r w:rsidRPr="008762D1">
        <w:rPr>
          <w:rFonts w:ascii="ITC Avant Garde" w:hAnsi="ITC Avant Garde" w:cs="Arial"/>
          <w:color w:val="000000" w:themeColor="text1"/>
        </w:rPr>
        <w:t>enrutar</w:t>
      </w:r>
      <w:proofErr w:type="spellEnd"/>
      <w:r w:rsidRPr="008762D1">
        <w:rPr>
          <w:rFonts w:ascii="ITC Avant Garde" w:hAnsi="ITC Avant Garde" w:cs="Arial"/>
          <w:color w:val="000000" w:themeColor="text1"/>
        </w:rPr>
        <w:t xml:space="preserve"> el tráfico de origen y destino con la información de los Puntos de Interconexión. </w:t>
      </w:r>
    </w:p>
    <w:p w14:paraId="02F75F8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caso de que Telmex habilite nuevos nodos en sus puntos de interconexión deberá poner a disposición de los concesionarios solicitantes la información de los mismos en el Sistema Electrónico de Gestión.</w:t>
      </w:r>
    </w:p>
    <w:p w14:paraId="536E5261" w14:textId="77777777" w:rsidR="000F0B9F" w:rsidRPr="008762D1" w:rsidRDefault="00526FE9" w:rsidP="000F0B9F">
      <w:pPr>
        <w:spacing w:before="240"/>
        <w:jc w:val="both"/>
        <w:rPr>
          <w:rFonts w:ascii="ITC Avant Garde" w:hAnsi="ITC Avant Garde" w:cs="Arial"/>
          <w:color w:val="000000" w:themeColor="text1"/>
        </w:rPr>
      </w:pPr>
      <w:r w:rsidRPr="008762D1">
        <w:rPr>
          <w:rFonts w:ascii="ITC Avant Garde" w:hAnsi="ITC Avant Garde" w:cs="Arial"/>
          <w:b/>
          <w:color w:val="000000" w:themeColor="text1"/>
        </w:rPr>
        <w:lastRenderedPageBreak/>
        <w:t xml:space="preserve">5.3 </w:t>
      </w:r>
      <w:r w:rsidRPr="008762D1">
        <w:rPr>
          <w:rFonts w:ascii="ITC Avant Garde" w:hAnsi="ITC Avant Garde" w:cs="Arial"/>
          <w:b/>
          <w:color w:val="000000" w:themeColor="text1"/>
          <w:u w:val="single"/>
        </w:rPr>
        <w:t>INTERCONEXIÓN ENTRE OTROS CONCESIONARIOS</w:t>
      </w:r>
      <w:r w:rsidRPr="008762D1">
        <w:rPr>
          <w:rFonts w:ascii="ITC Avant Garde" w:hAnsi="ITC Avant Garde" w:cs="Arial"/>
          <w:color w:val="000000" w:themeColor="text1"/>
        </w:rPr>
        <w:t xml:space="preserve">.  Telmex se obliga a atender a los principios de eficiencia y sana competencia en sus espacios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por lo que permitirá a la Parte Solicitante interconectar su red dentro de las instalaciones de Telmex con la Red Pública de Telecomunicaciones de otro Concesionario que tengan presencia y/o espacios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en el mismo edificio de Telmex (Interconexión Cruzada), esto a través de:</w:t>
      </w:r>
    </w:p>
    <w:p w14:paraId="2E93D676" w14:textId="00CBEF1C" w:rsidR="00526FE9" w:rsidRPr="008762D1" w:rsidRDefault="00526FE9" w:rsidP="000F0B9F">
      <w:pPr>
        <w:pStyle w:val="Prrafodelista"/>
        <w:numPr>
          <w:ilvl w:val="0"/>
          <w:numId w:val="3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Enlace de transmisión de Interconexión gestionado, el cual por cuestiones de seguridad y </w:t>
      </w:r>
      <w:proofErr w:type="spellStart"/>
      <w:r w:rsidRPr="008762D1">
        <w:rPr>
          <w:rFonts w:ascii="ITC Avant Garde" w:hAnsi="ITC Avant Garde" w:cs="Arial"/>
          <w:color w:val="000000" w:themeColor="text1"/>
        </w:rPr>
        <w:t>operabilidad</w:t>
      </w:r>
      <w:proofErr w:type="spellEnd"/>
      <w:r w:rsidRPr="008762D1">
        <w:rPr>
          <w:rFonts w:ascii="ITC Avant Garde" w:hAnsi="ITC Avant Garde" w:cs="Arial"/>
          <w:color w:val="000000" w:themeColor="text1"/>
        </w:rPr>
        <w:t xml:space="preserve">, Telmex proveerá el servicio cubriendo la operación y el mantenimiento. Por su parte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deberá cubrir a Telmex las tarifas respectivas. </w:t>
      </w:r>
    </w:p>
    <w:p w14:paraId="29DF8748" w14:textId="0DB97EF4" w:rsidR="000F0B9F" w:rsidRPr="008762D1" w:rsidRDefault="00526FE9" w:rsidP="000F0B9F">
      <w:pPr>
        <w:pStyle w:val="Prrafodelista"/>
        <w:numPr>
          <w:ilvl w:val="0"/>
          <w:numId w:val="30"/>
        </w:numPr>
        <w:spacing w:before="240" w:after="0" w:line="240" w:lineRule="auto"/>
        <w:ind w:left="765" w:hanging="357"/>
        <w:contextualSpacing w:val="0"/>
        <w:jc w:val="both"/>
        <w:rPr>
          <w:rFonts w:ascii="ITC Avant Garde" w:hAnsi="ITC Avant Garde" w:cs="Arial"/>
          <w:color w:val="000000" w:themeColor="text1"/>
        </w:rPr>
      </w:pPr>
      <w:r w:rsidRPr="008762D1">
        <w:rPr>
          <w:rFonts w:ascii="ITC Avant Garde" w:hAnsi="ITC Avant Garde" w:cs="Arial"/>
          <w:color w:val="000000" w:themeColor="text1"/>
        </w:rPr>
        <w:t xml:space="preserve">Enlace de Interconexión no gestionado, consiste en un cable de conexión a través de herrajes de escalerillas que provee Telmex dejando las puntas en las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de los concesionarios involucrados, este servicio no considera la operación, mantenimiento y supervisión del enlace dado que no cuenta con elementos que permitan llevar a cabo estas tareas de gestión del servicio. Cualquier tarea asociada a este servicio requerirá la presencia física de los concesionarios involucrados  en sus respectivas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para garantizar el acceso del personal de Telmex. Para el caso de atención de una falla es indispensable contar con el acceso señalado y será en ese momento en el cual iniciará el cómputo del tiempo de falla. De no cumplirse esta condición, Telmex se deslinda de toda responsabilidad en caso de presentarse alguna falla en el cable de conexión. Por su parte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deberá cubrir a Telmex el costo del proyecto correspondiente.</w:t>
      </w:r>
    </w:p>
    <w:p w14:paraId="108CB35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Los parámetros de calidad de los enlaces de transmisión no gestionados se especifican en el Anexo E, mientras que los enlaces gestionados se sujetan a lo establecido en el Anexo G.</w:t>
      </w:r>
    </w:p>
    <w:p w14:paraId="2B856B73" w14:textId="0856A91E"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Por su parte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y el tercer concesionario deberán cubrir a Telmex las tarifas respectivas. Ninguna de las Partes estará obligada a contratar el Servicio de Tránsito al propietario de las instalaciones donde se ubique la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w:t>
      </w:r>
    </w:p>
    <w:p w14:paraId="68BD1EF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5.3.1. </w:t>
      </w:r>
      <w:r w:rsidRPr="008762D1">
        <w:rPr>
          <w:rFonts w:ascii="ITC Avant Garde" w:hAnsi="ITC Avant Garde" w:cs="Arial"/>
          <w:b/>
          <w:color w:val="000000" w:themeColor="text1"/>
          <w:u w:val="single"/>
        </w:rPr>
        <w:t xml:space="preserve">Espacios de </w:t>
      </w:r>
      <w:proofErr w:type="spellStart"/>
      <w:r w:rsidRPr="008762D1">
        <w:rPr>
          <w:rFonts w:ascii="ITC Avant Garde" w:hAnsi="ITC Avant Garde" w:cs="Arial"/>
          <w:b/>
          <w:color w:val="000000" w:themeColor="text1"/>
          <w:u w:val="single"/>
        </w:rPr>
        <w:t>coubicación</w:t>
      </w:r>
      <w:proofErr w:type="spellEnd"/>
      <w:r w:rsidRPr="008762D1">
        <w:rPr>
          <w:rFonts w:ascii="ITC Avant Garde" w:hAnsi="ITC Avant Garde" w:cs="Arial"/>
          <w:color w:val="000000" w:themeColor="text1"/>
        </w:rPr>
        <w:t xml:space="preserve">. Asimismo, para fines de proveer la interconexión, deberá permitirse que en los espacios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la Parte contratante del servicio pueda recibir y entregar Tráfico de sus Usuarios así como la entrega de puertos de interconexión  contratados por otros  concesionarios distintos al que tiene contratada la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Los costos derivados de los Enlaces de Transmisión de Interconexión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a que se refiere el numeral 5.3 anterior correrán a cuenta de la parte que lo requiera.</w:t>
      </w:r>
    </w:p>
    <w:p w14:paraId="7B94552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5.4 </w:t>
      </w:r>
      <w:r w:rsidRPr="008762D1">
        <w:rPr>
          <w:rFonts w:ascii="ITC Avant Garde" w:hAnsi="ITC Avant Garde" w:cs="Arial"/>
          <w:b/>
          <w:color w:val="000000" w:themeColor="text1"/>
          <w:u w:val="single"/>
        </w:rPr>
        <w:t>PUERTOS DE ACCESO</w:t>
      </w:r>
      <w:r w:rsidRPr="008762D1">
        <w:rPr>
          <w:rFonts w:ascii="ITC Avant Garde" w:hAnsi="ITC Avant Garde" w:cs="Arial"/>
          <w:color w:val="000000" w:themeColor="text1"/>
        </w:rPr>
        <w:t>.</w:t>
      </w:r>
    </w:p>
    <w:p w14:paraId="0FD6AF5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Los Puertos de Acceso no generarán un costo adicional pues éste ya está incluido en la tarifa de los Servicios Conmutados de Interconexión.</w:t>
      </w:r>
    </w:p>
    <w:p w14:paraId="1D1B756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Los Puertos de Acceso que debe proporcionar Telmex deberán permitir la entrega de Tráfico de cualquier origen, de cualquier tipo (local, transito, móvil, fijo, etc.) y con terminación en cualquier destino nacional. Para clientes diferentes de Telmex la entrega se realizará mediante el Servicio de Tránsito para redes fijas y móviles. </w:t>
      </w:r>
    </w:p>
    <w:p w14:paraId="7447CF8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1E34B3E3" w14:textId="578909B4"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Previamente a cualquier modificación, Telmex y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deberán acordar un plan de trabajo para realizar los cambios en sus respectivas redes públicas de telecomunicaciones.</w:t>
      </w:r>
    </w:p>
    <w:p w14:paraId="1756A6A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5.5. </w:t>
      </w:r>
      <w:r w:rsidRPr="008762D1">
        <w:rPr>
          <w:rFonts w:ascii="ITC Avant Garde" w:hAnsi="ITC Avant Garde" w:cs="Arial"/>
          <w:b/>
          <w:color w:val="000000" w:themeColor="text1"/>
          <w:u w:val="single"/>
        </w:rPr>
        <w:t>ENLACES DEDICADOS DE  INTERCONEXIÓN</w:t>
      </w:r>
      <w:r w:rsidRPr="008762D1">
        <w:rPr>
          <w:rFonts w:ascii="ITC Avant Garde" w:hAnsi="ITC Avant Garde" w:cs="Arial"/>
          <w:color w:val="000000" w:themeColor="text1"/>
        </w:rPr>
        <w:t>.</w:t>
      </w:r>
    </w:p>
    <w:p w14:paraId="4EBBB376" w14:textId="2384A0F3"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Telmex deberá proporcionar a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los siguientes tipos de Enlaces Dedicados de  Interconexión: Ethernet de 1 </w:t>
      </w:r>
      <w:proofErr w:type="spellStart"/>
      <w:r w:rsidRPr="008762D1">
        <w:rPr>
          <w:rFonts w:ascii="ITC Avant Garde" w:hAnsi="ITC Avant Garde" w:cs="Arial"/>
          <w:color w:val="000000" w:themeColor="text1"/>
        </w:rPr>
        <w:t>Gbps</w:t>
      </w:r>
      <w:proofErr w:type="spellEnd"/>
      <w:r w:rsidRPr="008762D1">
        <w:rPr>
          <w:rFonts w:ascii="ITC Avant Garde" w:hAnsi="ITC Avant Garde" w:cs="Arial"/>
          <w:color w:val="000000" w:themeColor="text1"/>
        </w:rPr>
        <w:t xml:space="preserve">. Estos enlaces de transmisión de interconexión podrán ser utilizados para conducción de Tráfico Público Conmutado de cualquier tipo ya sea servicio fijo, móvil o de tránsito. </w:t>
      </w:r>
    </w:p>
    <w:p w14:paraId="6D29F91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p>
    <w:p w14:paraId="7E5251C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el Anexo G del presente convenio se indican las condiciones de la oferta de los Enlaces Dedicados de Interconexión.</w:t>
      </w:r>
    </w:p>
    <w:p w14:paraId="242F646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5.6. </w:t>
      </w:r>
      <w:r w:rsidRPr="008762D1">
        <w:rPr>
          <w:rFonts w:ascii="ITC Avant Garde" w:hAnsi="ITC Avant Garde" w:cs="Arial"/>
          <w:b/>
          <w:color w:val="000000" w:themeColor="text1"/>
          <w:u w:val="single"/>
        </w:rPr>
        <w:t>TRÁNSITO</w:t>
      </w:r>
      <w:r w:rsidRPr="008762D1">
        <w:rPr>
          <w:rFonts w:ascii="ITC Avant Garde" w:hAnsi="ITC Avant Garde" w:cs="Arial"/>
          <w:color w:val="000000" w:themeColor="text1"/>
        </w:rPr>
        <w:t>.</w:t>
      </w:r>
    </w:p>
    <w:p w14:paraId="039C500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Telmex deberá ofrecer el Servicio de Transito ya sea para la </w:t>
      </w:r>
      <w:proofErr w:type="spellStart"/>
      <w:r w:rsidRPr="008762D1">
        <w:rPr>
          <w:rFonts w:ascii="ITC Avant Garde" w:hAnsi="ITC Avant Garde" w:cs="Arial"/>
          <w:color w:val="000000" w:themeColor="text1"/>
        </w:rPr>
        <w:t>Originación</w:t>
      </w:r>
      <w:proofErr w:type="spellEnd"/>
      <w:r w:rsidRPr="008762D1">
        <w:rPr>
          <w:rFonts w:ascii="ITC Avant Garde" w:hAnsi="ITC Avant Garde" w:cs="Arial"/>
          <w:color w:val="000000" w:themeColor="text1"/>
        </w:rPr>
        <w:t xml:space="preserve"> o Terminación de Tráfico, dentro del territorio nacional.</w:t>
      </w:r>
    </w:p>
    <w:p w14:paraId="605B066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5.7 </w:t>
      </w:r>
      <w:r w:rsidRPr="008762D1">
        <w:rPr>
          <w:rFonts w:ascii="ITC Avant Garde" w:hAnsi="ITC Avant Garde" w:cs="Arial"/>
          <w:b/>
          <w:color w:val="000000" w:themeColor="text1"/>
          <w:u w:val="single"/>
        </w:rPr>
        <w:t>REALIZACIÓN FÍSICA DE LA INTERCONEXIÓN</w:t>
      </w:r>
      <w:r w:rsidRPr="008762D1">
        <w:rPr>
          <w:rFonts w:ascii="ITC Avant Garde" w:hAnsi="ITC Avant Garde" w:cs="Arial"/>
          <w:color w:val="000000" w:themeColor="text1"/>
        </w:rPr>
        <w:t>.</w:t>
      </w:r>
    </w:p>
    <w:p w14:paraId="147F37A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5.7.1 </w:t>
      </w:r>
      <w:r w:rsidRPr="008762D1">
        <w:rPr>
          <w:rFonts w:ascii="ITC Avant Garde" w:hAnsi="ITC Avant Garde" w:cs="Arial"/>
          <w:b/>
          <w:color w:val="000000" w:themeColor="text1"/>
          <w:u w:val="single"/>
        </w:rPr>
        <w:t>General</w:t>
      </w:r>
      <w:r w:rsidRPr="008762D1">
        <w:rPr>
          <w:rFonts w:ascii="ITC Avant Garde" w:hAnsi="ITC Avant Garde" w:cs="Arial"/>
          <w:color w:val="000000" w:themeColor="text1"/>
        </w:rPr>
        <w:t xml:space="preserve">. Telmex deberá permitir el acceso de manera desagregada a servicios, capacidad y funciones de su red sobre bases de tarifas no discriminatorias, establecidas en el Anexo B del presente Convenio. Asimismo, cada </w:t>
      </w:r>
      <w:r w:rsidRPr="008762D1">
        <w:rPr>
          <w:rFonts w:ascii="ITC Avant Garde" w:hAnsi="ITC Avant Garde" w:cs="Arial"/>
          <w:color w:val="000000" w:themeColor="text1"/>
        </w:rPr>
        <w:lastRenderedPageBreak/>
        <w:t>una de las Partes será responsable de los enlaces dedicados de interconexión necesarios para la Conducción de Tráfico Publico Conmutado. Los enlaces dedicados de interconexión podrán ser propios, arrendados a Telmex o de un tercero y los costos correspondientes serán cubiertos por la parte que los requiera para terminar su Tráfico.</w:t>
      </w:r>
    </w:p>
    <w:p w14:paraId="78DAE87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5.7.2 </w:t>
      </w:r>
      <w:r w:rsidRPr="008762D1">
        <w:rPr>
          <w:rFonts w:ascii="ITC Avant Garde" w:hAnsi="ITC Avant Garde" w:cs="Arial"/>
          <w:b/>
          <w:color w:val="000000" w:themeColor="text1"/>
          <w:u w:val="single"/>
        </w:rPr>
        <w:t>Realización Física</w:t>
      </w:r>
      <w:r w:rsidRPr="008762D1">
        <w:rPr>
          <w:rFonts w:ascii="ITC Avant Garde" w:hAnsi="ITC Avant Garde" w:cs="Arial"/>
          <w:color w:val="000000" w:themeColor="text1"/>
        </w:rPr>
        <w:t>. Las Partes aceptan y se obligan a que los enlaces dedicados de interconexión entre sus respectivas redes sean proveídos físicamente de acuerdo con una de las siguientes opciones:</w:t>
      </w:r>
    </w:p>
    <w:p w14:paraId="5100A0B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(i) Opción 1</w:t>
      </w:r>
      <w:r w:rsidRPr="008762D1">
        <w:rPr>
          <w:rFonts w:ascii="ITC Avant Garde" w:hAnsi="ITC Avant Garde" w:cs="Arial"/>
          <w:color w:val="000000" w:themeColor="text1"/>
        </w:rPr>
        <w:t xml:space="preserve"> </w:t>
      </w:r>
      <w:r w:rsidRPr="008762D1">
        <w:rPr>
          <w:rFonts w:ascii="ITC Avant Garde" w:hAnsi="ITC Avant Garde" w:cs="Arial"/>
          <w:b/>
          <w:color w:val="000000" w:themeColor="text1"/>
          <w:u w:val="single"/>
        </w:rPr>
        <w:t>Enlace Dedicado de Interconexión Unidireccional/Bidireccional</w:t>
      </w:r>
      <w:r w:rsidRPr="008762D1">
        <w:rPr>
          <w:rFonts w:ascii="ITC Avant Garde" w:hAnsi="ITC Avant Garde" w:cs="Arial"/>
          <w:color w:val="000000" w:themeColor="text1"/>
        </w:rPr>
        <w:t>:</w:t>
      </w:r>
    </w:p>
    <w:p w14:paraId="12CDEB4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(a) Enlace Dedicado de Interconexión Propio</w:t>
      </w:r>
      <w:r w:rsidRPr="008762D1">
        <w:rPr>
          <w:rFonts w:ascii="ITC Avant Garde" w:hAnsi="ITC Avant Garde" w:cs="Arial"/>
          <w:color w:val="000000" w:themeColor="text1"/>
        </w:rPr>
        <w:t xml:space="preserve">. Cada una de las Partes instalará su propio Enlace Dedicado de Interconexión, mismo que terminará en una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de la otra Parte y, por tanto, la primera de ellas solicitará Servicios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en el entendido de que el Enlace dedicado de Interconexión será unidireccional.</w:t>
      </w:r>
    </w:p>
    <w:p w14:paraId="139DC88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(b) Enlace Dedicado de Interconexión bidireccional propio o arrendado.</w:t>
      </w:r>
      <w:r w:rsidRPr="008762D1">
        <w:rPr>
          <w:rFonts w:ascii="ITC Avant Garde" w:hAnsi="ITC Avant Garde" w:cs="Arial"/>
          <w:color w:val="000000" w:themeColor="text1"/>
        </w:rPr>
        <w:t xml:space="preserve"> Cada una de las Partes podrá instalar un enlace dedicado de interconexión ya sea propio o arrendado mismo que terminará en una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de la otra Parte y, por tanto, la primera de ellas solicitará Servicios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en el entendido de que el enlace dedicado de interconexión podrá ser bidireccional.</w:t>
      </w:r>
    </w:p>
    <w:p w14:paraId="6A4A845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(c) Enlace Dedicado de Interconexión proporcionado por un Tercero</w:t>
      </w:r>
      <w:r w:rsidRPr="008762D1">
        <w:rPr>
          <w:rFonts w:ascii="ITC Avant Garde" w:hAnsi="ITC Avant Garde" w:cs="Arial"/>
          <w:color w:val="000000" w:themeColor="text1"/>
        </w:rPr>
        <w:t xml:space="preserve">. Cada una de las Partes podrá solicitar a un tercero que le proporcione el enlace dedicado de interconexión. Este Enlace Dedicado de Interconexión deberá terminar en una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de la otra Parte, o en un punto intermedio acordado por ambas Partes, el Enlace podrá haber sido contratado por la Parte que lo solicite o por el tercero que provea el Enlace Dedicado de Interconexión. Asimismo, las Partes convienen en que aún en el supuesto de que el Enlace Dedicado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14:paraId="4D17F1D3" w14:textId="69000355"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(ii) Opción 2 Servicios de Enlace Dedicado de Interconexión Entre las Partes</w:t>
      </w:r>
      <w:r w:rsidRPr="008762D1">
        <w:rPr>
          <w:rFonts w:ascii="ITC Avant Garde" w:hAnsi="ITC Avant Garde" w:cs="Arial"/>
          <w:color w:val="000000" w:themeColor="text1"/>
        </w:rPr>
        <w:t xml:space="preserv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podrá solicitar a Telmex, en los términos del presente Convenio y sus Anexos, los Enlaces Dedicado de Interconexión que forman parte de los Servicios de Interconexión para lo cual no se requerirá solicitar Servicios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w:t>
      </w:r>
    </w:p>
    <w:p w14:paraId="1769091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5.7.3 </w:t>
      </w:r>
      <w:r w:rsidRPr="008762D1">
        <w:rPr>
          <w:rFonts w:ascii="ITC Avant Garde" w:hAnsi="ITC Avant Garde" w:cs="Arial"/>
          <w:b/>
          <w:color w:val="000000" w:themeColor="text1"/>
          <w:u w:val="single"/>
        </w:rPr>
        <w:t>Especificaciones Técnicas de los Enlaces Dedicados de Interconexión</w:t>
      </w:r>
      <w:r w:rsidRPr="008762D1">
        <w:rPr>
          <w:rFonts w:ascii="ITC Avant Garde" w:hAnsi="ITC Avant Garde" w:cs="Arial"/>
          <w:color w:val="000000" w:themeColor="text1"/>
        </w:rPr>
        <w:t>. Los Enlaces Dedicados de Interconexión entre redes y los Puertos de Acceso asociados, deberán establecerse de manera digital.</w:t>
      </w:r>
    </w:p>
    <w:p w14:paraId="0FCF7FC4" w14:textId="742A0CE3"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 xml:space="preserve">Cuando se utilice señalización número 7, la capacidad de enlaces dedicado de interconexión debe ser de nivel E1, E3 y/o STM1, si así lo requiere </w:t>
      </w:r>
      <w:r w:rsidR="00F031E8" w:rsidRPr="00F031E8">
        <w:rPr>
          <w:rFonts w:ascii="ITC Avant Garde" w:hAnsi="ITC Avant Garde" w:cs="Arial"/>
          <w:b/>
          <w:color w:val="0000FF"/>
        </w:rPr>
        <w:t>(…)</w:t>
      </w:r>
      <w:r w:rsidRPr="008762D1">
        <w:rPr>
          <w:rFonts w:ascii="ITC Avant Garde" w:hAnsi="ITC Avant Garde" w:cs="Arial"/>
          <w:color w:val="000000" w:themeColor="text1"/>
        </w:rPr>
        <w:t xml:space="preserve">. </w:t>
      </w:r>
    </w:p>
    <w:p w14:paraId="136D2A06" w14:textId="7C525C8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Dichos Enlaces Dedicados de Interconexión podrán ser </w:t>
      </w:r>
      <w:proofErr w:type="spellStart"/>
      <w:r w:rsidRPr="008762D1">
        <w:rPr>
          <w:rFonts w:ascii="ITC Avant Garde" w:hAnsi="ITC Avant Garde" w:cs="Arial"/>
          <w:color w:val="000000" w:themeColor="text1"/>
        </w:rPr>
        <w:t>uni</w:t>
      </w:r>
      <w:proofErr w:type="spellEnd"/>
      <w:r w:rsidRPr="008762D1">
        <w:rPr>
          <w:rFonts w:ascii="ITC Avant Garde" w:hAnsi="ITC Avant Garde" w:cs="Arial"/>
          <w:color w:val="000000" w:themeColor="text1"/>
        </w:rPr>
        <w:t xml:space="preserve">-direccionales o bidireccionales y usará el total de la capacidad disponible en los mismos. Para el caso de capacidades de nivel E1 se usarán los 31 canales disponibles.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podrá entregar en estos enlaces y por un mismo Puerto de Acceso, Tráfico proveniente de cualquier origen, de cualquier tipo y para cualquier destino y Telmex no podrá obligar a separar los tráficos por origen, tipo o destino. </w:t>
      </w:r>
    </w:p>
    <w:p w14:paraId="24F7318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Telmex deberá, a solicitud de la otra Parte, permitir el intercambio de Tráfico Público Conmutado en protocolo SIP (</w:t>
      </w:r>
      <w:proofErr w:type="spellStart"/>
      <w:r w:rsidRPr="008762D1">
        <w:rPr>
          <w:rFonts w:ascii="ITC Avant Garde" w:hAnsi="ITC Avant Garde" w:cs="Arial"/>
          <w:color w:val="000000" w:themeColor="text1"/>
        </w:rPr>
        <w:t>Session</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lnitiaton</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Protocol</w:t>
      </w:r>
      <w:proofErr w:type="spellEnd"/>
      <w:r w:rsidRPr="008762D1">
        <w:rPr>
          <w:rFonts w:ascii="ITC Avant Garde" w:hAnsi="ITC Avant Garde" w:cs="Arial"/>
          <w:color w:val="000000" w:themeColor="text1"/>
        </w:rPr>
        <w:t xml:space="preserve">). </w:t>
      </w:r>
    </w:p>
    <w:p w14:paraId="59F6121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condiciones mínimas requeridas para el intercambio de tráfico SIP deberán ser las siguientes:</w:t>
      </w:r>
    </w:p>
    <w:p w14:paraId="0ED8A925" w14:textId="77777777" w:rsidR="000F0B9F" w:rsidRPr="008762D1" w:rsidRDefault="00526FE9" w:rsidP="000F0B9F">
      <w:pPr>
        <w:pStyle w:val="Textosinformato"/>
        <w:numPr>
          <w:ilvl w:val="0"/>
          <w:numId w:val="31"/>
        </w:numPr>
        <w:tabs>
          <w:tab w:val="clear" w:pos="1800"/>
          <w:tab w:val="num" w:pos="720"/>
        </w:tabs>
        <w:spacing w:before="240"/>
        <w:ind w:left="72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entrega en el </w:t>
      </w:r>
      <w:proofErr w:type="spellStart"/>
      <w:r w:rsidRPr="008762D1">
        <w:rPr>
          <w:rFonts w:ascii="ITC Avant Garde" w:hAnsi="ITC Avant Garde" w:cs="Arial"/>
          <w:color w:val="000000" w:themeColor="text1"/>
          <w:sz w:val="22"/>
          <w:szCs w:val="22"/>
        </w:rPr>
        <w:t>Subanexo</w:t>
      </w:r>
      <w:proofErr w:type="spellEnd"/>
      <w:r w:rsidRPr="008762D1">
        <w:rPr>
          <w:rFonts w:ascii="ITC Avant Garde" w:hAnsi="ITC Avant Garde" w:cs="Arial"/>
          <w:color w:val="000000" w:themeColor="text1"/>
          <w:sz w:val="22"/>
          <w:szCs w:val="22"/>
        </w:rPr>
        <w:t xml:space="preserve"> A-1 los Puntos de Interconexión IP, en donde pueden interconectar su Red Pública  de Telecomunicaciones en protocolo SIP. Los Puntos de Interconexión deberán ser capaces de atender a todas las regiones de México. </w:t>
      </w:r>
    </w:p>
    <w:p w14:paraId="58E94B6C" w14:textId="77777777" w:rsidR="000F0B9F" w:rsidRPr="008762D1" w:rsidRDefault="00526FE9" w:rsidP="00964F7E">
      <w:pPr>
        <w:pStyle w:val="Textosinformato"/>
        <w:numPr>
          <w:ilvl w:val="0"/>
          <w:numId w:val="31"/>
        </w:numPr>
        <w:tabs>
          <w:tab w:val="clear" w:pos="1800"/>
          <w:tab w:val="num" w:pos="720"/>
        </w:tabs>
        <w:ind w:left="72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bajo el principio de trato no discriminatorio hace disponible el punto de interconexión para cualquier concesionario que lo solicite a efecto de que se realice la interconexión IP. </w:t>
      </w:r>
    </w:p>
    <w:p w14:paraId="47067559" w14:textId="77777777" w:rsidR="000F0B9F" w:rsidRPr="008762D1" w:rsidRDefault="00526FE9" w:rsidP="00964F7E">
      <w:pPr>
        <w:pStyle w:val="Textosinformato"/>
        <w:numPr>
          <w:ilvl w:val="0"/>
          <w:numId w:val="31"/>
        </w:numPr>
        <w:tabs>
          <w:tab w:val="clear" w:pos="1800"/>
          <w:tab w:val="num" w:pos="720"/>
        </w:tabs>
        <w:ind w:left="72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Los Puntos de Interconexión a la red pública de telecomunicaciones de Telmex para intercambiar tráfico de cualquier origen o destino dentro del territorio nacional mediante el protocolo de Internet (IP) correspondientes a los servicios de telecomunicaciones fijos  estarán ubicados en las ciudades que se indiquen en el Anexo A de Acuerdos Técnicos. </w:t>
      </w:r>
    </w:p>
    <w:p w14:paraId="288049CC" w14:textId="77777777" w:rsidR="000F0B9F" w:rsidRPr="008762D1" w:rsidRDefault="00526FE9" w:rsidP="00964F7E">
      <w:pPr>
        <w:pStyle w:val="Textosinformato"/>
        <w:numPr>
          <w:ilvl w:val="0"/>
          <w:numId w:val="31"/>
        </w:numPr>
        <w:tabs>
          <w:tab w:val="clear" w:pos="1800"/>
          <w:tab w:val="num" w:pos="720"/>
        </w:tabs>
        <w:ind w:left="72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La interconexión se llevará a cabo a nivel de capa física mediante enlaces ópticos  dedicados bajo el estándar Ethernet, por lo que las Partes se sujetarán a las  características técnicas indicadas en el Anexo A.</w:t>
      </w:r>
    </w:p>
    <w:p w14:paraId="64D0B373" w14:textId="77777777" w:rsidR="000F0B9F" w:rsidRPr="008762D1" w:rsidRDefault="00526FE9" w:rsidP="00964F7E">
      <w:pPr>
        <w:pStyle w:val="Textosinformato"/>
        <w:numPr>
          <w:ilvl w:val="0"/>
          <w:numId w:val="31"/>
        </w:numPr>
        <w:tabs>
          <w:tab w:val="clear" w:pos="1800"/>
          <w:tab w:val="num" w:pos="720"/>
        </w:tabs>
        <w:ind w:left="72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En la interconexión se utilizará el protocolo de señalización SIP. En este sentido, las  Partes deberán implementar el protocolo SIP conforme a las recomendaciones del  Internet </w:t>
      </w:r>
      <w:proofErr w:type="spellStart"/>
      <w:r w:rsidRPr="008762D1">
        <w:rPr>
          <w:rFonts w:ascii="ITC Avant Garde" w:hAnsi="ITC Avant Garde" w:cs="Arial"/>
          <w:color w:val="000000" w:themeColor="text1"/>
          <w:sz w:val="22"/>
          <w:szCs w:val="22"/>
        </w:rPr>
        <w:t>Engineering</w:t>
      </w:r>
      <w:proofErr w:type="spellEnd"/>
      <w:r w:rsidRPr="008762D1">
        <w:rPr>
          <w:rFonts w:ascii="ITC Avant Garde" w:hAnsi="ITC Avant Garde" w:cs="Arial"/>
          <w:color w:val="000000" w:themeColor="text1"/>
          <w:sz w:val="22"/>
          <w:szCs w:val="22"/>
        </w:rPr>
        <w:t xml:space="preserve"> </w:t>
      </w:r>
      <w:proofErr w:type="spellStart"/>
      <w:r w:rsidRPr="008762D1">
        <w:rPr>
          <w:rFonts w:ascii="ITC Avant Garde" w:hAnsi="ITC Avant Garde" w:cs="Arial"/>
          <w:color w:val="000000" w:themeColor="text1"/>
          <w:sz w:val="22"/>
          <w:szCs w:val="22"/>
        </w:rPr>
        <w:t>Task</w:t>
      </w:r>
      <w:proofErr w:type="spellEnd"/>
      <w:r w:rsidRPr="008762D1">
        <w:rPr>
          <w:rFonts w:ascii="ITC Avant Garde" w:hAnsi="ITC Avant Garde" w:cs="Arial"/>
          <w:color w:val="000000" w:themeColor="text1"/>
          <w:sz w:val="22"/>
          <w:szCs w:val="22"/>
        </w:rPr>
        <w:t xml:space="preserve"> </w:t>
      </w:r>
      <w:proofErr w:type="spellStart"/>
      <w:r w:rsidRPr="008762D1">
        <w:rPr>
          <w:rFonts w:ascii="ITC Avant Garde" w:hAnsi="ITC Avant Garde" w:cs="Arial"/>
          <w:color w:val="000000" w:themeColor="text1"/>
          <w:sz w:val="22"/>
          <w:szCs w:val="22"/>
        </w:rPr>
        <w:t>Force</w:t>
      </w:r>
      <w:proofErr w:type="spellEnd"/>
      <w:r w:rsidRPr="008762D1">
        <w:rPr>
          <w:rFonts w:ascii="ITC Avant Garde" w:hAnsi="ITC Avant Garde" w:cs="Arial"/>
          <w:color w:val="000000" w:themeColor="text1"/>
          <w:sz w:val="22"/>
          <w:szCs w:val="22"/>
        </w:rPr>
        <w:t xml:space="preserve"> (IETF, por sus siglas en inglés) y con las características  técnicas indicadas en el Anexo A.</w:t>
      </w:r>
    </w:p>
    <w:p w14:paraId="36759C96" w14:textId="77777777" w:rsidR="000F0B9F" w:rsidRPr="008762D1" w:rsidRDefault="00526FE9" w:rsidP="00964F7E">
      <w:pPr>
        <w:pStyle w:val="Textosinformato"/>
        <w:numPr>
          <w:ilvl w:val="0"/>
          <w:numId w:val="31"/>
        </w:numPr>
        <w:tabs>
          <w:tab w:val="clear" w:pos="1800"/>
          <w:tab w:val="num" w:pos="720"/>
        </w:tabs>
        <w:ind w:left="72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Las Partes deberán implementar los equipos, protocolos y procedimientos técnicos a  fin de cumplir con lo dispuesto en el Plan Técnico Fundamental de Numeración y en  el numeral 8 del Plan Técnico Fundamental de Señalización respecto a la  información que se deberá enviar de acuerdo al tipo de tráfico público conmutado  que entreguen. </w:t>
      </w:r>
    </w:p>
    <w:p w14:paraId="5C134F62" w14:textId="77777777" w:rsidR="000F0B9F" w:rsidRPr="008762D1" w:rsidRDefault="00526FE9" w:rsidP="00964F7E">
      <w:pPr>
        <w:pStyle w:val="Textosinformato"/>
        <w:numPr>
          <w:ilvl w:val="0"/>
          <w:numId w:val="32"/>
        </w:numPr>
        <w:jc w:val="both"/>
        <w:rPr>
          <w:rFonts w:ascii="ITC Avant Garde" w:hAnsi="ITC Avant Garde" w:cs="Arial"/>
          <w:color w:val="000000" w:themeColor="text1"/>
          <w:sz w:val="22"/>
          <w:szCs w:val="22"/>
          <w:lang w:eastAsia="en-US"/>
        </w:rPr>
      </w:pPr>
      <w:r w:rsidRPr="008762D1">
        <w:rPr>
          <w:rFonts w:ascii="ITC Avant Garde" w:hAnsi="ITC Avant Garde" w:cs="Arial"/>
          <w:color w:val="000000" w:themeColor="text1"/>
          <w:sz w:val="22"/>
          <w:szCs w:val="22"/>
        </w:rPr>
        <w:t>Dentro de la interfaz activa se incrementará la capacidad de manejo de tráfico con incrementos de 10 Mbps o 100 Mbps. Los crecimientos se realizarán al llegar al 85% de ocupación de la interfaz.</w:t>
      </w:r>
    </w:p>
    <w:p w14:paraId="7508C0CC" w14:textId="10FD2F7C"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lastRenderedPageBreak/>
        <w:t xml:space="preserve">5.7.4 </w:t>
      </w:r>
      <w:r w:rsidRPr="008762D1">
        <w:rPr>
          <w:rFonts w:ascii="ITC Avant Garde" w:hAnsi="ITC Avant Garde" w:cs="Arial"/>
          <w:b/>
          <w:color w:val="000000" w:themeColor="text1"/>
          <w:u w:val="single"/>
        </w:rPr>
        <w:t>Realización Física de la Señalización cuando se utilice señalización número 7</w:t>
      </w:r>
      <w:r w:rsidRPr="008762D1">
        <w:rPr>
          <w:rFonts w:ascii="ITC Avant Garde" w:hAnsi="ITC Avant Garde" w:cs="Arial"/>
          <w:color w:val="000000" w:themeColor="text1"/>
        </w:rPr>
        <w:t>. En caso de que ambas redes utilicen señalización número 7 y cuenten con Puntos de Transferencia de Señalización, la Interconexión de éstos se realizará bajo el principio de que cada una de las Partes cubrirá sus propios costos, compartiendo el costo del enlace para transmisión de Interconexión correspondiente, o bien, utilizando los Enlaces Dedicados de Interconexión existentes para el manejo de Tráfico o los Enlaces de Señalización que alguna de las Partes o cualquiera filial de alguna de ellas tenga instalados.</w:t>
      </w:r>
    </w:p>
    <w:p w14:paraId="0937EFD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14:paraId="74E3DCD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43328B5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3C05CE9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14:paraId="70C4433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Para efectos del intercambio de información las Partes convienen en sujetarse a lo dispuesto por el Plan de Señalización, no obstante lo anterior, las Partes podrán intercambiar información adicional observando al menos lo siguiente:</w:t>
      </w:r>
    </w:p>
    <w:p w14:paraId="718F8439" w14:textId="77777777" w:rsidR="000F0B9F" w:rsidRPr="008762D1" w:rsidRDefault="00526FE9" w:rsidP="000F0B9F">
      <w:pPr>
        <w:numPr>
          <w:ilvl w:val="0"/>
          <w:numId w:val="33"/>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Abstenerse de llevar a cabo acciones que deriven en el ocultamiento o interpretación errónea del origen o naturaleza del Tráfico.</w:t>
      </w:r>
    </w:p>
    <w:p w14:paraId="3CBBB853" w14:textId="77777777" w:rsidR="000F0B9F" w:rsidRPr="008762D1" w:rsidRDefault="00526FE9" w:rsidP="000F0B9F">
      <w:pPr>
        <w:numPr>
          <w:ilvl w:val="0"/>
          <w:numId w:val="33"/>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Abstenerse de llevar a cabo acciones que deriven en una interpretación errónea con respecto a las contraprestaciones establecidas en el presente convenio.</w:t>
      </w:r>
    </w:p>
    <w:p w14:paraId="3F9C9FAA" w14:textId="28BFE7E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Telmex deberá permitir la Interconexión utilizando protocolos de señalización o estándares de transmisión que esté utilizando en su interconexión con otros operadores de telecomunicaciones, cuando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así lo solicite.</w:t>
      </w:r>
    </w:p>
    <w:p w14:paraId="5DB2124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5.8. CAMBIOS A LA INTERCONEXIÓN</w:t>
      </w:r>
      <w:r w:rsidRPr="008762D1">
        <w:rPr>
          <w:rFonts w:ascii="ITC Avant Garde" w:hAnsi="ITC Avant Garde" w:cs="Arial"/>
          <w:color w:val="000000" w:themeColor="text1"/>
        </w:rPr>
        <w:t>.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uno de las Partes, ésta deberá cubrir los costos asociados a la adecuación de los Puntos de Interconexión o Enlaces Dedicados de Interconexión necesarios.</w:t>
      </w:r>
    </w:p>
    <w:p w14:paraId="4D87B5B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Tratándose de cambios acordados por ambas partes, o que deriven del cumplimiento de alguna resolución emitida por el Instituto, cada Parte cubrirá sus propios costos.</w:t>
      </w:r>
    </w:p>
    <w:p w14:paraId="6FF5C3E6"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SEXTA</w:t>
      </w:r>
      <w:r w:rsidRPr="008762D1">
        <w:rPr>
          <w:rFonts w:ascii="ITC Avant Garde" w:hAnsi="ITC Avant Garde" w:cs="Arial"/>
          <w:color w:val="000000" w:themeColor="text1"/>
        </w:rPr>
        <w:t>.</w:t>
      </w:r>
    </w:p>
    <w:p w14:paraId="58A3EC6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RESPONSABILIDADES</w:t>
      </w:r>
      <w:r w:rsidRPr="008762D1">
        <w:rPr>
          <w:rFonts w:ascii="ITC Avant Garde" w:hAnsi="ITC Avant Garde" w:cs="Arial"/>
          <w:color w:val="000000" w:themeColor="text1"/>
        </w:rPr>
        <w:t>.</w:t>
      </w:r>
    </w:p>
    <w:p w14:paraId="5846309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6.1. </w:t>
      </w:r>
      <w:r w:rsidRPr="008762D1">
        <w:rPr>
          <w:rFonts w:ascii="ITC Avant Garde" w:hAnsi="ITC Avant Garde" w:cs="Arial"/>
          <w:b/>
          <w:color w:val="000000" w:themeColor="text1"/>
          <w:u w:val="single"/>
        </w:rPr>
        <w:t>GENERALES</w:t>
      </w:r>
      <w:r w:rsidRPr="008762D1">
        <w:rPr>
          <w:rFonts w:ascii="ITC Avant Garde" w:hAnsi="ITC Avant Garde" w:cs="Arial"/>
          <w:color w:val="000000" w:themeColor="text1"/>
        </w:rPr>
        <w:t>. Cada Parte es responsable del servicio que presta a su cliente. Por dicha razón cada una de las Partes de este Convenio sólo podrá exigir a la otra las responsabilidades en que hubiese podido incurrir por la prestación de un Servicio de Interconexión.</w:t>
      </w:r>
    </w:p>
    <w:p w14:paraId="442FC64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76342B4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Cada Parte contratante responderá de los daños y perjuicios directos causados a la otra por sus acciones u omisiones que supongan un incumplimiento de las obligaciones previstas en el presente Convenio y su Anexos.</w:t>
      </w:r>
    </w:p>
    <w:p w14:paraId="0760D6B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No existirá responsabilidad de los contratantes si los daños y perjuicios estuvieran causados por Caso Fortuito o Fuerza Mayor. En estos supuestos, la parte cuya red resultó afectada podrá en conocimiento de la otra la concurrencia los supuestos indicados, si es posible, su duración estimada y en todo caso, el momento de su cesación.</w:t>
      </w:r>
    </w:p>
    <w:p w14:paraId="3C794F6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0F66C0B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44F64B1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14:paraId="732F005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6.2 </w:t>
      </w:r>
      <w:r w:rsidRPr="008762D1">
        <w:rPr>
          <w:rFonts w:ascii="ITC Avant Garde" w:hAnsi="ITC Avant Garde" w:cs="Arial"/>
          <w:b/>
          <w:color w:val="000000" w:themeColor="text1"/>
          <w:u w:val="single"/>
        </w:rPr>
        <w:t>CALIDAD DE LOS SERVICIOS DE INTERCONEXION</w:t>
      </w:r>
      <w:r w:rsidRPr="008762D1">
        <w:rPr>
          <w:rFonts w:ascii="ITC Avant Garde" w:hAnsi="ITC Avant Garde" w:cs="Arial"/>
          <w:color w:val="000000" w:themeColor="text1"/>
        </w:rPr>
        <w:t>.</w:t>
      </w:r>
    </w:p>
    <w:p w14:paraId="157C58BF" w14:textId="0A5B1465"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Telmex se obliga a instalar, la capacidad suficiente para satisfacer la demanda de Servicios de Interconexión, a solicitud de </w:t>
      </w:r>
      <w:r w:rsidR="00F031E8" w:rsidRPr="00F031E8">
        <w:rPr>
          <w:rFonts w:ascii="ITC Avant Garde" w:hAnsi="ITC Avant Garde" w:cs="Arial"/>
          <w:b/>
          <w:color w:val="0000FF"/>
        </w:rPr>
        <w:t>(…)</w:t>
      </w:r>
      <w:r w:rsidRPr="008762D1">
        <w:rPr>
          <w:rFonts w:ascii="ITC Avant Garde" w:hAnsi="ITC Avant Garde" w:cs="Arial"/>
          <w:color w:val="000000" w:themeColor="text1"/>
        </w:rPr>
        <w:t xml:space="preserve"> incrementando la capacidad requerida una vez que ésta llegue a una ocupación del 85% (ochenta y cinco por ciento) en hora pico. De manera recíproca el Operador Solicitante se obliga a instalar la capacidad suficiente para satisfacer la demanda de Servicios de Interconexión a solicitud de Telmex.</w:t>
      </w:r>
    </w:p>
    <w:p w14:paraId="72206D7C" w14:textId="63E6D683"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Telmex se obliga a instalar la capacidad suficiente para satisfacer la demanda de tráfico de interconexión hacia la red de </w:t>
      </w:r>
      <w:r w:rsidR="00F031E8" w:rsidRPr="00F031E8">
        <w:rPr>
          <w:rFonts w:ascii="ITC Avant Garde" w:hAnsi="ITC Avant Garde" w:cs="Arial"/>
          <w:b/>
          <w:color w:val="0000FF"/>
        </w:rPr>
        <w:t>(…)</w:t>
      </w:r>
      <w:r w:rsidRPr="008762D1">
        <w:rPr>
          <w:rFonts w:ascii="ITC Avant Garde" w:hAnsi="ITC Avant Garde" w:cs="Arial"/>
          <w:color w:val="000000" w:themeColor="text1"/>
        </w:rPr>
        <w:t>, incrementando la capacidad una vez que esta llegue a una ocupación del 85% (ochenta y cinco por ciento) en hora pico.</w:t>
      </w:r>
    </w:p>
    <w:p w14:paraId="02DBB32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Las Partes reconocen que la calidad del servicio que experimenten los Usuarios de ambas Partes, depende de la calidad individual de cada una de las redes de ellas. </w:t>
      </w:r>
      <w:r w:rsidRPr="008762D1">
        <w:rPr>
          <w:rFonts w:ascii="ITC Avant Garde" w:hAnsi="ITC Avant Garde" w:cs="Arial"/>
          <w:color w:val="000000" w:themeColor="text1"/>
        </w:rPr>
        <w:lastRenderedPageBreak/>
        <w:t>Por ello se comprometen a realizar los mejores esfuerzos para mantener, a nivel adecuado, la calidad de sus respectivas redes.</w:t>
      </w:r>
    </w:p>
    <w:p w14:paraId="523EAD1C" w14:textId="50D4E6B3"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Telmex y </w:t>
      </w:r>
      <w:r w:rsidR="00F031E8" w:rsidRPr="00F031E8">
        <w:rPr>
          <w:rFonts w:ascii="ITC Avant Garde" w:hAnsi="ITC Avant Garde" w:cs="Arial"/>
          <w:b/>
          <w:color w:val="0000FF"/>
        </w:rPr>
        <w:t>(…)</w:t>
      </w:r>
      <w:r w:rsidRPr="008762D1">
        <w:rPr>
          <w:rFonts w:ascii="ITC Avant Garde" w:hAnsi="ITC Avant Garde" w:cs="Arial"/>
          <w:color w:val="000000" w:themeColor="text1"/>
        </w:rPr>
        <w:t xml:space="preserve"> garantizarán en su red los niveles de calidad descritos en el Anexo E.</w:t>
      </w:r>
    </w:p>
    <w:p w14:paraId="67315084" w14:textId="77777777" w:rsidR="000F0B9F" w:rsidRPr="008762D1" w:rsidRDefault="00526FE9" w:rsidP="000F0B9F">
      <w:pPr>
        <w:autoSpaceDE w:val="0"/>
        <w:autoSpaceDN w:val="0"/>
        <w:adjustRightInd w:val="0"/>
        <w:spacing w:before="240"/>
        <w:jc w:val="center"/>
        <w:rPr>
          <w:rFonts w:ascii="ITC Avant Garde" w:hAnsi="ITC Avant Garde" w:cs="Arial"/>
          <w:b/>
          <w:color w:val="000000" w:themeColor="text1"/>
        </w:rPr>
      </w:pPr>
      <w:r w:rsidRPr="008762D1">
        <w:rPr>
          <w:rFonts w:ascii="ITC Avant Garde" w:hAnsi="ITC Avant Garde" w:cs="Arial"/>
          <w:b/>
          <w:color w:val="000000" w:themeColor="text1"/>
        </w:rPr>
        <w:t>CLÁUSULA SÉPTIMA.</w:t>
      </w:r>
    </w:p>
    <w:p w14:paraId="6BFE470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7.1 </w:t>
      </w:r>
      <w:r w:rsidRPr="008762D1">
        <w:rPr>
          <w:rFonts w:ascii="ITC Avant Garde" w:hAnsi="ITC Avant Garde" w:cs="Arial"/>
          <w:b/>
          <w:color w:val="000000" w:themeColor="text1"/>
          <w:u w:val="single"/>
        </w:rPr>
        <w:t>SUSPENSIÓN TEMPORAL</w:t>
      </w:r>
      <w:r w:rsidRPr="008762D1">
        <w:rPr>
          <w:rFonts w:ascii="ITC Avant Garde" w:hAnsi="ITC Avant Garde" w:cs="Arial"/>
          <w:color w:val="000000" w:themeColor="text1"/>
        </w:rPr>
        <w:t>. Cuando se afecte la Interconexión e Interoperabilidad entre las redes, si sobreviniese un evento de Caso Fortuito o de Fuerza Mayor, que impidieren temporalmente a cualquiera de las Partes prestar los Servicios de Interconexión en los términos del presente Convenio, las Partes deberán proveerse mutuamente soluciones que les permitan restablecer, regularizar y garantizar la continuidad y calidad del servicio en tanto sea técnicamente factible en un tiempo inferior a 1 (una)hora</w:t>
      </w:r>
      <w:r w:rsidRPr="008762D1">
        <w:rPr>
          <w:rFonts w:ascii="ITC Avant Garde" w:hAnsi="ITC Avant Garde"/>
          <w:color w:val="000000" w:themeColor="text1"/>
        </w:rPr>
        <w:t xml:space="preserve">, </w:t>
      </w:r>
      <w:r w:rsidRPr="008762D1">
        <w:rPr>
          <w:rFonts w:ascii="ITC Avant Garde" w:hAnsi="ITC Avant Garde" w:cs="Arial"/>
          <w:color w:val="000000" w:themeColor="text1"/>
        </w:rPr>
        <w:t>a partir de que se presente el reporte respectivo y cuando la afectación sea parcial, el periodo máximo en que debe ser reparada será de 3 (tres) horas a partir de la presentación del reporte correspondiente.</w:t>
      </w:r>
    </w:p>
    <w:p w14:paraId="26BA71EA" w14:textId="77777777" w:rsidR="000F0B9F" w:rsidRPr="008762D1" w:rsidRDefault="00526FE9" w:rsidP="000F0B9F">
      <w:pPr>
        <w:pStyle w:val="IFTnormal"/>
        <w:spacing w:before="240" w:after="0" w:line="240" w:lineRule="auto"/>
        <w:rPr>
          <w:rFonts w:eastAsia="Times New Roman"/>
          <w:color w:val="000000" w:themeColor="text1"/>
          <w:lang w:val="es-ES"/>
        </w:rPr>
      </w:pPr>
      <w:r w:rsidRPr="008762D1">
        <w:rPr>
          <w:rFonts w:eastAsia="Times New Roman"/>
          <w:color w:val="000000" w:themeColor="text1"/>
          <w:lang w:val="es-ES"/>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w:t>
      </w:r>
      <w:proofErr w:type="gramStart"/>
      <w:r w:rsidRPr="008762D1">
        <w:rPr>
          <w:rFonts w:eastAsia="Times New Roman"/>
          <w:color w:val="000000" w:themeColor="text1"/>
          <w:lang w:val="es-ES"/>
        </w:rPr>
        <w:t>sea</w:t>
      </w:r>
      <w:proofErr w:type="gramEnd"/>
      <w:r w:rsidRPr="008762D1">
        <w:rPr>
          <w:rFonts w:eastAsia="Times New Roman"/>
          <w:color w:val="000000" w:themeColor="text1"/>
          <w:lang w:val="es-ES"/>
        </w:rPr>
        <w:t xml:space="preserve"> aclarado o determinado. Una vez determinado el origen y/o el sentido de la falla y/o afectación, la parte afectada por el Caso Fortuito o Fuerza Mayor llevará a cabo las acciones conducentes para lograr una solución lo antes posible. </w:t>
      </w:r>
    </w:p>
    <w:p w14:paraId="71D6D76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Si sobreviniese un Caso Fortuito o de Fuerza Mayor 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05C6CF6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tales casos, las Partes pagarán, según corresponda, las contraprestaciones correspondientes a los Servicios de Interconexión efectivamente prestados hasta el momento en que estos hubiesen sido suspendidos.</w:t>
      </w:r>
    </w:p>
    <w:p w14:paraId="0DA8315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7.2 </w:t>
      </w:r>
      <w:r w:rsidRPr="008762D1">
        <w:rPr>
          <w:rFonts w:ascii="ITC Avant Garde" w:hAnsi="ITC Avant Garde" w:cs="Arial"/>
          <w:b/>
          <w:color w:val="000000" w:themeColor="text1"/>
          <w:u w:val="single"/>
        </w:rPr>
        <w:t>CONTINUIDAD DE LOS SERVICIOS DE INTERCONEXIÓN EN VENTANAS DE MANTENIMIENTO</w:t>
      </w:r>
      <w:r w:rsidRPr="008762D1">
        <w:rPr>
          <w:rFonts w:ascii="ITC Avant Garde" w:hAnsi="ITC Avant Garde" w:cs="Arial"/>
          <w:color w:val="000000" w:themeColor="text1"/>
        </w:rPr>
        <w:t>.</w:t>
      </w:r>
    </w:p>
    <w:p w14:paraId="167F8EB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Las Partes deberán informarse mutuamente con cuando menos 2 (dos) días hábiles de anticipación, o antes si es razonablemente posible, acerca de cualquier trabajo, </w:t>
      </w:r>
      <w:r w:rsidRPr="008762D1">
        <w:rPr>
          <w:rFonts w:ascii="ITC Avant Garde" w:hAnsi="ITC Avant Garde" w:cs="Arial"/>
          <w:color w:val="000000" w:themeColor="text1"/>
        </w:rPr>
        <w:lastRenderedPageBreak/>
        <w:t>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5C322A5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Tratándose de labores de mantenimiento preventivo las Partes deberán programarse y coordinarse con una anticipación de 8 (ocho)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0A40DEC2" w14:textId="59D42B34"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En el caso de ser necesario para evitar la interrupción de los servicios de interconexión y siempre y cuando exista viabilidad de rutas alternas, Telmex proveerá a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rutas alternas que permitan mantener la continuidad de los Servicios de Interconexión afectados. </w:t>
      </w:r>
    </w:p>
    <w:p w14:paraId="400E5A3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06701264"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OCTAVA</w:t>
      </w:r>
      <w:r w:rsidRPr="008762D1">
        <w:rPr>
          <w:rFonts w:ascii="ITC Avant Garde" w:hAnsi="ITC Avant Garde" w:cs="Arial"/>
          <w:color w:val="000000" w:themeColor="text1"/>
        </w:rPr>
        <w:t>.</w:t>
      </w:r>
    </w:p>
    <w:p w14:paraId="4C39D17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CESIÓN Y ADHESIÓN</w:t>
      </w:r>
      <w:r w:rsidRPr="008762D1">
        <w:rPr>
          <w:rFonts w:ascii="ITC Avant Garde" w:hAnsi="ITC Avant Garde" w:cs="Arial"/>
          <w:color w:val="000000" w:themeColor="text1"/>
        </w:rPr>
        <w:t xml:space="preserve">.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w:t>
      </w:r>
      <w:r w:rsidRPr="008762D1">
        <w:rPr>
          <w:rFonts w:ascii="ITC Avant Garde" w:hAnsi="ITC Avant Garde" w:cs="Arial"/>
          <w:color w:val="000000" w:themeColor="text1"/>
        </w:rPr>
        <w:lastRenderedPageBreak/>
        <w:t>cobrar estará sujeta a las defensas causales o personales entre las Partes, salvo el caso de facturas no objetadas conforme a este Convenio.</w:t>
      </w:r>
    </w:p>
    <w:p w14:paraId="63A803B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6EF3FB0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14:paraId="2780D444"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NOVENA</w:t>
      </w:r>
      <w:r w:rsidRPr="008762D1">
        <w:rPr>
          <w:rFonts w:ascii="ITC Avant Garde" w:hAnsi="ITC Avant Garde" w:cs="Arial"/>
          <w:color w:val="000000" w:themeColor="text1"/>
        </w:rPr>
        <w:t>.</w:t>
      </w:r>
    </w:p>
    <w:p w14:paraId="298FE8B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PROPIEDAD Y POSESIÓN DE BIENES</w:t>
      </w:r>
      <w:r w:rsidRPr="008762D1">
        <w:rPr>
          <w:rFonts w:ascii="ITC Avant Garde" w:hAnsi="ITC Avant Garde" w:cs="Arial"/>
          <w:color w:val="000000" w:themeColor="text1"/>
        </w:rPr>
        <w:t xml:space="preserve">. En el supuesto de que los equipos y dispositivos hubiesen sido situados en los Sitios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o inmuebles de la otra Parte, por ningún motivo se entenderá o presumirá que dicha Parte ha concedido a la otra la posesión sobre dichos Sitios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o inmuebles u otorgado el uso o cualquier derecho real sobre los mismos o, en su caso, sobre los equipos y dispositivos.</w:t>
      </w:r>
    </w:p>
    <w:p w14:paraId="67FCB8A5"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DÉCIMA</w:t>
      </w:r>
      <w:r w:rsidRPr="008762D1">
        <w:rPr>
          <w:rFonts w:ascii="ITC Avant Garde" w:hAnsi="ITC Avant Garde" w:cs="Arial"/>
          <w:color w:val="000000" w:themeColor="text1"/>
        </w:rPr>
        <w:t>.</w:t>
      </w:r>
    </w:p>
    <w:p w14:paraId="0FFE25C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SEGUROS Y RELACIONES LABORALES</w:t>
      </w:r>
      <w:r w:rsidRPr="008762D1">
        <w:rPr>
          <w:rFonts w:ascii="ITC Avant Garde" w:hAnsi="ITC Avant Garde" w:cs="Arial"/>
          <w:color w:val="000000" w:themeColor="text1"/>
        </w:rPr>
        <w:t xml:space="preserve">. Cada una de las Partes se obliga a contratar y mantener vigente una póliza de seguro, así como cualquier cobertura adicional, para cubrir los riesgos que por la instalación y operación de los equipos y dispositivos en los Sitios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se pudiesen derivar para la red de cualquiera de las Partes y los Sitios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mismos; en el entendido de que las Partes deberán designarse como recíprocamente beneficiarias en cada una de las pólizas correspondientes.</w:t>
      </w:r>
    </w:p>
    <w:p w14:paraId="0589BE4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Estos seguros deberán ser contratados con instituciones de seguros legalmente autorizadas por la Secretaría de Hacienda y Crédito Público.</w:t>
      </w:r>
    </w:p>
    <w:p w14:paraId="2CA47C6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w:t>
      </w:r>
      <w:r w:rsidRPr="008762D1">
        <w:rPr>
          <w:rFonts w:ascii="ITC Avant Garde" w:hAnsi="ITC Avant Garde" w:cs="Arial"/>
          <w:color w:val="000000" w:themeColor="text1"/>
        </w:rPr>
        <w:lastRenderedPageBreak/>
        <w:t>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53A67EA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53A5C12"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DÉCIMOPRIMERA</w:t>
      </w:r>
      <w:r w:rsidRPr="008762D1">
        <w:rPr>
          <w:rFonts w:ascii="ITC Avant Garde" w:hAnsi="ITC Avant Garde" w:cs="Arial"/>
          <w:color w:val="000000" w:themeColor="text1"/>
        </w:rPr>
        <w:t>.</w:t>
      </w:r>
    </w:p>
    <w:p w14:paraId="52B4D98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CONDUCTAS FRAUDULENTAS</w:t>
      </w:r>
      <w:r w:rsidRPr="008762D1">
        <w:rPr>
          <w:rFonts w:ascii="ITC Avant Garde" w:hAnsi="ITC Avant Garde" w:cs="Arial"/>
          <w:color w:val="000000" w:themeColor="text1"/>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14:paraId="1A91C30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se aplicará tanto para el tráfico de la Parte como para el tráfico de un operador tercero que transporte por Enlaces Dedicados de Interconexión o Tránsito de alguna de las Partes.</w:t>
      </w:r>
    </w:p>
    <w:p w14:paraId="712BDE8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Asimismo, las Partes se obligan a no utilizar ningún mecanismo fraudulento con el objeto de evitar el pago de cualquier contraprestación a favor de alguna de ellas que se deba generar bajo el presente Convenio, incluyendo de manera </w:t>
      </w:r>
      <w:r w:rsidRPr="008762D1">
        <w:rPr>
          <w:rFonts w:ascii="ITC Avant Garde" w:hAnsi="ITC Avant Garde" w:cs="Arial"/>
          <w:color w:val="000000" w:themeColor="text1"/>
        </w:rPr>
        <w:lastRenderedPageBreak/>
        <w:t>enunciativa más no limitativa, a la evasión del pago de contraprestaciones originadas por la prestación de Servicios de Interconexión.</w:t>
      </w:r>
    </w:p>
    <w:p w14:paraId="363BECA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cualquier caso, las consecuencias económicas de un posible fraude de los Usuarios de la red de una parte no son trasladables a la otra parte, salvo por incumplimiento de las obligaciones que las Partes asuman.</w:t>
      </w:r>
    </w:p>
    <w:p w14:paraId="1997146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Para facilitar la prevención del tráfico irregular, fraude o morosidad, las Partes se intercambiarán las informaciones oportunas permitidas por la legislación vigente que se acuerden. </w:t>
      </w:r>
    </w:p>
    <w:p w14:paraId="4E43E6E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Cuando se detecte un caso de fraude o morosidad, ambas Partes cooperaran, para comprobarlo, controlarlo y resolverlo en el plazo más breve posible.</w:t>
      </w:r>
    </w:p>
    <w:p w14:paraId="14800D9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Las Partes reconocen la facultad que legalmente corresponde al Instituto para realizar inspecciones, verificaciones y </w:t>
      </w:r>
      <w:proofErr w:type="spellStart"/>
      <w:r w:rsidRPr="008762D1">
        <w:rPr>
          <w:rFonts w:ascii="ITC Avant Garde" w:hAnsi="ITC Avant Garde" w:cs="Arial"/>
          <w:color w:val="000000" w:themeColor="text1"/>
        </w:rPr>
        <w:t>monitoreos</w:t>
      </w:r>
      <w:proofErr w:type="spellEnd"/>
      <w:r w:rsidRPr="008762D1">
        <w:rPr>
          <w:rFonts w:ascii="ITC Avant Garde" w:hAnsi="ITC Avant Garde" w:cs="Arial"/>
          <w:color w:val="000000" w:themeColor="text1"/>
        </w:rPr>
        <w:t xml:space="preserve">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36C4EA2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14:paraId="16CAF4F6"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DECIMOSEGUNDA</w:t>
      </w:r>
      <w:r w:rsidRPr="008762D1">
        <w:rPr>
          <w:rFonts w:ascii="ITC Avant Garde" w:hAnsi="ITC Avant Garde" w:cs="Arial"/>
          <w:color w:val="000000" w:themeColor="text1"/>
        </w:rPr>
        <w:t>.</w:t>
      </w:r>
    </w:p>
    <w:p w14:paraId="1F4E312B" w14:textId="42A7BCD2"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12.1. TRATO NO DISCRIMINATORIO</w:t>
      </w:r>
      <w:r w:rsidRPr="008762D1">
        <w:rPr>
          <w:rFonts w:ascii="ITC Avant Garde" w:hAnsi="ITC Avant Garde" w:cs="Arial"/>
          <w:color w:val="000000" w:themeColor="text1"/>
        </w:rPr>
        <w:t xml:space="preserve">. Telmex y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convienen en que deberán actuar sobre bases de Trato No Discriminatorio respecto de los Servicios de Interconexión que provean a otros concesionarios.</w:t>
      </w:r>
    </w:p>
    <w:p w14:paraId="290E4F7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En caso de que Telmex haya otorgado u otorgue, ya sea por acuerdo o por resolución del Instituto términos, condiciones o tarifas distintas a otros Concesionarios, a sus propias operaciones, subsidiarias, filiales o empresas que pertenezcan al mismo grupo de interés económico respecto de servicios de interconexión deberá hacer extensivos los mismos términos y condiciones al concesionario, en términos del artículo 125 de la Ley a partir de la fecha en que se </w:t>
      </w:r>
      <w:r w:rsidRPr="008762D1">
        <w:rPr>
          <w:rFonts w:ascii="ITC Avant Garde" w:hAnsi="ITC Avant Garde" w:cs="Arial"/>
          <w:color w:val="000000" w:themeColor="text1"/>
        </w:rPr>
        <w:lastRenderedPageBreak/>
        <w:t>lo soliciten. A petición del concesionario, podrán celebrar el convenio o la modificación correspondiente, en un plazo no mayor a 20 (veinte) días hábiles contados a partir de la fecha de solicitud.</w:t>
      </w:r>
    </w:p>
    <w:p w14:paraId="5F208041"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DECIMOTERCERA</w:t>
      </w:r>
      <w:r w:rsidRPr="008762D1">
        <w:rPr>
          <w:rFonts w:ascii="ITC Avant Garde" w:hAnsi="ITC Avant Garde" w:cs="Arial"/>
          <w:color w:val="000000" w:themeColor="text1"/>
        </w:rPr>
        <w:t>.</w:t>
      </w:r>
    </w:p>
    <w:p w14:paraId="7D81FAA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13.1 ACCESO IRRESTRICTO</w:t>
      </w:r>
      <w:r w:rsidRPr="008762D1">
        <w:rPr>
          <w:rFonts w:ascii="ITC Avant Garde" w:hAnsi="ITC Avant Garde" w:cs="Arial"/>
          <w:color w:val="000000" w:themeColor="text1"/>
        </w:rPr>
        <w:t>. Telmex acuerda permitir a sus Usuarios,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81BF05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En ningún caso Telmex podrá obligar al pago de elementos o funcionalidades de la Red que no se requieran para la Interconexión o para la prestación de los Servicios de Interconexión. </w:t>
      </w:r>
    </w:p>
    <w:p w14:paraId="32B68AF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13.2 USO COMPARTIDO DE INFRAESTRUCTURA</w:t>
      </w:r>
      <w:r w:rsidRPr="008762D1">
        <w:rPr>
          <w:rFonts w:ascii="ITC Avant Garde" w:hAnsi="ITC Avant Garde" w:cs="Arial"/>
          <w:color w:val="000000" w:themeColor="text1"/>
        </w:rPr>
        <w:t xml:space="preserve">. Las partes acuerdan que Telmex se encuentra obligado a permitir el Uso Compartido de Infraestructura, para fines de interconexión. </w:t>
      </w:r>
    </w:p>
    <w:p w14:paraId="713EF34F"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DECIMOCUARTA</w:t>
      </w:r>
      <w:r w:rsidRPr="008762D1">
        <w:rPr>
          <w:rFonts w:ascii="ITC Avant Garde" w:hAnsi="ITC Avant Garde" w:cs="Arial"/>
          <w:color w:val="000000" w:themeColor="text1"/>
        </w:rPr>
        <w:t>.</w:t>
      </w:r>
    </w:p>
    <w:p w14:paraId="5BC3FB41" w14:textId="1FFE1381" w:rsidR="00526FE9" w:rsidRPr="008762D1" w:rsidRDefault="00526FE9" w:rsidP="000F0B9F">
      <w:pPr>
        <w:autoSpaceDE w:val="0"/>
        <w:autoSpaceDN w:val="0"/>
        <w:adjustRightInd w:val="0"/>
        <w:spacing w:before="240"/>
        <w:jc w:val="both"/>
        <w:rPr>
          <w:rFonts w:ascii="ITC Avant Garde" w:hAnsi="ITC Avant Garde" w:cs="Arial"/>
          <w:strike/>
          <w:color w:val="000000" w:themeColor="text1"/>
        </w:rPr>
      </w:pPr>
      <w:r w:rsidRPr="008762D1">
        <w:rPr>
          <w:rFonts w:ascii="ITC Avant Garde" w:hAnsi="ITC Avant Garde" w:cs="Arial"/>
          <w:b/>
          <w:color w:val="000000" w:themeColor="text1"/>
        </w:rPr>
        <w:t>CAUSALES DE RESCISIÓN</w:t>
      </w:r>
      <w:r w:rsidRPr="008762D1">
        <w:rPr>
          <w:rFonts w:ascii="ITC Avant Garde" w:hAnsi="ITC Avant Garde" w:cs="Arial"/>
          <w:color w:val="000000" w:themeColor="text1"/>
        </w:rPr>
        <w:t>. Son causas de rescisión del presente Convenio, además de cualquiera otra establecida al efecto en el mismo, los eventos que a continuación se describen.</w:t>
      </w:r>
    </w:p>
    <w:p w14:paraId="506E9F76" w14:textId="7CC23612"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14.1 REVOCACIÓN DE LA CONCESIÓN DE ALGUNA DE LAS PARTES</w:t>
      </w:r>
      <w:r w:rsidRPr="008762D1">
        <w:rPr>
          <w:rFonts w:ascii="ITC Avant Garde" w:hAnsi="ITC Avant Garde" w:cs="Arial"/>
          <w:color w:val="000000" w:themeColor="text1"/>
        </w:rPr>
        <w:t xml:space="preserve">. Si el Instituto o cualquier autoridad competente revocara la concesión otorgada en favor de Telmex o de </w:t>
      </w:r>
      <w:r w:rsidR="00F031E8" w:rsidRPr="00F031E8">
        <w:rPr>
          <w:rFonts w:ascii="ITC Avant Garde" w:hAnsi="ITC Avant Garde" w:cs="Arial"/>
          <w:b/>
          <w:color w:val="0000FF"/>
        </w:rPr>
        <w:t>(…)</w:t>
      </w:r>
      <w:r w:rsidRPr="008762D1">
        <w:rPr>
          <w:rFonts w:ascii="ITC Avant Garde" w:hAnsi="ITC Avant Garde" w:cs="Arial"/>
          <w:color w:val="000000" w:themeColor="text1"/>
        </w:rPr>
        <w:t>, según corresponda, conforme a lo previsto en las Declaraciones I b) y II b) de este instrumento y la resolución de revocación hubiese quedado firme, para todos los efectos legales a que hubiese lugar.</w:t>
      </w:r>
    </w:p>
    <w:p w14:paraId="72F4B62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14.2 RESCISIÓN POR INCUMPLIMIENTO A OBLIGACIONES DE PAGO</w:t>
      </w:r>
      <w:r w:rsidRPr="008762D1">
        <w:rPr>
          <w:rFonts w:ascii="ITC Avant Garde" w:hAnsi="ITC Avant Garde" w:cs="Arial"/>
          <w:color w:val="000000" w:themeColor="text1"/>
        </w:rPr>
        <w:t>.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0B8EB74D" w14:textId="77777777" w:rsidR="000F0B9F" w:rsidRPr="008762D1" w:rsidRDefault="00526FE9" w:rsidP="000F0B9F">
      <w:pPr>
        <w:autoSpaceDE w:val="0"/>
        <w:autoSpaceDN w:val="0"/>
        <w:adjustRightInd w:val="0"/>
        <w:spacing w:before="240"/>
        <w:jc w:val="both"/>
        <w:rPr>
          <w:rFonts w:ascii="ITC Avant Garde" w:hAnsi="ITC Avant Garde" w:cs="Times New Roman"/>
          <w:color w:val="000000" w:themeColor="text1"/>
          <w:u w:val="single"/>
        </w:rPr>
      </w:pPr>
      <w:r w:rsidRPr="008762D1">
        <w:rPr>
          <w:rFonts w:ascii="ITC Avant Garde" w:hAnsi="ITC Avant Garde" w:cs="Arial"/>
          <w:color w:val="000000" w:themeColor="text1"/>
        </w:rPr>
        <w:t xml:space="preserve">Si alguna de las Partes incumple en el pago de contraprestaciones debidas a la otra por Servicios de Interconexión por más de 30 (treinta) días naturales a partir del </w:t>
      </w:r>
      <w:r w:rsidRPr="008762D1">
        <w:rPr>
          <w:rFonts w:ascii="ITC Avant Garde" w:hAnsi="ITC Avant Garde" w:cs="Arial"/>
          <w:color w:val="000000" w:themeColor="text1"/>
        </w:rPr>
        <w:lastRenderedPageBreak/>
        <w:t xml:space="preserve">vencimiento de la deuda correspondiente, siempre y cuando el monto no se encuentre en procedimiento de disputa conforme al presente Convenio. </w:t>
      </w:r>
    </w:p>
    <w:p w14:paraId="0520059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el entendido de que la falta de pago de aquellas Facturas Objetadas en proceso de resolución no será considerada como incumplimiento a obligación de pago alguna, hasta en tanto se agote el procedimiento establecido en el presente Convenio.</w:t>
      </w:r>
    </w:p>
    <w:p w14:paraId="0F4C3D8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A9D38C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7DE9219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Conforme a las estipulaciones contenidas en la Ley, las Partes se abstendrán de interrumpir el tráfico de señales de telecomunicaciones entre concesionarios interconectados, sin la previa autorización del Instituto. </w:t>
      </w:r>
    </w:p>
    <w:p w14:paraId="2DAC2DC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 xml:space="preserve">14.3 CONDUCTAS FRAUDULENTAS. </w:t>
      </w:r>
      <w:r w:rsidRPr="008762D1">
        <w:rPr>
          <w:rFonts w:ascii="ITC Avant Garde" w:hAnsi="ITC Avant Garde" w:cs="Arial"/>
          <w:color w:val="000000" w:themeColor="text1"/>
        </w:rPr>
        <w:t>Si alguna de las Partes incurre en alguna práctica a las que hace referencia la Cláusula Décima Primera -Conductas Fraudulentas- del presente Convenio.</w:t>
      </w:r>
    </w:p>
    <w:p w14:paraId="3C8ADFB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14.4 LIQUIDACIÓN, INSOLVENCIA O QUIEBRA</w:t>
      </w:r>
      <w:r w:rsidRPr="008762D1">
        <w:rPr>
          <w:rFonts w:ascii="ITC Avant Garde" w:hAnsi="ITC Avant Garde" w:cs="Arial"/>
          <w:color w:val="000000" w:themeColor="text1"/>
        </w:rPr>
        <w:t>.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5406D60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14:paraId="390DDD85"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DECIMOQUINTA</w:t>
      </w:r>
      <w:r w:rsidRPr="008762D1">
        <w:rPr>
          <w:rFonts w:ascii="ITC Avant Garde" w:hAnsi="ITC Avant Garde" w:cs="Arial"/>
          <w:color w:val="000000" w:themeColor="text1"/>
        </w:rPr>
        <w:t>.</w:t>
      </w:r>
    </w:p>
    <w:p w14:paraId="7487C7BC" w14:textId="254DE9C4"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VIGENCIA</w:t>
      </w:r>
      <w:r w:rsidRPr="008762D1">
        <w:rPr>
          <w:rFonts w:ascii="ITC Avant Garde" w:hAnsi="ITC Avant Garde" w:cs="Arial"/>
          <w:color w:val="000000" w:themeColor="text1"/>
        </w:rPr>
        <w:t>.</w:t>
      </w:r>
    </w:p>
    <w:p w14:paraId="3BEE1D4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15.1 </w:t>
      </w:r>
      <w:r w:rsidRPr="008762D1">
        <w:rPr>
          <w:rFonts w:ascii="ITC Avant Garde" w:hAnsi="ITC Avant Garde" w:cs="Arial"/>
          <w:b/>
          <w:color w:val="000000" w:themeColor="text1"/>
          <w:u w:val="single"/>
        </w:rPr>
        <w:t>PLAZO INICIAL</w:t>
      </w:r>
      <w:r w:rsidRPr="008762D1">
        <w:rPr>
          <w:rFonts w:ascii="ITC Avant Garde" w:hAnsi="ITC Avant Garde" w:cs="Arial"/>
          <w:color w:val="000000" w:themeColor="text1"/>
        </w:rPr>
        <w:t>. El presente Convenio tendrá una vigencia de un año que abarca del 1 de enero al 31 de diciembre de 2018, salvo que sea modificado, terminado anticipadamente o rescindido conforme a lo previsto en el presente convenio y demás disposiciones aplicables.</w:t>
      </w:r>
    </w:p>
    <w:p w14:paraId="69771F1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Sin embargo, si al concluir el plazo del presente Convenio, las Partes continúan siendo titulares de una concesión de las previstas en la ley, los términos y condiciones del presente Convenio continuarán aplicándose hasta que, las Partes celebren un nuevo convenio de interconexión o exista una resolución emitida por parte del Instituto al respecto.</w:t>
      </w:r>
    </w:p>
    <w:p w14:paraId="44BC663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En todo caso, las obligaciones de pago líquidas y exigibles derivadas del presente Convenio relacionadas con los Servicios de Interconexión efectivamente prestados subsistirán hasta su debida e íntegra </w:t>
      </w:r>
      <w:proofErr w:type="spellStart"/>
      <w:r w:rsidRPr="008762D1">
        <w:rPr>
          <w:rFonts w:ascii="ITC Avant Garde" w:hAnsi="ITC Avant Garde" w:cs="Arial"/>
          <w:color w:val="000000" w:themeColor="text1"/>
        </w:rPr>
        <w:t>solventación</w:t>
      </w:r>
      <w:proofErr w:type="spellEnd"/>
      <w:r w:rsidRPr="008762D1">
        <w:rPr>
          <w:rFonts w:ascii="ITC Avant Garde" w:hAnsi="ITC Avant Garde" w:cs="Arial"/>
          <w:color w:val="000000" w:themeColor="text1"/>
        </w:rPr>
        <w:t>.</w:t>
      </w:r>
    </w:p>
    <w:p w14:paraId="5F6568C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Partes podrán iniciar las negociaciones del nuevo Convenio, para efectos de que al momento de la terminación por vigencia del presente Convenio ya estén en posibilidad de firmar un nuevo convenio de interconexión para el año siguiente.</w:t>
      </w:r>
    </w:p>
    <w:p w14:paraId="0E385F4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15.2. </w:t>
      </w:r>
      <w:r w:rsidRPr="008762D1">
        <w:rPr>
          <w:rFonts w:ascii="ITC Avant Garde" w:hAnsi="ITC Avant Garde" w:cs="Arial"/>
          <w:b/>
          <w:color w:val="000000" w:themeColor="text1"/>
          <w:u w:val="single"/>
        </w:rPr>
        <w:t>REVISIÓN DEL CONVENIO</w:t>
      </w:r>
      <w:r w:rsidRPr="008762D1">
        <w:rPr>
          <w:rFonts w:ascii="ITC Avant Garde" w:hAnsi="ITC Avant Garde" w:cs="Arial"/>
          <w:color w:val="000000" w:themeColor="text1"/>
        </w:rPr>
        <w:t>. Telmex deberá presentar a más tardar el 30 de junio de cada año, para aprobación del Instituto las modificaciones al Convenio Marco de Interconexión que pretende aplicarse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 garantizando condiciones de certidumbre jurídica y confidencialidad para Telmex.</w:t>
      </w:r>
    </w:p>
    <w:p w14:paraId="41B3FF73"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DECIMOSEXTA</w:t>
      </w:r>
      <w:r w:rsidRPr="008762D1">
        <w:rPr>
          <w:rFonts w:ascii="ITC Avant Garde" w:hAnsi="ITC Avant Garde" w:cs="Arial"/>
          <w:color w:val="000000" w:themeColor="text1"/>
        </w:rPr>
        <w:t>.</w:t>
      </w:r>
    </w:p>
    <w:p w14:paraId="26FFD47C"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u w:val="single"/>
        </w:rPr>
      </w:pPr>
      <w:r w:rsidRPr="008762D1">
        <w:rPr>
          <w:rFonts w:ascii="ITC Avant Garde" w:hAnsi="ITC Avant Garde" w:cs="Arial"/>
          <w:b/>
          <w:color w:val="000000" w:themeColor="text1"/>
          <w:u w:val="single"/>
        </w:rPr>
        <w:t>AVISOS Y NOTIFICACIONES</w:t>
      </w:r>
    </w:p>
    <w:p w14:paraId="49638AB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16.1 </w:t>
      </w:r>
      <w:r w:rsidRPr="008762D1">
        <w:rPr>
          <w:rFonts w:ascii="ITC Avant Garde" w:hAnsi="ITC Avant Garde" w:cs="Arial"/>
          <w:b/>
          <w:color w:val="000000" w:themeColor="text1"/>
          <w:u w:val="single"/>
        </w:rPr>
        <w:t>DOMICILIO DE LAS PARTES</w:t>
      </w:r>
      <w:r w:rsidRPr="008762D1">
        <w:rPr>
          <w:rFonts w:ascii="ITC Avant Garde" w:hAnsi="ITC Avant Garde" w:cs="Arial"/>
          <w:color w:val="000000" w:themeColor="text1"/>
        </w:rPr>
        <w:t xml:space="preserve">. Para todo lo relativo o relacionado con este Convenio o para todas las notificaciones, comunicaciones o avisos que las Partes </w:t>
      </w:r>
      <w:r w:rsidRPr="008762D1">
        <w:rPr>
          <w:rFonts w:ascii="ITC Avant Garde" w:hAnsi="ITC Avant Garde" w:cs="Arial"/>
          <w:color w:val="000000" w:themeColor="text1"/>
        </w:rPr>
        <w:lastRenderedPageBreak/>
        <w:t xml:space="preserve">deban darse en cumplimiento del presente Convenio, éstas designan como sus domicilios convencionales, los siguientes: </w:t>
      </w:r>
    </w:p>
    <w:p w14:paraId="055A8F16" w14:textId="0AA575E3"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Telmex:</w:t>
      </w:r>
      <w:r w:rsidRPr="008762D1">
        <w:rPr>
          <w:rFonts w:ascii="ITC Avant Garde" w:hAnsi="ITC Avant Garde" w:cs="Arial"/>
          <w:color w:val="000000" w:themeColor="text1"/>
        </w:rPr>
        <w:tab/>
      </w:r>
      <w:r w:rsidRPr="008762D1">
        <w:rPr>
          <w:rFonts w:ascii="ITC Avant Garde" w:hAnsi="ITC Avant Garde" w:cs="Arial"/>
          <w:b/>
          <w:color w:val="000000" w:themeColor="text1"/>
        </w:rPr>
        <w:t>Teléfonos de México, S.A.B. de C.V.</w:t>
      </w:r>
    </w:p>
    <w:p w14:paraId="7E2FEF78" w14:textId="77777777" w:rsidR="00526FE9" w:rsidRPr="008762D1" w:rsidRDefault="00526FE9" w:rsidP="00964F7E">
      <w:pPr>
        <w:autoSpaceDE w:val="0"/>
        <w:autoSpaceDN w:val="0"/>
        <w:adjustRightInd w:val="0"/>
        <w:spacing w:after="0"/>
        <w:ind w:left="2835"/>
        <w:jc w:val="both"/>
        <w:rPr>
          <w:rFonts w:ascii="ITC Avant Garde" w:hAnsi="ITC Avant Garde" w:cs="Arial"/>
          <w:color w:val="000000" w:themeColor="text1"/>
        </w:rPr>
      </w:pPr>
      <w:r w:rsidRPr="008762D1">
        <w:rPr>
          <w:rFonts w:ascii="ITC Avant Garde" w:hAnsi="ITC Avant Garde" w:cs="Arial"/>
          <w:color w:val="000000" w:themeColor="text1"/>
        </w:rPr>
        <w:t>Parque Vía 190, Oficina 209</w:t>
      </w:r>
    </w:p>
    <w:p w14:paraId="1002BC71" w14:textId="77777777" w:rsidR="00526FE9" w:rsidRPr="008762D1" w:rsidRDefault="00526FE9" w:rsidP="00964F7E">
      <w:pPr>
        <w:autoSpaceDE w:val="0"/>
        <w:autoSpaceDN w:val="0"/>
        <w:adjustRightInd w:val="0"/>
        <w:spacing w:after="0"/>
        <w:ind w:left="2835"/>
        <w:jc w:val="both"/>
        <w:rPr>
          <w:rFonts w:ascii="ITC Avant Garde" w:hAnsi="ITC Avant Garde" w:cs="Arial"/>
          <w:color w:val="000000" w:themeColor="text1"/>
        </w:rPr>
      </w:pPr>
      <w:r w:rsidRPr="008762D1">
        <w:rPr>
          <w:rFonts w:ascii="ITC Avant Garde" w:hAnsi="ITC Avant Garde" w:cs="Arial"/>
          <w:color w:val="000000" w:themeColor="text1"/>
        </w:rPr>
        <w:t>Colonia Cuauhtémoc</w:t>
      </w:r>
    </w:p>
    <w:p w14:paraId="5403F99D" w14:textId="77777777" w:rsidR="00526FE9" w:rsidRPr="008762D1" w:rsidRDefault="00526FE9" w:rsidP="00964F7E">
      <w:pPr>
        <w:autoSpaceDE w:val="0"/>
        <w:autoSpaceDN w:val="0"/>
        <w:adjustRightInd w:val="0"/>
        <w:spacing w:after="0"/>
        <w:ind w:left="2835"/>
        <w:jc w:val="both"/>
        <w:rPr>
          <w:rFonts w:ascii="ITC Avant Garde" w:hAnsi="ITC Avant Garde" w:cs="Arial"/>
          <w:color w:val="000000" w:themeColor="text1"/>
        </w:rPr>
      </w:pPr>
      <w:r w:rsidRPr="008762D1">
        <w:rPr>
          <w:rFonts w:ascii="ITC Avant Garde" w:hAnsi="ITC Avant Garde" w:cs="Arial"/>
          <w:color w:val="000000" w:themeColor="text1"/>
        </w:rPr>
        <w:t>Código Postal 06500</w:t>
      </w:r>
    </w:p>
    <w:p w14:paraId="378BEF93" w14:textId="77777777" w:rsidR="00526FE9" w:rsidRPr="008762D1" w:rsidRDefault="00526FE9" w:rsidP="00964F7E">
      <w:pPr>
        <w:autoSpaceDE w:val="0"/>
        <w:autoSpaceDN w:val="0"/>
        <w:adjustRightInd w:val="0"/>
        <w:spacing w:after="0"/>
        <w:ind w:left="2835"/>
        <w:jc w:val="both"/>
        <w:rPr>
          <w:rFonts w:ascii="ITC Avant Garde" w:hAnsi="ITC Avant Garde" w:cs="Arial"/>
          <w:color w:val="000000" w:themeColor="text1"/>
        </w:rPr>
      </w:pPr>
      <w:r w:rsidRPr="008762D1">
        <w:rPr>
          <w:rFonts w:ascii="ITC Avant Garde" w:hAnsi="ITC Avant Garde" w:cs="Arial"/>
          <w:color w:val="000000" w:themeColor="text1"/>
        </w:rPr>
        <w:t>Ciudad de México</w:t>
      </w:r>
    </w:p>
    <w:p w14:paraId="0E72B7B1" w14:textId="665E06DA" w:rsidR="00526FE9" w:rsidRPr="008762D1" w:rsidRDefault="00F031E8" w:rsidP="00964F7E">
      <w:pPr>
        <w:autoSpaceDE w:val="0"/>
        <w:autoSpaceDN w:val="0"/>
        <w:adjustRightInd w:val="0"/>
        <w:spacing w:after="0"/>
        <w:ind w:left="2835"/>
        <w:jc w:val="both"/>
        <w:rPr>
          <w:rFonts w:ascii="ITC Avant Garde" w:hAnsi="ITC Avant Garde" w:cs="Arial"/>
          <w:color w:val="000000" w:themeColor="text1"/>
        </w:rPr>
      </w:pPr>
      <w:r>
        <w:rPr>
          <w:rFonts w:ascii="ITC Avant Garde" w:hAnsi="ITC Avant Garde" w:cs="Arial"/>
          <w:color w:val="000000" w:themeColor="text1"/>
        </w:rPr>
        <w:t xml:space="preserve">Teléfono: </w:t>
      </w:r>
      <w:r w:rsidR="00526FE9" w:rsidRPr="008762D1">
        <w:rPr>
          <w:rFonts w:ascii="ITC Avant Garde" w:hAnsi="ITC Avant Garde" w:cs="Arial"/>
          <w:color w:val="000000" w:themeColor="text1"/>
        </w:rPr>
        <w:t>5222-69-27</w:t>
      </w:r>
    </w:p>
    <w:p w14:paraId="4A0B9A23" w14:textId="6306D9ED" w:rsidR="00526FE9" w:rsidRPr="008762D1" w:rsidRDefault="00F031E8" w:rsidP="00F031E8">
      <w:pPr>
        <w:autoSpaceDE w:val="0"/>
        <w:autoSpaceDN w:val="0"/>
        <w:adjustRightInd w:val="0"/>
        <w:spacing w:after="0"/>
        <w:ind w:left="2835"/>
        <w:jc w:val="both"/>
        <w:rPr>
          <w:rFonts w:ascii="ITC Avant Garde" w:hAnsi="ITC Avant Garde" w:cs="Arial"/>
          <w:b/>
          <w:color w:val="000000" w:themeColor="text1"/>
        </w:rPr>
      </w:pPr>
      <w:r>
        <w:rPr>
          <w:rFonts w:ascii="ITC Avant Garde" w:hAnsi="ITC Avant Garde" w:cs="Arial"/>
          <w:color w:val="000000" w:themeColor="text1"/>
        </w:rPr>
        <w:t xml:space="preserve">Atención: </w:t>
      </w:r>
      <w:r w:rsidR="00526FE9" w:rsidRPr="008762D1">
        <w:rPr>
          <w:rFonts w:ascii="ITC Avant Garde" w:hAnsi="ITC Avant Garde" w:cs="Arial"/>
          <w:color w:val="000000" w:themeColor="text1"/>
        </w:rPr>
        <w:t>Lic. Alejandro Coca Sánchez</w:t>
      </w:r>
      <w:r>
        <w:rPr>
          <w:rFonts w:ascii="ITC Avant Garde" w:hAnsi="ITC Avant Garde" w:cs="Arial"/>
          <w:color w:val="000000" w:themeColor="text1"/>
        </w:rPr>
        <w:t xml:space="preserve"> </w:t>
      </w:r>
      <w:r w:rsidRPr="00F031E8">
        <w:rPr>
          <w:rFonts w:ascii="ITC Avant Garde" w:hAnsi="ITC Avant Garde" w:cs="Arial"/>
          <w:b/>
          <w:color w:val="0000FF"/>
        </w:rPr>
        <w:t>(…)</w:t>
      </w:r>
      <w:r w:rsidR="00526FE9" w:rsidRPr="008762D1">
        <w:rPr>
          <w:rFonts w:ascii="ITC Avant Garde" w:hAnsi="ITC Avant Garde" w:cs="Arial"/>
          <w:color w:val="000000" w:themeColor="text1"/>
        </w:rPr>
        <w:t>:</w:t>
      </w:r>
      <w:r>
        <w:rPr>
          <w:rFonts w:ascii="ITC Avant Garde" w:hAnsi="ITC Avant Garde" w:cs="Arial"/>
          <w:color w:val="000000" w:themeColor="text1"/>
        </w:rPr>
        <w:t xml:space="preserve"> </w:t>
      </w:r>
      <w:r w:rsidRPr="00F031E8">
        <w:rPr>
          <w:rFonts w:ascii="ITC Avant Garde" w:hAnsi="ITC Avant Garde" w:cs="Arial"/>
          <w:b/>
          <w:color w:val="0000FF"/>
        </w:rPr>
        <w:t>(…)</w:t>
      </w:r>
    </w:p>
    <w:p w14:paraId="3A251A4A" w14:textId="63928B5E" w:rsidR="00526FE9" w:rsidRPr="008762D1" w:rsidRDefault="00964F7E" w:rsidP="00964F7E">
      <w:pPr>
        <w:autoSpaceDE w:val="0"/>
        <w:autoSpaceDN w:val="0"/>
        <w:adjustRightInd w:val="0"/>
        <w:spacing w:after="0"/>
        <w:ind w:left="2835"/>
        <w:jc w:val="both"/>
        <w:rPr>
          <w:rFonts w:ascii="ITC Avant Garde" w:hAnsi="ITC Avant Garde" w:cs="Arial"/>
          <w:color w:val="000000" w:themeColor="text1"/>
        </w:rPr>
      </w:pPr>
      <w:r w:rsidRPr="008762D1">
        <w:rPr>
          <w:rFonts w:ascii="ITC Avant Garde" w:hAnsi="ITC Avant Garde" w:cs="Arial"/>
          <w:color w:val="000000" w:themeColor="text1"/>
        </w:rPr>
        <w:t>Teléfono:</w:t>
      </w:r>
      <w:r w:rsidR="00F031E8">
        <w:rPr>
          <w:rFonts w:ascii="ITC Avant Garde" w:hAnsi="ITC Avant Garde" w:cs="Arial"/>
          <w:color w:val="000000" w:themeColor="text1"/>
        </w:rPr>
        <w:t xml:space="preserve"> </w:t>
      </w:r>
      <w:r w:rsidR="00F031E8" w:rsidRPr="00F031E8">
        <w:rPr>
          <w:rFonts w:ascii="ITC Avant Garde" w:hAnsi="ITC Avant Garde" w:cs="Arial"/>
          <w:b/>
          <w:color w:val="0000FF"/>
        </w:rPr>
        <w:t>(…)</w:t>
      </w:r>
    </w:p>
    <w:p w14:paraId="2EA896D5" w14:textId="09C17374" w:rsidR="000F0B9F" w:rsidRPr="008762D1" w:rsidRDefault="00526FE9" w:rsidP="00964F7E">
      <w:pPr>
        <w:autoSpaceDE w:val="0"/>
        <w:autoSpaceDN w:val="0"/>
        <w:adjustRightInd w:val="0"/>
        <w:spacing w:after="0"/>
        <w:ind w:left="2835"/>
        <w:jc w:val="both"/>
        <w:rPr>
          <w:rFonts w:ascii="ITC Avant Garde" w:hAnsi="ITC Avant Garde" w:cs="Arial"/>
          <w:color w:val="000000" w:themeColor="text1"/>
        </w:rPr>
      </w:pPr>
      <w:r w:rsidRPr="008762D1">
        <w:rPr>
          <w:rFonts w:ascii="ITC Avant Garde" w:hAnsi="ITC Avant Garde" w:cs="Arial"/>
          <w:color w:val="000000" w:themeColor="text1"/>
        </w:rPr>
        <w:t>Atención:</w:t>
      </w:r>
      <w:r w:rsidR="00F031E8">
        <w:rPr>
          <w:rFonts w:ascii="ITC Avant Garde" w:hAnsi="ITC Avant Garde" w:cs="Arial"/>
          <w:color w:val="000000" w:themeColor="text1"/>
        </w:rPr>
        <w:t xml:space="preserve"> </w:t>
      </w:r>
      <w:r w:rsidR="00F031E8" w:rsidRPr="00F031E8">
        <w:rPr>
          <w:rFonts w:ascii="ITC Avant Garde" w:hAnsi="ITC Avant Garde" w:cs="Arial"/>
          <w:b/>
          <w:color w:val="0000FF"/>
        </w:rPr>
        <w:t>(…)</w:t>
      </w:r>
    </w:p>
    <w:p w14:paraId="1DFB435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16.2 </w:t>
      </w:r>
      <w:r w:rsidRPr="008762D1">
        <w:rPr>
          <w:rFonts w:ascii="ITC Avant Garde" w:hAnsi="ITC Avant Garde" w:cs="Arial"/>
          <w:b/>
          <w:color w:val="000000" w:themeColor="text1"/>
          <w:u w:val="single"/>
        </w:rPr>
        <w:t>NOTIFICACIONES</w:t>
      </w:r>
      <w:r w:rsidRPr="008762D1">
        <w:rPr>
          <w:rFonts w:ascii="ITC Avant Garde" w:hAnsi="ITC Avant Garde" w:cs="Arial"/>
          <w:color w:val="000000" w:themeColor="text1"/>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14:paraId="4811B68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59448B2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notificaciones vinculadas con las obligaciones derivadas del convenio podrán realizar a través de medios electrónicos si las Partes así lo determinan para lo cual se regirán de acuerdo a las disposiciones del Código de Comercio.</w:t>
      </w:r>
    </w:p>
    <w:p w14:paraId="1057454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16.3 </w:t>
      </w:r>
      <w:r w:rsidRPr="008762D1">
        <w:rPr>
          <w:rFonts w:ascii="ITC Avant Garde" w:hAnsi="ITC Avant Garde" w:cs="Arial"/>
          <w:b/>
          <w:color w:val="000000" w:themeColor="text1"/>
          <w:u w:val="single"/>
        </w:rPr>
        <w:t>CAMBIOS DE DOMICILIO</w:t>
      </w:r>
      <w:r w:rsidRPr="008762D1">
        <w:rPr>
          <w:rFonts w:ascii="ITC Avant Garde" w:hAnsi="ITC Avant Garde" w:cs="Arial"/>
          <w:color w:val="000000" w:themeColor="text1"/>
        </w:rPr>
        <w:t>.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867EF59"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t>CLÁUSULA DECIMOSÉPTIMA</w:t>
      </w:r>
      <w:r w:rsidRPr="008762D1">
        <w:rPr>
          <w:rFonts w:ascii="ITC Avant Garde" w:hAnsi="ITC Avant Garde" w:cs="Arial"/>
          <w:color w:val="000000" w:themeColor="text1"/>
        </w:rPr>
        <w:t>.</w:t>
      </w:r>
    </w:p>
    <w:p w14:paraId="3C0C88E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u w:val="single"/>
        </w:rPr>
        <w:t>FORMALIZACIÓN DE LOS ANEXOS</w:t>
      </w:r>
      <w:r w:rsidRPr="008762D1">
        <w:rPr>
          <w:rFonts w:ascii="ITC Avant Garde" w:hAnsi="ITC Avant Garde" w:cs="Arial"/>
          <w:color w:val="000000" w:themeColor="text1"/>
          <w:u w:val="single"/>
        </w:rPr>
        <w:t>.</w:t>
      </w:r>
      <w:r w:rsidRPr="008762D1">
        <w:rPr>
          <w:rFonts w:ascii="ITC Avant Garde" w:hAnsi="ITC Avant Garde" w:cs="Arial"/>
          <w:color w:val="000000" w:themeColor="text1"/>
        </w:rPr>
        <w:t xml:space="preserve"> Los Anexos correspondientes deberán adjuntarse al cuerpo del presente Convenio debidamente firmados por los representantes legales de las Partes, los cuales formarán parte integrante del mismo.</w:t>
      </w:r>
    </w:p>
    <w:p w14:paraId="12859E7C" w14:textId="77777777" w:rsidR="000F0B9F"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b/>
          <w:color w:val="000000" w:themeColor="text1"/>
        </w:rPr>
        <w:lastRenderedPageBreak/>
        <w:t>CLÁUSULA DECIMO OCTAVA</w:t>
      </w:r>
      <w:r w:rsidRPr="008762D1">
        <w:rPr>
          <w:rFonts w:ascii="ITC Avant Garde" w:hAnsi="ITC Avant Garde" w:cs="Arial"/>
          <w:color w:val="000000" w:themeColor="text1"/>
        </w:rPr>
        <w:t>.</w:t>
      </w:r>
    </w:p>
    <w:p w14:paraId="2FA87ABA"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u w:val="single"/>
        </w:rPr>
      </w:pPr>
      <w:r w:rsidRPr="008762D1">
        <w:rPr>
          <w:rFonts w:ascii="ITC Avant Garde" w:hAnsi="ITC Avant Garde" w:cs="Arial"/>
          <w:b/>
          <w:color w:val="000000" w:themeColor="text1"/>
          <w:u w:val="single"/>
        </w:rPr>
        <w:t>JURISDICCIÓN, DERECHO APLICABLE Y DIVERSOS</w:t>
      </w:r>
    </w:p>
    <w:p w14:paraId="580DC8E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18.1 </w:t>
      </w:r>
      <w:r w:rsidRPr="008762D1">
        <w:rPr>
          <w:rFonts w:ascii="ITC Avant Garde" w:hAnsi="ITC Avant Garde" w:cs="Arial"/>
          <w:b/>
          <w:color w:val="000000" w:themeColor="text1"/>
          <w:u w:val="single"/>
        </w:rPr>
        <w:t>JURISDICCIÓN</w:t>
      </w:r>
      <w:r w:rsidRPr="008762D1">
        <w:rPr>
          <w:rFonts w:ascii="ITC Avant Garde" w:hAnsi="ITC Avant Garde" w:cs="Arial"/>
          <w:color w:val="000000" w:themeColor="text1"/>
        </w:rPr>
        <w:t>. Para todo lo relativo a este Convenio, las Partes acuerdan expresamente someterse a la jurisdicción de los Tribunales Federales competentes con residencia en la Ciudad de México, por lo tanto, renuncian expresamente al fuero que pudiera corresponderles por razón de su domicilio presente, futuro o por cualquier otra causa.</w:t>
      </w:r>
    </w:p>
    <w:p w14:paraId="40F0E2B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18.2 </w:t>
      </w:r>
      <w:r w:rsidRPr="008762D1">
        <w:rPr>
          <w:rFonts w:ascii="ITC Avant Garde" w:hAnsi="ITC Avant Garde" w:cs="Arial"/>
          <w:b/>
          <w:color w:val="000000" w:themeColor="text1"/>
          <w:u w:val="single"/>
        </w:rPr>
        <w:t>ARREGLO AMISTOSO DE DIFERENCIAS</w:t>
      </w:r>
      <w:r w:rsidRPr="008762D1">
        <w:rPr>
          <w:rFonts w:ascii="ITC Avant Garde" w:hAnsi="ITC Avant Garde" w:cs="Arial"/>
          <w:color w:val="000000" w:themeColor="text1"/>
        </w:rPr>
        <w:t>. Las Partes expresan su firme convicción que, de toda buena fe, en caso de presentarse diferencias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 lo anterior con independencia de la posibilidad que tienen los concesionarios de solicitar la intervención del Instituto en caso de existir términos y condiciones no convenidas entre las partes.</w:t>
      </w:r>
    </w:p>
    <w:p w14:paraId="0126786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14:paraId="00B9C7B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18.3 </w:t>
      </w:r>
      <w:r w:rsidRPr="008762D1">
        <w:rPr>
          <w:rFonts w:ascii="ITC Avant Garde" w:hAnsi="ITC Avant Garde" w:cs="Arial"/>
          <w:b/>
          <w:color w:val="000000" w:themeColor="text1"/>
          <w:u w:val="single"/>
        </w:rPr>
        <w:t>EMPLAZAMIENTOS</w:t>
      </w:r>
      <w:r w:rsidRPr="008762D1">
        <w:rPr>
          <w:rFonts w:ascii="ITC Avant Garde" w:hAnsi="ITC Avant Garde" w:cs="Arial"/>
          <w:color w:val="000000" w:themeColor="text1"/>
        </w:rPr>
        <w:t>. Las Partes por este medio irrevocablemente aceptan que solamente podrán ser emplazadas en relación con cualquier acción o procedimiento relacionado con el presente Convenio en el domicilio convencional indicado en este Convenio.</w:t>
      </w:r>
    </w:p>
    <w:p w14:paraId="23BC016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18.4 </w:t>
      </w:r>
      <w:r w:rsidRPr="008762D1">
        <w:rPr>
          <w:rFonts w:ascii="ITC Avant Garde" w:hAnsi="ITC Avant Garde" w:cs="Arial"/>
          <w:b/>
          <w:color w:val="000000" w:themeColor="text1"/>
          <w:u w:val="single"/>
        </w:rPr>
        <w:t>RENUNCIA DE INMUNIDAD</w:t>
      </w:r>
      <w:r w:rsidRPr="008762D1">
        <w:rPr>
          <w:rFonts w:ascii="ITC Avant Garde" w:hAnsi="ITC Avant Garde" w:cs="Arial"/>
          <w:color w:val="000000" w:themeColor="text1"/>
        </w:rPr>
        <w:t xml:space="preserve">.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w:t>
      </w:r>
      <w:r w:rsidRPr="008762D1">
        <w:rPr>
          <w:rFonts w:ascii="ITC Avant Garde" w:hAnsi="ITC Avant Garde" w:cs="Arial"/>
          <w:color w:val="000000" w:themeColor="text1"/>
        </w:rPr>
        <w:lastRenderedPageBreak/>
        <w:t>legal para exigirlos y para ejecutar cualquier laudo o sentencia dictada en cualquiera de dichos procedimientos.</w:t>
      </w:r>
    </w:p>
    <w:p w14:paraId="5E6E370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03FB942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18.5 </w:t>
      </w:r>
      <w:r w:rsidRPr="008762D1">
        <w:rPr>
          <w:rFonts w:ascii="ITC Avant Garde" w:hAnsi="ITC Avant Garde" w:cs="Arial"/>
          <w:b/>
          <w:color w:val="000000" w:themeColor="text1"/>
          <w:u w:val="single"/>
        </w:rPr>
        <w:t>LEY APLICABLE</w:t>
      </w:r>
      <w:r w:rsidRPr="008762D1">
        <w:rPr>
          <w:rFonts w:ascii="ITC Avant Garde" w:hAnsi="ITC Avant Garde" w:cs="Arial"/>
          <w:color w:val="000000" w:themeColor="text1"/>
        </w:rPr>
        <w:t>. Para todo lo relativo al presente Convenio las Partes acuerdan que el mismo se regirá por el derecho sustantivo y las leyes y disposiciones aplicables en los Estados Unidos Mexicanos.</w:t>
      </w:r>
    </w:p>
    <w:p w14:paraId="76612BE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18.6 </w:t>
      </w:r>
      <w:r w:rsidRPr="008762D1">
        <w:rPr>
          <w:rFonts w:ascii="ITC Avant Garde" w:hAnsi="ITC Avant Garde" w:cs="Arial"/>
          <w:b/>
          <w:color w:val="000000" w:themeColor="text1"/>
          <w:u w:val="single"/>
        </w:rPr>
        <w:t>MODIFICACIONES</w:t>
      </w:r>
      <w:r w:rsidRPr="008762D1">
        <w:rPr>
          <w:rFonts w:ascii="ITC Avant Garde" w:hAnsi="ITC Avant Garde" w:cs="Arial"/>
          <w:color w:val="000000" w:themeColor="text1"/>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específicos para el cual fue otorgado.</w:t>
      </w:r>
    </w:p>
    <w:p w14:paraId="263C0AE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18.7 </w:t>
      </w:r>
      <w:r w:rsidRPr="008762D1">
        <w:rPr>
          <w:rFonts w:ascii="ITC Avant Garde" w:hAnsi="ITC Avant Garde" w:cs="Arial"/>
          <w:b/>
          <w:color w:val="000000" w:themeColor="text1"/>
          <w:u w:val="single"/>
        </w:rPr>
        <w:t>TÍTULOS</w:t>
      </w:r>
      <w:r w:rsidRPr="008762D1">
        <w:rPr>
          <w:rFonts w:ascii="ITC Avant Garde" w:hAnsi="ITC Avant Garde" w:cs="Arial"/>
          <w:color w:val="000000" w:themeColor="text1"/>
        </w:rPr>
        <w:t xml:space="preserve">. Los títulos de las Cláusulas y los subtítulos de los numerales, incisos y </w:t>
      </w:r>
      <w:proofErr w:type="spellStart"/>
      <w:r w:rsidRPr="008762D1">
        <w:rPr>
          <w:rFonts w:ascii="ITC Avant Garde" w:hAnsi="ITC Avant Garde" w:cs="Arial"/>
          <w:color w:val="000000" w:themeColor="text1"/>
        </w:rPr>
        <w:t>subincisos</w:t>
      </w:r>
      <w:proofErr w:type="spellEnd"/>
      <w:r w:rsidRPr="008762D1">
        <w:rPr>
          <w:rFonts w:ascii="ITC Avant Garde" w:hAnsi="ITC Avant Garde" w:cs="Arial"/>
          <w:color w:val="000000" w:themeColor="text1"/>
        </w:rPr>
        <w:t xml:space="preserve"> de este Convenio no tienen más fin que la conveniencia de las Partes y no podrán afectar ni tendrán efecto alguno para la interpretación de este Convenio.</w:t>
      </w:r>
    </w:p>
    <w:p w14:paraId="7D82CD6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18.8 </w:t>
      </w:r>
      <w:r w:rsidRPr="008762D1">
        <w:rPr>
          <w:rFonts w:ascii="ITC Avant Garde" w:hAnsi="ITC Avant Garde" w:cs="Arial"/>
          <w:b/>
          <w:color w:val="000000" w:themeColor="text1"/>
          <w:u w:val="single"/>
        </w:rPr>
        <w:t>VALIDEZ DE LAS DISPOSICIONES</w:t>
      </w:r>
      <w:r w:rsidRPr="008762D1">
        <w:rPr>
          <w:rFonts w:ascii="ITC Avant Garde" w:hAnsi="ITC Avant Garde" w:cs="Arial"/>
          <w:color w:val="000000" w:themeColor="text1"/>
        </w:rPr>
        <w:t>.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14:paraId="2C580D3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18.9 </w:t>
      </w:r>
      <w:r w:rsidRPr="008762D1">
        <w:rPr>
          <w:rFonts w:ascii="ITC Avant Garde" w:hAnsi="ITC Avant Garde" w:cs="Arial"/>
          <w:b/>
          <w:color w:val="000000" w:themeColor="text1"/>
          <w:u w:val="single"/>
        </w:rPr>
        <w:t>INFRACCIÓN DE DERECHOS DE PROPIEDAD INDUSTRIAL</w:t>
      </w:r>
      <w:r w:rsidRPr="008762D1">
        <w:rPr>
          <w:rFonts w:ascii="ITC Avant Garde" w:hAnsi="ITC Avant Garde" w:cs="Arial"/>
          <w:color w:val="000000" w:themeColor="text1"/>
        </w:rPr>
        <w:t>.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14:paraId="262C620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36AA7DF4" w14:textId="33BE0DCA"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lastRenderedPageBreak/>
        <w:t xml:space="preserve">18.10 </w:t>
      </w:r>
      <w:r w:rsidRPr="008762D1">
        <w:rPr>
          <w:rFonts w:ascii="ITC Avant Garde" w:hAnsi="ITC Avant Garde" w:cs="Arial"/>
          <w:b/>
          <w:color w:val="000000" w:themeColor="text1"/>
          <w:u w:val="single"/>
        </w:rPr>
        <w:t>ACUERDO INTEGRAL</w:t>
      </w:r>
      <w:r w:rsidRPr="008762D1">
        <w:rPr>
          <w:rFonts w:ascii="ITC Avant Garde" w:hAnsi="ITC Avant Garde" w:cs="Arial"/>
          <w:color w:val="000000" w:themeColor="text1"/>
        </w:rPr>
        <w:t xml:space="preserve">. Este Convenio, incluyendo sus Anexos, constituye el acuerdo integral de prestación de Servicios de Interconexión entre Telmex y </w:t>
      </w:r>
      <w:r w:rsidR="00F031E8" w:rsidRPr="00F031E8">
        <w:rPr>
          <w:rFonts w:ascii="ITC Avant Garde" w:hAnsi="ITC Avant Garde" w:cs="Arial"/>
          <w:b/>
          <w:color w:val="0000FF"/>
        </w:rPr>
        <w:t>(…)</w:t>
      </w:r>
      <w:r w:rsidRPr="008762D1">
        <w:rPr>
          <w:rFonts w:ascii="ITC Avant Garde" w:hAnsi="ITC Avant Garde" w:cs="Arial"/>
          <w:color w:val="000000" w:themeColor="text1"/>
        </w:rPr>
        <w:t>, y deja sin efecto toda negociación previa, declaración y acuerdo, ya sea verbal o escrito, en lo que se oponga al presente Convenio.</w:t>
      </w:r>
    </w:p>
    <w:p w14:paraId="0A0454C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 xml:space="preserve">18.11 </w:t>
      </w:r>
      <w:r w:rsidRPr="008762D1">
        <w:rPr>
          <w:rFonts w:ascii="ITC Avant Garde" w:hAnsi="ITC Avant Garde"/>
          <w:b/>
          <w:color w:val="000000" w:themeColor="text1"/>
          <w:u w:val="single"/>
        </w:rPr>
        <w:t>NO RENUNCIA DE DERECHOS Y ACCIONES</w:t>
      </w:r>
      <w:r w:rsidRPr="008762D1">
        <w:rPr>
          <w:rFonts w:ascii="ITC Avant Garde" w:hAnsi="ITC Avant Garde" w:cs="Arial"/>
          <w:b/>
          <w:color w:val="000000" w:themeColor="text1"/>
        </w:rPr>
        <w:t>.</w:t>
      </w:r>
      <w:r w:rsidRPr="008762D1">
        <w:rPr>
          <w:rFonts w:ascii="ITC Avant Garde" w:hAnsi="ITC Avant Garde" w:cs="Arial"/>
          <w:color w:val="000000" w:themeColor="text1"/>
        </w:rPr>
        <w:t xml:space="preserve"> Las Partes entienden y acuerdan que el no ejercicio o demora en el ejercicio de cualquier derecho, acción, facultad o privilegio establecido en este Convenio que no resulte en caducidad, preclusión o prescripción por causa de ley, no operará como una renuncia, ni cualquier ejercicio único o parcial que exista </w:t>
      </w:r>
      <w:proofErr w:type="spellStart"/>
      <w:r w:rsidRPr="008762D1">
        <w:rPr>
          <w:rFonts w:ascii="ITC Avant Garde" w:hAnsi="ITC Avant Garde" w:cs="Arial"/>
          <w:color w:val="000000" w:themeColor="text1"/>
        </w:rPr>
        <w:t>precluirá</w:t>
      </w:r>
      <w:proofErr w:type="spellEnd"/>
      <w:r w:rsidRPr="008762D1">
        <w:rPr>
          <w:rFonts w:ascii="ITC Avant Garde" w:hAnsi="ITC Avant Garde" w:cs="Arial"/>
          <w:color w:val="000000" w:themeColor="text1"/>
        </w:rPr>
        <w:t xml:space="preserve"> a cualquier ejercicio futuro de acción, derecho, facultad o privilegio previsto.</w:t>
      </w:r>
    </w:p>
    <w:p w14:paraId="27EF8731" w14:textId="77777777" w:rsidR="000F0B9F" w:rsidRPr="008762D1" w:rsidRDefault="00526FE9" w:rsidP="000F0B9F">
      <w:pPr>
        <w:widowControl w:val="0"/>
        <w:spacing w:before="240"/>
        <w:jc w:val="center"/>
        <w:rPr>
          <w:rFonts w:ascii="ITC Avant Garde" w:hAnsi="ITC Avant Garde" w:cs="Arial"/>
          <w:b/>
          <w:color w:val="000000" w:themeColor="text1"/>
        </w:rPr>
      </w:pPr>
      <w:r w:rsidRPr="008762D1">
        <w:rPr>
          <w:rFonts w:ascii="ITC Avant Garde" w:hAnsi="ITC Avant Garde" w:cs="Arial"/>
          <w:b/>
          <w:color w:val="000000" w:themeColor="text1"/>
        </w:rPr>
        <w:t>CLÁUSULA DECIMONOVENA</w:t>
      </w:r>
    </w:p>
    <w:p w14:paraId="25617DD3" w14:textId="6335F471" w:rsidR="000F0B9F" w:rsidRPr="008762D1" w:rsidRDefault="00526FE9" w:rsidP="000F0B9F">
      <w:pPr>
        <w:spacing w:before="240"/>
        <w:jc w:val="both"/>
        <w:rPr>
          <w:rFonts w:ascii="ITC Avant Garde" w:hAnsi="ITC Avant Garde" w:cs="Arial"/>
          <w:color w:val="000000" w:themeColor="text1"/>
          <w:lang w:val="es-ES_tradnl"/>
        </w:rPr>
      </w:pPr>
      <w:r w:rsidRPr="008762D1">
        <w:rPr>
          <w:rFonts w:ascii="ITC Avant Garde" w:hAnsi="ITC Avant Garde" w:cs="Arial"/>
          <w:b/>
          <w:bCs/>
          <w:color w:val="000000" w:themeColor="text1"/>
          <w:u w:val="single"/>
        </w:rPr>
        <w:t>CONDICIONES RESOLUTORIAS</w:t>
      </w:r>
      <w:r w:rsidRPr="008762D1">
        <w:rPr>
          <w:rFonts w:ascii="ITC Avant Garde" w:hAnsi="ITC Avant Garde" w:cs="Arial"/>
          <w:color w:val="000000" w:themeColor="text1"/>
          <w:lang w:val="es-ES_tradnl"/>
        </w:rPr>
        <w:t xml:space="preserve">. Las partes acuerdan que las condiciones establecidas en el cuerpo del presente Convenio y sus Anexos, estarán vigentes mientras Telmex tenga el carácter de agente económico preponderante que le fue determinado por el Instituto, sin embargo, en el momento en que Telmex deje de tener tal carácter, ya sea porque así le sea notificado por el Instituto o por virtud de una resolución favorable que recaiga a los medios de impugnación interpuestos por ésta en contra de las resoluciones que así la hayan declarado, las partes negociarán las nuevas condiciones, términos y tarifas de conformidad con lo dispuesto en el artículo 129 de la Ley, y una vez que se haya satisfecho el procedimiento establecido en el artículo 131 de la Ley. </w:t>
      </w:r>
    </w:p>
    <w:p w14:paraId="58DC8F83" w14:textId="77777777" w:rsidR="000F0B9F" w:rsidRPr="008762D1" w:rsidRDefault="00526FE9" w:rsidP="000F0B9F">
      <w:pPr>
        <w:spacing w:before="240"/>
        <w:jc w:val="both"/>
        <w:rPr>
          <w:rFonts w:ascii="ITC Avant Garde" w:hAnsi="ITC Avant Garde" w:cs="Arial"/>
          <w:color w:val="000000" w:themeColor="text1"/>
          <w:lang w:val="es-ES_tradnl"/>
        </w:rPr>
      </w:pPr>
      <w:r w:rsidRPr="008762D1">
        <w:rPr>
          <w:rFonts w:ascii="ITC Avant Garde" w:hAnsi="ITC Avant Garde" w:cs="Arial"/>
          <w:color w:val="000000" w:themeColor="text1"/>
          <w:lang w:val="es-ES_tradnl"/>
        </w:rPr>
        <w:t xml:space="preserve">Las partes se obligan a </w:t>
      </w:r>
      <w:r w:rsidRPr="008762D1">
        <w:rPr>
          <w:rFonts w:ascii="ITC Avant Garde" w:hAnsi="ITC Avant Garde" w:cs="Arial"/>
          <w:color w:val="000000" w:themeColor="text1"/>
        </w:rPr>
        <w:t>negociar los términos, condiciones y tarifas que modificarán</w:t>
      </w:r>
      <w:r w:rsidRPr="008762D1">
        <w:rPr>
          <w:rFonts w:ascii="ITC Avant Garde" w:hAnsi="ITC Avant Garde" w:cs="Arial"/>
          <w:color w:val="000000" w:themeColor="text1"/>
          <w:lang w:val="es-ES_tradnl"/>
        </w:rPr>
        <w:t xml:space="preserve"> el presente Convenio en todo lo que sea necesario, en el momento en que Telmex deje de tener el carácter de agente económico preponderante en telecomunicaciones que le fue determinado por el Instituto, ya sea porque así le sea notificado a Telmex por el propio Instituto o porque Telmex haya obtenido resolución favorable en cualesquiera de los litigios a que se hace mención en el inciso f) de las declaraciones de este Convenio, dentro de los 120 (ciento veinte) días naturales siguientes a la notificación de cualquiera de los supuestos anteriores, obligándose a aplicar, las últimas tarifas y términos y demás condiciones suscritos entre las Partes.</w:t>
      </w:r>
    </w:p>
    <w:p w14:paraId="34212C1D" w14:textId="2B222B1C" w:rsidR="000F0B9F" w:rsidRPr="008762D1" w:rsidRDefault="00526FE9" w:rsidP="000F0B9F">
      <w:pPr>
        <w:spacing w:before="240"/>
        <w:jc w:val="both"/>
        <w:rPr>
          <w:rFonts w:ascii="ITC Avant Garde" w:hAnsi="ITC Avant Garde" w:cs="Arial"/>
          <w:color w:val="000000" w:themeColor="text1"/>
          <w:lang w:val="es-ES_tradnl"/>
        </w:rPr>
      </w:pPr>
      <w:r w:rsidRPr="008762D1">
        <w:rPr>
          <w:rFonts w:ascii="ITC Avant Garde" w:hAnsi="ITC Avant Garde" w:cs="Arial"/>
          <w:color w:val="000000" w:themeColor="text1"/>
          <w:lang w:val="es-ES_tradnl"/>
        </w:rPr>
        <w:t>Las Partes podrán acordar prorrogar el periodo de negociación cuantas veces lo consideren necesario.</w:t>
      </w:r>
    </w:p>
    <w:p w14:paraId="14A33B5C" w14:textId="77777777" w:rsidR="000F0B9F" w:rsidRPr="008762D1" w:rsidRDefault="00526FE9" w:rsidP="000F0B9F">
      <w:pPr>
        <w:spacing w:before="240"/>
        <w:jc w:val="both"/>
        <w:rPr>
          <w:rFonts w:ascii="ITC Avant Garde" w:hAnsi="ITC Avant Garde" w:cs="Arial"/>
          <w:color w:val="000000" w:themeColor="text1"/>
          <w:lang w:val="es-ES_tradnl"/>
        </w:rPr>
      </w:pPr>
      <w:r w:rsidRPr="008762D1">
        <w:rPr>
          <w:rFonts w:ascii="ITC Avant Garde" w:hAnsi="ITC Avant Garde" w:cs="Arial"/>
          <w:color w:val="000000" w:themeColor="text1"/>
          <w:lang w:val="es-ES_tradnl"/>
        </w:rPr>
        <w:t>El presente Convenio se firma por triplicado, por los representantes debidamente facultados de las partes, en la Ciudad de México, el XX de XXXXXX de 2018.</w:t>
      </w:r>
    </w:p>
    <w:tbl>
      <w:tblPr>
        <w:tblStyle w:val="Cuadrculadetablaclara"/>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uadro de firmas"/>
      </w:tblPr>
      <w:tblGrid>
        <w:gridCol w:w="4752"/>
        <w:gridCol w:w="4608"/>
      </w:tblGrid>
      <w:tr w:rsidR="008762D1" w:rsidRPr="008762D1" w14:paraId="4C608C80" w14:textId="77777777" w:rsidTr="00036A6A">
        <w:trPr>
          <w:tblHeader/>
          <w:jc w:val="center"/>
        </w:trPr>
        <w:tc>
          <w:tcPr>
            <w:tcW w:w="4752" w:type="dxa"/>
          </w:tcPr>
          <w:p w14:paraId="39A7367F" w14:textId="77777777" w:rsidR="00526FE9" w:rsidRPr="008762D1" w:rsidRDefault="00526FE9" w:rsidP="00F031E8">
            <w:pPr>
              <w:spacing w:line="360"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lastRenderedPageBreak/>
              <w:t>TELÉFONOS DE MÉXICO,</w:t>
            </w:r>
          </w:p>
          <w:p w14:paraId="5DF5F526" w14:textId="77777777" w:rsidR="000F0B9F" w:rsidRPr="008762D1" w:rsidRDefault="00526FE9" w:rsidP="00F031E8">
            <w:pPr>
              <w:spacing w:line="360"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 S.A.B DE C.V.</w:t>
            </w:r>
          </w:p>
          <w:p w14:paraId="56FD4D7F" w14:textId="43E90873" w:rsidR="00526FE9" w:rsidRPr="008762D1" w:rsidRDefault="00526FE9" w:rsidP="00F031E8">
            <w:pPr>
              <w:spacing w:line="360"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LIC. ALEJANDRO COCA SÁNCHEZ Apoderado Legal</w:t>
            </w:r>
          </w:p>
        </w:tc>
        <w:tc>
          <w:tcPr>
            <w:tcW w:w="4608" w:type="dxa"/>
          </w:tcPr>
          <w:p w14:paraId="7ED2666D" w14:textId="77777777" w:rsidR="00F031E8" w:rsidRDefault="00F031E8" w:rsidP="00F031E8">
            <w:pPr>
              <w:spacing w:line="360" w:lineRule="auto"/>
              <w:jc w:val="center"/>
              <w:rPr>
                <w:rFonts w:ascii="ITC Avant Garde" w:hAnsi="ITC Avant Garde" w:cs="Arial"/>
                <w:b/>
                <w:color w:val="0000FF"/>
              </w:rPr>
            </w:pPr>
            <w:r w:rsidRPr="00F031E8">
              <w:rPr>
                <w:rFonts w:ascii="ITC Avant Garde" w:hAnsi="ITC Avant Garde" w:cs="Arial"/>
                <w:b/>
                <w:color w:val="0000FF"/>
              </w:rPr>
              <w:t>(…)</w:t>
            </w:r>
          </w:p>
          <w:p w14:paraId="73422A60" w14:textId="68B052F0" w:rsidR="00526FE9" w:rsidRPr="008762D1" w:rsidRDefault="00526FE9" w:rsidP="00F031E8">
            <w:pPr>
              <w:spacing w:line="360"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r>
      <w:tr w:rsidR="008762D1" w:rsidRPr="008762D1" w14:paraId="63656D30" w14:textId="77777777" w:rsidTr="00036A6A">
        <w:trPr>
          <w:tblHeader/>
          <w:jc w:val="center"/>
        </w:trPr>
        <w:tc>
          <w:tcPr>
            <w:tcW w:w="4752" w:type="dxa"/>
          </w:tcPr>
          <w:p w14:paraId="17457673" w14:textId="77777777" w:rsidR="00526FE9" w:rsidRPr="008762D1" w:rsidRDefault="00526FE9" w:rsidP="00F031E8">
            <w:pPr>
              <w:spacing w:line="360"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rPr>
              <w:t>Testigo</w:t>
            </w:r>
          </w:p>
        </w:tc>
        <w:tc>
          <w:tcPr>
            <w:tcW w:w="4608" w:type="dxa"/>
          </w:tcPr>
          <w:p w14:paraId="21FF8A32" w14:textId="77777777" w:rsidR="00526FE9" w:rsidRPr="008762D1" w:rsidRDefault="00526FE9" w:rsidP="00F031E8">
            <w:pPr>
              <w:spacing w:line="360"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rPr>
              <w:t>Testigo</w:t>
            </w:r>
          </w:p>
        </w:tc>
      </w:tr>
      <w:tr w:rsidR="008762D1" w:rsidRPr="008762D1" w14:paraId="0C6502CF" w14:textId="77777777" w:rsidTr="00036A6A">
        <w:trPr>
          <w:tblHeader/>
          <w:jc w:val="center"/>
        </w:trPr>
        <w:tc>
          <w:tcPr>
            <w:tcW w:w="4752" w:type="dxa"/>
          </w:tcPr>
          <w:p w14:paraId="5BD89A71" w14:textId="77777777" w:rsidR="00F031E8" w:rsidRDefault="00F031E8" w:rsidP="00F031E8">
            <w:pPr>
              <w:spacing w:line="360" w:lineRule="auto"/>
              <w:jc w:val="center"/>
              <w:rPr>
                <w:rFonts w:ascii="ITC Avant Garde" w:hAnsi="ITC Avant Garde" w:cs="Arial"/>
                <w:b/>
                <w:color w:val="0000FF"/>
              </w:rPr>
            </w:pPr>
            <w:r w:rsidRPr="00F031E8">
              <w:rPr>
                <w:rFonts w:ascii="ITC Avant Garde" w:hAnsi="ITC Avant Garde" w:cs="Arial"/>
                <w:b/>
                <w:color w:val="0000FF"/>
              </w:rPr>
              <w:t>(…)</w:t>
            </w:r>
          </w:p>
          <w:p w14:paraId="57F0FCA3" w14:textId="1FA9C695" w:rsidR="00526FE9" w:rsidRPr="008762D1" w:rsidRDefault="00526FE9" w:rsidP="00F031E8">
            <w:pPr>
              <w:spacing w:line="360" w:lineRule="auto"/>
              <w:jc w:val="center"/>
              <w:rPr>
                <w:rFonts w:ascii="ITC Avant Garde" w:hAnsi="ITC Avant Garde" w:cs="Arial"/>
                <w:b/>
                <w:color w:val="000000" w:themeColor="text1"/>
              </w:rPr>
            </w:pPr>
            <w:r w:rsidRPr="008762D1">
              <w:rPr>
                <w:rFonts w:ascii="ITC Avant Garde" w:hAnsi="ITC Avant Garde" w:cs="Arial"/>
                <w:b/>
                <w:bCs/>
                <w:color w:val="000000" w:themeColor="text1"/>
              </w:rPr>
              <w:t>Por: Teléfonos de México, S.A.B. de C.V.</w:t>
            </w:r>
          </w:p>
        </w:tc>
        <w:tc>
          <w:tcPr>
            <w:tcW w:w="4608" w:type="dxa"/>
          </w:tcPr>
          <w:p w14:paraId="24C745EA" w14:textId="181724D6" w:rsidR="00526FE9" w:rsidRPr="008762D1" w:rsidRDefault="00F031E8" w:rsidP="00F031E8">
            <w:pPr>
              <w:spacing w:line="360" w:lineRule="auto"/>
              <w:jc w:val="center"/>
              <w:rPr>
                <w:rFonts w:ascii="ITC Avant Garde" w:hAnsi="ITC Avant Garde" w:cs="Arial"/>
                <w:b/>
                <w:bCs/>
                <w:color w:val="000000" w:themeColor="text1"/>
              </w:rPr>
            </w:pPr>
            <w:r w:rsidRPr="00F031E8">
              <w:rPr>
                <w:rFonts w:ascii="ITC Avant Garde" w:hAnsi="ITC Avant Garde" w:cs="Arial"/>
                <w:b/>
                <w:color w:val="0000FF"/>
              </w:rPr>
              <w:t>(…)</w:t>
            </w:r>
          </w:p>
          <w:p w14:paraId="0BD1D856" w14:textId="7C9ADC66" w:rsidR="00526FE9" w:rsidRPr="008762D1" w:rsidRDefault="00526FE9" w:rsidP="00F031E8">
            <w:pPr>
              <w:spacing w:line="360" w:lineRule="auto"/>
              <w:jc w:val="center"/>
              <w:rPr>
                <w:rFonts w:ascii="ITC Avant Garde" w:hAnsi="ITC Avant Garde" w:cs="Arial"/>
                <w:b/>
                <w:color w:val="000000" w:themeColor="text1"/>
              </w:rPr>
            </w:pPr>
            <w:r w:rsidRPr="008762D1">
              <w:rPr>
                <w:rFonts w:ascii="ITC Avant Garde" w:hAnsi="ITC Avant Garde" w:cs="Arial"/>
                <w:b/>
                <w:bCs/>
                <w:color w:val="000000" w:themeColor="text1"/>
              </w:rPr>
              <w:t xml:space="preserve">Por </w:t>
            </w:r>
            <w:r w:rsidR="00F031E8" w:rsidRPr="00F031E8">
              <w:rPr>
                <w:rFonts w:ascii="ITC Avant Garde" w:hAnsi="ITC Avant Garde" w:cs="Arial"/>
                <w:b/>
                <w:color w:val="0000FF"/>
              </w:rPr>
              <w:t>(…)</w:t>
            </w:r>
          </w:p>
        </w:tc>
      </w:tr>
    </w:tbl>
    <w:p w14:paraId="1A296F15" w14:textId="77777777" w:rsidR="00526FE9" w:rsidRPr="008762D1" w:rsidRDefault="00526FE9" w:rsidP="000F0B9F">
      <w:pPr>
        <w:spacing w:before="240"/>
        <w:rPr>
          <w:rFonts w:ascii="ITC Avant Garde" w:hAnsi="ITC Avant Garde"/>
          <w:b/>
          <w:bCs/>
          <w:color w:val="000000" w:themeColor="text1"/>
          <w:kern w:val="28"/>
        </w:rPr>
        <w:sectPr w:rsidR="00526FE9" w:rsidRPr="008762D1">
          <w:pgSz w:w="12240" w:h="15840"/>
          <w:pgMar w:top="1843" w:right="1701" w:bottom="1418" w:left="1701" w:header="720" w:footer="720" w:gutter="0"/>
          <w:pgNumType w:start="1"/>
          <w:cols w:space="720"/>
        </w:sectPr>
      </w:pPr>
    </w:p>
    <w:p w14:paraId="195071B0" w14:textId="77777777" w:rsidR="000F0B9F" w:rsidRPr="008762D1" w:rsidRDefault="00526FE9" w:rsidP="00DA0894">
      <w:pPr>
        <w:pStyle w:val="Ttulo2"/>
        <w:spacing w:before="240" w:after="0"/>
        <w:jc w:val="center"/>
        <w:rPr>
          <w:color w:val="000000" w:themeColor="text1"/>
        </w:rPr>
      </w:pPr>
      <w:r w:rsidRPr="008762D1">
        <w:rPr>
          <w:color w:val="000000" w:themeColor="text1"/>
        </w:rPr>
        <w:lastRenderedPageBreak/>
        <w:t>ANEXO A</w:t>
      </w:r>
    </w:p>
    <w:p w14:paraId="5A9ED2AF" w14:textId="77777777" w:rsidR="000F0B9F" w:rsidRPr="008762D1" w:rsidRDefault="00526FE9" w:rsidP="000F0B9F">
      <w:pPr>
        <w:autoSpaceDE w:val="0"/>
        <w:autoSpaceDN w:val="0"/>
        <w:adjustRightInd w:val="0"/>
        <w:spacing w:before="240" w:line="276" w:lineRule="auto"/>
        <w:jc w:val="center"/>
        <w:rPr>
          <w:rFonts w:ascii="ITC Avant Garde" w:hAnsi="ITC Avant Garde" w:cs="Arial"/>
          <w:b/>
          <w:bCs/>
          <w:color w:val="000000" w:themeColor="text1"/>
        </w:rPr>
      </w:pPr>
      <w:r w:rsidRPr="008762D1">
        <w:rPr>
          <w:rFonts w:ascii="ITC Avant Garde" w:hAnsi="ITC Avant Garde" w:cs="Arial"/>
          <w:b/>
          <w:bCs/>
          <w:color w:val="000000" w:themeColor="text1"/>
        </w:rPr>
        <w:t>ACUERDOS TÉCNICOS</w:t>
      </w:r>
    </w:p>
    <w:p w14:paraId="5BD1D230" w14:textId="56B78844" w:rsidR="000F0B9F" w:rsidRPr="008762D1" w:rsidRDefault="00526FE9" w:rsidP="000F0B9F">
      <w:pPr>
        <w:autoSpaceDE w:val="0"/>
        <w:autoSpaceDN w:val="0"/>
        <w:adjustRightInd w:val="0"/>
        <w:spacing w:before="240" w:line="276" w:lineRule="auto"/>
        <w:jc w:val="both"/>
        <w:rPr>
          <w:rFonts w:ascii="ITC Avant Garde" w:hAnsi="ITC Avant Garde" w:cs="Arial"/>
          <w:b/>
          <w:bCs/>
          <w:color w:val="000000" w:themeColor="text1"/>
        </w:rPr>
      </w:pPr>
      <w:r w:rsidRPr="008762D1">
        <w:rPr>
          <w:rFonts w:ascii="ITC Avant Garde" w:hAnsi="ITC Avant Garde" w:cs="Arial"/>
          <w:b/>
          <w:bCs/>
          <w:color w:val="000000" w:themeColor="text1"/>
        </w:rPr>
        <w:t xml:space="preserve">EL PRESENTE DOCUMENTO CONSTITUYE UN ANEXO INTEGRANTE DEL CONVENIO MARCO DE INTERCONEXIÓN ENTRE LAS REDES DE </w:t>
      </w:r>
      <w:r w:rsidRPr="008762D1">
        <w:rPr>
          <w:rFonts w:ascii="ITC Avant Garde" w:hAnsi="ITC Avant Garde" w:cs="Arial"/>
          <w:b/>
          <w:color w:val="000000" w:themeColor="text1"/>
        </w:rPr>
        <w:t>TELMEX</w:t>
      </w:r>
      <w:r w:rsidRPr="008762D1">
        <w:rPr>
          <w:rFonts w:ascii="ITC Avant Garde" w:hAnsi="ITC Avant Garde"/>
          <w:b/>
          <w:bCs/>
          <w:iCs/>
          <w:color w:val="000000" w:themeColor="text1"/>
        </w:rPr>
        <w:t xml:space="preserve"> </w:t>
      </w:r>
      <w:r w:rsidRPr="008762D1">
        <w:rPr>
          <w:rFonts w:ascii="ITC Avant Garde" w:hAnsi="ITC Avant Garde" w:cs="Arial"/>
          <w:b/>
          <w:bCs/>
          <w:color w:val="000000" w:themeColor="text1"/>
        </w:rPr>
        <w:t xml:space="preserve">CON LA RED PÚBLICA DE TELECOMUNICACIONES DE </w:t>
      </w:r>
      <w:r w:rsidR="00F031E8" w:rsidRPr="00F031E8">
        <w:rPr>
          <w:rFonts w:ascii="ITC Avant Garde" w:hAnsi="ITC Avant Garde" w:cs="Arial"/>
          <w:b/>
          <w:color w:val="0000FF"/>
        </w:rPr>
        <w:t>(…)</w:t>
      </w:r>
      <w:r w:rsidRPr="008762D1">
        <w:rPr>
          <w:rFonts w:ascii="ITC Avant Garde" w:hAnsi="ITC Avant Garde" w:cs="Arial"/>
          <w:b/>
          <w:bCs/>
          <w:color w:val="000000" w:themeColor="text1"/>
        </w:rPr>
        <w:t>.</w:t>
      </w:r>
    </w:p>
    <w:p w14:paraId="17F77FE9" w14:textId="77777777" w:rsidR="000F0B9F" w:rsidRPr="008762D1" w:rsidRDefault="00526FE9" w:rsidP="000F0B9F">
      <w:pPr>
        <w:pStyle w:val="Prrafodelista1"/>
        <w:numPr>
          <w:ilvl w:val="0"/>
          <w:numId w:val="34"/>
        </w:numPr>
        <w:autoSpaceDE w:val="0"/>
        <w:autoSpaceDN w:val="0"/>
        <w:adjustRightInd w:val="0"/>
        <w:spacing w:before="240" w:line="276" w:lineRule="auto"/>
        <w:ind w:left="567" w:hanging="567"/>
        <w:jc w:val="both"/>
        <w:rPr>
          <w:rFonts w:ascii="ITC Avant Garde" w:hAnsi="ITC Avant Garde" w:cs="Arial"/>
          <w:b/>
          <w:color w:val="000000" w:themeColor="text1"/>
          <w:sz w:val="22"/>
          <w:szCs w:val="22"/>
        </w:rPr>
      </w:pPr>
      <w:r w:rsidRPr="008762D1">
        <w:rPr>
          <w:rFonts w:ascii="ITC Avant Garde" w:hAnsi="ITC Avant Garde" w:cs="Arial"/>
          <w:b/>
          <w:color w:val="000000" w:themeColor="text1"/>
          <w:sz w:val="22"/>
          <w:szCs w:val="22"/>
        </w:rPr>
        <w:t>ACUERDO TÉCNICO PARA LA INTERCONEXIÓN DE LAS REDES</w:t>
      </w:r>
    </w:p>
    <w:p w14:paraId="56ED7F2F" w14:textId="77777777" w:rsidR="000F0B9F" w:rsidRPr="008762D1" w:rsidRDefault="00526FE9" w:rsidP="000F0B9F">
      <w:pPr>
        <w:pStyle w:val="Prrafodelista1"/>
        <w:autoSpaceDE w:val="0"/>
        <w:autoSpaceDN w:val="0"/>
        <w:adjustRightInd w:val="0"/>
        <w:spacing w:before="240" w:line="276" w:lineRule="auto"/>
        <w:ind w:left="567"/>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Las PARTES acuerdan establecer los siguientes términos y condiciones para la interconexión de sus respectivas redes públicas de telecomunicaciones, no obstante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14:paraId="3F68F791" w14:textId="77777777" w:rsidR="000F0B9F" w:rsidRPr="008762D1" w:rsidRDefault="00526FE9" w:rsidP="000F0B9F">
      <w:pPr>
        <w:autoSpaceDE w:val="0"/>
        <w:autoSpaceDN w:val="0"/>
        <w:adjustRightInd w:val="0"/>
        <w:spacing w:before="240" w:line="276" w:lineRule="auto"/>
        <w:ind w:left="567" w:hanging="567"/>
        <w:jc w:val="both"/>
        <w:rPr>
          <w:rFonts w:ascii="ITC Avant Garde" w:hAnsi="ITC Avant Garde" w:cs="Arial"/>
          <w:b/>
          <w:color w:val="000000" w:themeColor="text1"/>
        </w:rPr>
      </w:pPr>
      <w:r w:rsidRPr="008762D1">
        <w:rPr>
          <w:rFonts w:ascii="ITC Avant Garde" w:hAnsi="ITC Avant Garde" w:cs="Arial"/>
          <w:b/>
          <w:color w:val="000000" w:themeColor="text1"/>
        </w:rPr>
        <w:t>A.1. ACUERDOS TÉCNICOS DE INTERCONEXIÓN PARA SEÑALIZACIÓN PAUSI-MX.</w:t>
      </w:r>
    </w:p>
    <w:p w14:paraId="273FA5B7" w14:textId="77777777" w:rsidR="000F0B9F" w:rsidRPr="008762D1" w:rsidRDefault="00526FE9" w:rsidP="000F0B9F">
      <w:pPr>
        <w:autoSpaceDE w:val="0"/>
        <w:autoSpaceDN w:val="0"/>
        <w:adjustRightInd w:val="0"/>
        <w:spacing w:before="240" w:line="276" w:lineRule="auto"/>
        <w:ind w:left="567"/>
        <w:jc w:val="both"/>
        <w:rPr>
          <w:rFonts w:ascii="ITC Avant Garde" w:hAnsi="ITC Avant Garde" w:cs="Arial"/>
          <w:color w:val="000000" w:themeColor="text1"/>
        </w:rPr>
      </w:pPr>
      <w:r w:rsidRPr="008762D1">
        <w:rPr>
          <w:rFonts w:ascii="ITC Avant Garde" w:hAnsi="ITC Avant Garde" w:cs="Arial"/>
          <w:color w:val="000000" w:themeColor="text1"/>
        </w:rPr>
        <w:t>Este inciso A.1 se aplicará exclusivamente para las interconexiones que utilicen señalización PAUSI-MX.</w:t>
      </w:r>
    </w:p>
    <w:p w14:paraId="5AEB21D7"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 xml:space="preserve">TEMA 1. </w:t>
      </w:r>
      <w:proofErr w:type="spellStart"/>
      <w:r w:rsidRPr="008762D1">
        <w:rPr>
          <w:rFonts w:ascii="ITC Avant Garde" w:hAnsi="ITC Avant Garde" w:cs="Arial"/>
          <w:b/>
          <w:color w:val="000000" w:themeColor="text1"/>
        </w:rPr>
        <w:t>PDIC's</w:t>
      </w:r>
      <w:proofErr w:type="spellEnd"/>
      <w:r w:rsidRPr="008762D1">
        <w:rPr>
          <w:rFonts w:ascii="ITC Avant Garde" w:hAnsi="ITC Avant Garde" w:cs="Arial"/>
          <w:b/>
          <w:color w:val="000000" w:themeColor="text1"/>
        </w:rPr>
        <w:t>.</w:t>
      </w:r>
    </w:p>
    <w:p w14:paraId="42331191" w14:textId="312A5D5E" w:rsidR="00526FE9" w:rsidRPr="008762D1" w:rsidRDefault="00526FE9" w:rsidP="000F0B9F">
      <w:pPr>
        <w:autoSpaceDE w:val="0"/>
        <w:autoSpaceDN w:val="0"/>
        <w:adjustRightInd w:val="0"/>
        <w:spacing w:before="240" w:line="276" w:lineRule="auto"/>
        <w:ind w:left="426"/>
        <w:jc w:val="both"/>
        <w:rPr>
          <w:rFonts w:ascii="ITC Avant Garde" w:hAnsi="ITC Avant Garde" w:cs="Arial"/>
          <w:color w:val="000000" w:themeColor="text1"/>
        </w:rPr>
      </w:pPr>
      <w:r w:rsidRPr="008762D1">
        <w:rPr>
          <w:rFonts w:ascii="ITC Avant Garde" w:hAnsi="ITC Avant Garde" w:cs="Arial"/>
          <w:color w:val="000000" w:themeColor="text1"/>
        </w:rPr>
        <w:t xml:space="preserve">Telmex  entrega a </w:t>
      </w:r>
      <w:r w:rsidR="00F031E8" w:rsidRPr="00F031E8">
        <w:rPr>
          <w:rFonts w:ascii="ITC Avant Garde" w:hAnsi="ITC Avant Garde" w:cs="Arial"/>
          <w:b/>
          <w:color w:val="0000FF"/>
        </w:rPr>
        <w:t>(…)</w:t>
      </w:r>
      <w:r w:rsidRPr="008762D1">
        <w:rPr>
          <w:rFonts w:ascii="ITC Avant Garde" w:hAnsi="ITC Avant Garde" w:cs="Arial"/>
          <w:color w:val="000000" w:themeColor="text1"/>
        </w:rPr>
        <w:t xml:space="preserve"> los puntos de interconexión señalados en el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A-</w:t>
      </w:r>
      <w:proofErr w:type="gramStart"/>
      <w:r w:rsidRPr="008762D1">
        <w:rPr>
          <w:rFonts w:ascii="ITC Avant Garde" w:hAnsi="ITC Avant Garde" w:cs="Arial"/>
          <w:color w:val="000000" w:themeColor="text1"/>
        </w:rPr>
        <w:t>1 ,</w:t>
      </w:r>
      <w:proofErr w:type="gramEnd"/>
      <w:r w:rsidRPr="008762D1">
        <w:rPr>
          <w:rFonts w:ascii="ITC Avant Garde" w:hAnsi="ITC Avant Garde" w:cs="Arial"/>
          <w:color w:val="000000" w:themeColor="text1"/>
        </w:rPr>
        <w:t xml:space="preserve"> con la siguiente información para cada punto:</w:t>
      </w:r>
    </w:p>
    <w:p w14:paraId="3C35B514" w14:textId="77777777" w:rsidR="00526FE9" w:rsidRPr="008762D1" w:rsidRDefault="00526FE9" w:rsidP="000F0B9F">
      <w:pPr>
        <w:tabs>
          <w:tab w:val="left" w:pos="993"/>
        </w:tabs>
        <w:autoSpaceDE w:val="0"/>
        <w:autoSpaceDN w:val="0"/>
        <w:adjustRightInd w:val="0"/>
        <w:spacing w:before="240" w:line="276" w:lineRule="auto"/>
        <w:ind w:left="992" w:hanging="425"/>
        <w:jc w:val="both"/>
        <w:rPr>
          <w:rFonts w:ascii="ITC Avant Garde" w:hAnsi="ITC Avant Garde" w:cs="Arial"/>
          <w:color w:val="000000" w:themeColor="text1"/>
        </w:rPr>
      </w:pPr>
      <w:r w:rsidRPr="008762D1">
        <w:rPr>
          <w:rFonts w:ascii="ITC Avant Garde" w:hAnsi="ITC Avant Garde" w:cs="Arial"/>
          <w:color w:val="000000" w:themeColor="text1"/>
        </w:rPr>
        <w:t xml:space="preserve">1) </w:t>
      </w:r>
      <w:r w:rsidRPr="008762D1">
        <w:rPr>
          <w:rFonts w:ascii="ITC Avant Garde" w:hAnsi="ITC Avant Garde" w:cs="Arial"/>
          <w:color w:val="000000" w:themeColor="text1"/>
        </w:rPr>
        <w:tab/>
        <w:t>Nombre y código de identificación de los puntos de interconexión.</w:t>
      </w:r>
    </w:p>
    <w:p w14:paraId="73708C17" w14:textId="77777777" w:rsidR="00526FE9" w:rsidRPr="008762D1" w:rsidRDefault="00526FE9" w:rsidP="006359EB">
      <w:pPr>
        <w:tabs>
          <w:tab w:val="left" w:pos="993"/>
        </w:tabs>
        <w:autoSpaceDE w:val="0"/>
        <w:autoSpaceDN w:val="0"/>
        <w:adjustRightInd w:val="0"/>
        <w:spacing w:after="0" w:line="276" w:lineRule="auto"/>
        <w:ind w:left="992" w:hanging="425"/>
        <w:jc w:val="both"/>
        <w:rPr>
          <w:rFonts w:ascii="ITC Avant Garde" w:hAnsi="ITC Avant Garde" w:cs="Arial"/>
          <w:color w:val="000000" w:themeColor="text1"/>
        </w:rPr>
      </w:pPr>
      <w:r w:rsidRPr="008762D1">
        <w:rPr>
          <w:rFonts w:ascii="ITC Avant Garde" w:hAnsi="ITC Avant Garde" w:cs="Arial"/>
          <w:color w:val="000000" w:themeColor="text1"/>
        </w:rPr>
        <w:t xml:space="preserve">2) </w:t>
      </w:r>
      <w:r w:rsidRPr="008762D1">
        <w:rPr>
          <w:rFonts w:ascii="ITC Avant Garde" w:hAnsi="ITC Avant Garde" w:cs="Arial"/>
          <w:color w:val="000000" w:themeColor="text1"/>
        </w:rPr>
        <w:tab/>
        <w:t>Dirección y coordenadas geográficas de los puntos de interconexión.</w:t>
      </w:r>
    </w:p>
    <w:p w14:paraId="3FBB47AA" w14:textId="77777777" w:rsidR="00526FE9" w:rsidRPr="008762D1" w:rsidRDefault="00526FE9" w:rsidP="006359EB">
      <w:pPr>
        <w:tabs>
          <w:tab w:val="left" w:pos="993"/>
        </w:tabs>
        <w:autoSpaceDE w:val="0"/>
        <w:autoSpaceDN w:val="0"/>
        <w:adjustRightInd w:val="0"/>
        <w:spacing w:after="0" w:line="276" w:lineRule="auto"/>
        <w:ind w:left="992" w:hanging="425"/>
        <w:jc w:val="both"/>
        <w:rPr>
          <w:rFonts w:ascii="ITC Avant Garde" w:hAnsi="ITC Avant Garde" w:cs="Arial"/>
          <w:color w:val="000000" w:themeColor="text1"/>
        </w:rPr>
      </w:pPr>
      <w:r w:rsidRPr="008762D1">
        <w:rPr>
          <w:rFonts w:ascii="ITC Avant Garde" w:hAnsi="ITC Avant Garde" w:cs="Arial"/>
          <w:color w:val="000000" w:themeColor="text1"/>
        </w:rPr>
        <w:t xml:space="preserve">3) </w:t>
      </w:r>
      <w:r w:rsidRPr="008762D1">
        <w:rPr>
          <w:rFonts w:ascii="ITC Avant Garde" w:hAnsi="ITC Avant Garde" w:cs="Arial"/>
          <w:color w:val="000000" w:themeColor="text1"/>
        </w:rPr>
        <w:tab/>
        <w:t>Ubicación de los binodos de Puntos de Transferencia de Señalización</w:t>
      </w:r>
    </w:p>
    <w:p w14:paraId="0EB92199" w14:textId="77777777" w:rsidR="00526FE9" w:rsidRPr="008762D1" w:rsidRDefault="00526FE9" w:rsidP="006359EB">
      <w:pPr>
        <w:tabs>
          <w:tab w:val="left" w:pos="993"/>
        </w:tabs>
        <w:autoSpaceDE w:val="0"/>
        <w:autoSpaceDN w:val="0"/>
        <w:adjustRightInd w:val="0"/>
        <w:spacing w:after="0" w:line="276" w:lineRule="auto"/>
        <w:ind w:left="992" w:hanging="425"/>
        <w:jc w:val="both"/>
        <w:rPr>
          <w:rFonts w:ascii="ITC Avant Garde" w:hAnsi="ITC Avant Garde" w:cs="Arial"/>
          <w:color w:val="000000" w:themeColor="text1"/>
        </w:rPr>
      </w:pPr>
      <w:r w:rsidRPr="008762D1">
        <w:rPr>
          <w:rFonts w:ascii="ITC Avant Garde" w:hAnsi="ITC Avant Garde" w:cs="Arial"/>
          <w:color w:val="000000" w:themeColor="text1"/>
        </w:rPr>
        <w:t xml:space="preserve">4) </w:t>
      </w:r>
      <w:r w:rsidRPr="008762D1">
        <w:rPr>
          <w:rFonts w:ascii="ITC Avant Garde" w:hAnsi="ITC Avant Garde" w:cs="Arial"/>
          <w:color w:val="000000" w:themeColor="text1"/>
        </w:rPr>
        <w:tab/>
        <w:t xml:space="preserve">Puntos de Transferencia de Señalización </w:t>
      </w:r>
      <w:proofErr w:type="gramStart"/>
      <w:r w:rsidRPr="008762D1">
        <w:rPr>
          <w:rFonts w:ascii="ITC Avant Garde" w:hAnsi="ITC Avant Garde" w:cs="Arial"/>
          <w:color w:val="000000" w:themeColor="text1"/>
        </w:rPr>
        <w:t>a</w:t>
      </w:r>
      <w:proofErr w:type="gramEnd"/>
      <w:r w:rsidRPr="008762D1">
        <w:rPr>
          <w:rFonts w:ascii="ITC Avant Garde" w:hAnsi="ITC Avant Garde" w:cs="Arial"/>
          <w:color w:val="000000" w:themeColor="text1"/>
        </w:rPr>
        <w:t xml:space="preserve"> los que está interconectado cada punto de interconexión  en caso de señalización número 7 (SS7).</w:t>
      </w:r>
    </w:p>
    <w:p w14:paraId="4699CE5C" w14:textId="77777777" w:rsidR="000F0B9F" w:rsidRPr="008762D1" w:rsidRDefault="00526FE9" w:rsidP="006359EB">
      <w:pPr>
        <w:tabs>
          <w:tab w:val="left" w:pos="993"/>
        </w:tabs>
        <w:autoSpaceDE w:val="0"/>
        <w:autoSpaceDN w:val="0"/>
        <w:adjustRightInd w:val="0"/>
        <w:spacing w:after="0" w:line="276" w:lineRule="auto"/>
        <w:ind w:left="992" w:hanging="425"/>
        <w:jc w:val="both"/>
        <w:rPr>
          <w:rFonts w:ascii="ITC Avant Garde" w:hAnsi="ITC Avant Garde" w:cs="Arial"/>
          <w:color w:val="000000" w:themeColor="text1"/>
        </w:rPr>
      </w:pPr>
      <w:r w:rsidRPr="008762D1">
        <w:rPr>
          <w:rFonts w:ascii="ITC Avant Garde" w:hAnsi="ITC Avant Garde" w:cs="Arial"/>
          <w:color w:val="000000" w:themeColor="text1"/>
        </w:rPr>
        <w:t xml:space="preserve">5) </w:t>
      </w:r>
      <w:r w:rsidRPr="008762D1">
        <w:rPr>
          <w:rFonts w:ascii="ITC Avant Garde" w:hAnsi="ITC Avant Garde" w:cs="Arial"/>
          <w:color w:val="000000" w:themeColor="text1"/>
        </w:rPr>
        <w:tab/>
        <w:t>Códigos de puntos de señalización de origen y destino.</w:t>
      </w:r>
    </w:p>
    <w:p w14:paraId="14256428"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TEMA 2. Señalización</w:t>
      </w:r>
    </w:p>
    <w:p w14:paraId="3ECC93E6"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2.1 Definición de la norma de interconexión</w:t>
      </w:r>
    </w:p>
    <w:p w14:paraId="06BABDE2" w14:textId="77777777" w:rsidR="000F0B9F" w:rsidRPr="008762D1" w:rsidRDefault="00526FE9" w:rsidP="000F0B9F">
      <w:pPr>
        <w:numPr>
          <w:ilvl w:val="3"/>
          <w:numId w:val="35"/>
        </w:numPr>
        <w:tabs>
          <w:tab w:val="num" w:pos="900"/>
        </w:tabs>
        <w:autoSpaceDE w:val="0"/>
        <w:autoSpaceDN w:val="0"/>
        <w:adjustRightInd w:val="0"/>
        <w:spacing w:before="240" w:after="0" w:line="240" w:lineRule="auto"/>
        <w:ind w:left="902"/>
        <w:jc w:val="both"/>
        <w:rPr>
          <w:rFonts w:ascii="ITC Avant Garde" w:hAnsi="ITC Avant Garde" w:cs="Arial"/>
          <w:color w:val="000000" w:themeColor="text1"/>
        </w:rPr>
      </w:pPr>
      <w:r w:rsidRPr="008762D1">
        <w:rPr>
          <w:rFonts w:ascii="ITC Avant Garde" w:hAnsi="ITC Avant Garde" w:cs="Arial"/>
          <w:color w:val="000000" w:themeColor="text1"/>
        </w:rPr>
        <w:t>Para efectos de interconexión, todos los Concesionarios aceptan la señalización PAUSI-MX a que hace referencia la “Disposición Técnica IFT-009-201</w:t>
      </w:r>
      <w:r w:rsidRPr="008762D1">
        <w:rPr>
          <w:rFonts w:ascii="ITC Avant Garde" w:hAnsi="ITC Avant Garde"/>
          <w:color w:val="000000" w:themeColor="text1"/>
        </w:rPr>
        <w:t>5</w:t>
      </w:r>
      <w:r w:rsidRPr="008762D1">
        <w:rPr>
          <w:rFonts w:ascii="ITC Avant Garde" w:hAnsi="ITC Avant Garde" w:cs="Arial"/>
          <w:color w:val="000000" w:themeColor="text1"/>
        </w:rPr>
        <w:t>, Telecomunicaciones-</w:t>
      </w:r>
      <w:proofErr w:type="spellStart"/>
      <w:r w:rsidRPr="008762D1">
        <w:rPr>
          <w:rFonts w:ascii="ITC Avant Garde" w:hAnsi="ITC Avant Garde" w:cs="Arial"/>
          <w:color w:val="000000" w:themeColor="text1"/>
        </w:rPr>
        <w:t>lnterfaz</w:t>
      </w:r>
      <w:proofErr w:type="spellEnd"/>
      <w:r w:rsidRPr="008762D1">
        <w:rPr>
          <w:rFonts w:ascii="ITC Avant Garde" w:hAnsi="ITC Avant Garde" w:cs="Arial"/>
          <w:color w:val="000000" w:themeColor="text1"/>
        </w:rPr>
        <w:t xml:space="preserve">-Parte de usuario de servicios integrados del sistema de señalización por canal común”, sujetándose de </w:t>
      </w:r>
      <w:r w:rsidRPr="008762D1">
        <w:rPr>
          <w:rFonts w:ascii="ITC Avant Garde" w:hAnsi="ITC Avant Garde" w:cs="Arial"/>
          <w:color w:val="000000" w:themeColor="text1"/>
        </w:rPr>
        <w:lastRenderedPageBreak/>
        <w:t>igual manera a lo dispuesto en las Especificaciones Técnicas de Portabilidad, las disposiciones administrativas que emita el Instituto y por el presente Convenio en lo relativo a señalización.</w:t>
      </w:r>
    </w:p>
    <w:p w14:paraId="0D7BD449" w14:textId="77777777" w:rsidR="000F0B9F" w:rsidRPr="008762D1" w:rsidRDefault="00526FE9" w:rsidP="000F0B9F">
      <w:pPr>
        <w:numPr>
          <w:ilvl w:val="3"/>
          <w:numId w:val="35"/>
        </w:numPr>
        <w:tabs>
          <w:tab w:val="num" w:pos="900"/>
        </w:tabs>
        <w:autoSpaceDE w:val="0"/>
        <w:autoSpaceDN w:val="0"/>
        <w:adjustRightInd w:val="0"/>
        <w:spacing w:before="240" w:after="0" w:line="240" w:lineRule="auto"/>
        <w:ind w:left="902"/>
        <w:jc w:val="both"/>
        <w:rPr>
          <w:rFonts w:ascii="ITC Avant Garde" w:hAnsi="ITC Avant Garde" w:cs="Arial"/>
          <w:color w:val="000000" w:themeColor="text1"/>
        </w:rPr>
      </w:pPr>
      <w:r w:rsidRPr="008762D1">
        <w:rPr>
          <w:rFonts w:ascii="ITC Avant Garde" w:hAnsi="ITC Avant Garde" w:cs="Arial"/>
          <w:color w:val="000000" w:themeColor="text1"/>
        </w:rPr>
        <w:t>Previamente a cada nueva interconexión directa que se lleve a cabo, ambas Partes realizarán los procedimientos establecidos en la Disposición Técnica IFT-009-2015, para lograr la eficaz interconexión de sus respectivas redes.</w:t>
      </w:r>
    </w:p>
    <w:p w14:paraId="24BE1C08"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2.2 Códigos de punto de señalización</w:t>
      </w:r>
    </w:p>
    <w:p w14:paraId="1AFC2015" w14:textId="77777777" w:rsidR="000F0B9F" w:rsidRPr="008762D1" w:rsidRDefault="00526FE9" w:rsidP="000F0B9F">
      <w:pPr>
        <w:numPr>
          <w:ilvl w:val="0"/>
          <w:numId w:val="36"/>
        </w:numPr>
        <w:tabs>
          <w:tab w:val="num" w:pos="900"/>
        </w:tabs>
        <w:autoSpaceDE w:val="0"/>
        <w:autoSpaceDN w:val="0"/>
        <w:adjustRightInd w:val="0"/>
        <w:spacing w:before="240"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xml:space="preserve"> El administrador de los Códigos de Punto de Señalización Nacionales (CPSN) e Internacionales (CSPI) es el Instituto, que será el encargado de asignarlos a los Concesionarios de Redes Públicas de Telecomunicaciones.</w:t>
      </w:r>
    </w:p>
    <w:p w14:paraId="7E3ECB3C" w14:textId="77777777" w:rsidR="000F0B9F" w:rsidRPr="008762D1" w:rsidRDefault="00526FE9" w:rsidP="006359EB">
      <w:pPr>
        <w:numPr>
          <w:ilvl w:val="0"/>
          <w:numId w:val="36"/>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La longitud de código a utilizar es de 14 bits.</w:t>
      </w:r>
    </w:p>
    <w:p w14:paraId="25C23C8F" w14:textId="77777777" w:rsidR="000F0B9F" w:rsidRPr="008762D1" w:rsidRDefault="00526FE9" w:rsidP="006359EB">
      <w:pPr>
        <w:numPr>
          <w:ilvl w:val="0"/>
          <w:numId w:val="36"/>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xml:space="preserve">Los códigos se asignarán en bloques de 8 </w:t>
      </w:r>
      <w:proofErr w:type="spellStart"/>
      <w:r w:rsidRPr="008762D1">
        <w:rPr>
          <w:rFonts w:ascii="ITC Avant Garde" w:hAnsi="ITC Avant Garde" w:cs="Arial"/>
          <w:color w:val="000000" w:themeColor="text1"/>
        </w:rPr>
        <w:t>ó</w:t>
      </w:r>
      <w:proofErr w:type="spellEnd"/>
      <w:r w:rsidRPr="008762D1">
        <w:rPr>
          <w:rFonts w:ascii="ITC Avant Garde" w:hAnsi="ITC Avant Garde" w:cs="Arial"/>
          <w:color w:val="000000" w:themeColor="text1"/>
        </w:rPr>
        <w:t xml:space="preserve"> 128 códigos continuos para Concesionarios, quedando los 2048 códigos del grupo 001 reservados para Teléfonos de México, S.A.B. de C.V. (en lo sucesivo, "Telmex”).</w:t>
      </w:r>
    </w:p>
    <w:p w14:paraId="6BA4342D" w14:textId="4A07BBF3" w:rsidR="00526FE9" w:rsidRPr="008762D1" w:rsidRDefault="00526FE9" w:rsidP="006359EB">
      <w:pPr>
        <w:numPr>
          <w:ilvl w:val="0"/>
          <w:numId w:val="36"/>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La estructura de los bloques de Telmex será</w:t>
      </w:r>
    </w:p>
    <w:p w14:paraId="15729D75" w14:textId="3A2D3C71" w:rsidR="00526FE9" w:rsidRPr="008762D1" w:rsidRDefault="00526FE9" w:rsidP="006359EB">
      <w:pPr>
        <w:autoSpaceDE w:val="0"/>
        <w:autoSpaceDN w:val="0"/>
        <w:adjustRightInd w:val="0"/>
        <w:ind w:left="540"/>
        <w:jc w:val="center"/>
        <w:rPr>
          <w:rFonts w:ascii="ITC Avant Garde" w:hAnsi="ITC Avant Garde" w:cs="Arial"/>
          <w:color w:val="000000" w:themeColor="text1"/>
        </w:rPr>
      </w:pPr>
      <w:r w:rsidRPr="008762D1">
        <w:rPr>
          <w:rFonts w:ascii="ITC Avant Garde" w:hAnsi="ITC Avant Garde" w:cs="Arial"/>
          <w:noProof/>
          <w:color w:val="000000" w:themeColor="text1"/>
          <w:lang w:eastAsia="es-MX"/>
        </w:rPr>
        <w:drawing>
          <wp:inline distT="0" distB="0" distL="0" distR="0" wp14:anchorId="32BC4351" wp14:editId="4CE150B8">
            <wp:extent cx="2347595" cy="231775"/>
            <wp:effectExtent l="0" t="0" r="0" b="0"/>
            <wp:docPr id="6" name="Imagen 6" descr="bloques de Telmex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7595" cy="231775"/>
                    </a:xfrm>
                    <a:prstGeom prst="rect">
                      <a:avLst/>
                    </a:prstGeom>
                    <a:noFill/>
                    <a:ln>
                      <a:noFill/>
                    </a:ln>
                  </pic:spPr>
                </pic:pic>
              </a:graphicData>
            </a:graphic>
          </wp:inline>
        </w:drawing>
      </w:r>
    </w:p>
    <w:p w14:paraId="5B15F3A7" w14:textId="1B2190FD" w:rsidR="000F0B9F" w:rsidRPr="008762D1" w:rsidRDefault="00526FE9" w:rsidP="006359EB">
      <w:pPr>
        <w:autoSpaceDE w:val="0"/>
        <w:autoSpaceDN w:val="0"/>
        <w:adjustRightInd w:val="0"/>
        <w:ind w:left="540"/>
        <w:jc w:val="center"/>
        <w:rPr>
          <w:rFonts w:ascii="ITC Avant Garde" w:hAnsi="ITC Avant Garde" w:cs="Arial"/>
          <w:color w:val="000000" w:themeColor="text1"/>
        </w:rPr>
      </w:pPr>
      <w:r w:rsidRPr="008762D1">
        <w:rPr>
          <w:rFonts w:ascii="ITC Avant Garde" w:hAnsi="ITC Avant Garde" w:cs="Arial"/>
          <w:color w:val="000000" w:themeColor="text1"/>
        </w:rPr>
        <w:t>3 bits</w:t>
      </w:r>
      <w:r w:rsidR="00D666B9" w:rsidRPr="008762D1">
        <w:rPr>
          <w:rFonts w:ascii="ITC Avant Garde" w:hAnsi="ITC Avant Garde" w:cs="Arial"/>
          <w:color w:val="000000" w:themeColor="text1"/>
        </w:rPr>
        <w:t xml:space="preserve"> </w:t>
      </w:r>
      <w:r w:rsidRPr="008762D1">
        <w:rPr>
          <w:rFonts w:ascii="ITC Avant Garde" w:hAnsi="ITC Avant Garde" w:cs="Arial"/>
          <w:color w:val="000000" w:themeColor="text1"/>
        </w:rPr>
        <w:t>11 bits códigos asignados</w:t>
      </w:r>
    </w:p>
    <w:p w14:paraId="74A0AC74" w14:textId="279A0747" w:rsidR="00526FE9" w:rsidRPr="008762D1" w:rsidRDefault="00526FE9" w:rsidP="006359EB">
      <w:pPr>
        <w:numPr>
          <w:ilvl w:val="0"/>
          <w:numId w:val="36"/>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La estructura de los bloques de 128 códigos será:</w:t>
      </w:r>
    </w:p>
    <w:p w14:paraId="5304D9EC" w14:textId="380095F8" w:rsidR="00526FE9" w:rsidRPr="008762D1" w:rsidRDefault="00526FE9" w:rsidP="006359EB">
      <w:pPr>
        <w:autoSpaceDE w:val="0"/>
        <w:autoSpaceDN w:val="0"/>
        <w:adjustRightInd w:val="0"/>
        <w:jc w:val="center"/>
        <w:rPr>
          <w:rFonts w:ascii="ITC Avant Garde" w:hAnsi="ITC Avant Garde" w:cs="Arial"/>
          <w:color w:val="000000" w:themeColor="text1"/>
        </w:rPr>
      </w:pPr>
      <w:r w:rsidRPr="008762D1">
        <w:rPr>
          <w:rFonts w:ascii="ITC Avant Garde" w:hAnsi="ITC Avant Garde" w:cs="Arial"/>
          <w:noProof/>
          <w:color w:val="000000" w:themeColor="text1"/>
          <w:lang w:eastAsia="es-MX"/>
        </w:rPr>
        <w:drawing>
          <wp:inline distT="0" distB="0" distL="0" distR="0" wp14:anchorId="7B6F595B" wp14:editId="0A06D274">
            <wp:extent cx="2320290" cy="204470"/>
            <wp:effectExtent l="0" t="0" r="3810" b="5080"/>
            <wp:docPr id="5" name="Imagen 5" descr="bloques de 128 códig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0290" cy="204470"/>
                    </a:xfrm>
                    <a:prstGeom prst="rect">
                      <a:avLst/>
                    </a:prstGeom>
                    <a:noFill/>
                    <a:ln>
                      <a:noFill/>
                    </a:ln>
                  </pic:spPr>
                </pic:pic>
              </a:graphicData>
            </a:graphic>
          </wp:inline>
        </w:drawing>
      </w:r>
    </w:p>
    <w:p w14:paraId="1C5B1CB0" w14:textId="05DE107A" w:rsidR="000F0B9F" w:rsidRPr="008762D1" w:rsidRDefault="00526FE9" w:rsidP="006359EB">
      <w:pPr>
        <w:autoSpaceDE w:val="0"/>
        <w:autoSpaceDN w:val="0"/>
        <w:adjustRightInd w:val="0"/>
        <w:ind w:left="540"/>
        <w:jc w:val="center"/>
        <w:rPr>
          <w:rFonts w:ascii="ITC Avant Garde" w:hAnsi="ITC Avant Garde" w:cs="Arial"/>
          <w:color w:val="000000" w:themeColor="text1"/>
        </w:rPr>
      </w:pPr>
      <w:r w:rsidRPr="008762D1">
        <w:rPr>
          <w:rFonts w:ascii="ITC Avant Garde" w:hAnsi="ITC Avant Garde" w:cs="Arial"/>
          <w:color w:val="000000" w:themeColor="text1"/>
        </w:rPr>
        <w:t>7 bits ID Operador</w:t>
      </w:r>
      <w:r w:rsidR="00D666B9" w:rsidRPr="008762D1">
        <w:rPr>
          <w:rFonts w:ascii="ITC Avant Garde" w:hAnsi="ITC Avant Garde" w:cs="Arial"/>
          <w:color w:val="000000" w:themeColor="text1"/>
        </w:rPr>
        <w:t xml:space="preserve"> </w:t>
      </w:r>
      <w:r w:rsidRPr="008762D1">
        <w:rPr>
          <w:rFonts w:ascii="ITC Avant Garde" w:hAnsi="ITC Avant Garde" w:cs="Arial"/>
          <w:color w:val="000000" w:themeColor="text1"/>
        </w:rPr>
        <w:t>7 bits códigos asignados</w:t>
      </w:r>
    </w:p>
    <w:p w14:paraId="62EBD781" w14:textId="743124BB" w:rsidR="00526FE9" w:rsidRPr="008762D1" w:rsidRDefault="00526FE9" w:rsidP="006359EB">
      <w:pPr>
        <w:numPr>
          <w:ilvl w:val="0"/>
          <w:numId w:val="36"/>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La estructura de los bloques de 8 códigos será:</w:t>
      </w:r>
    </w:p>
    <w:p w14:paraId="0CB75984" w14:textId="18A208DF" w:rsidR="00526FE9" w:rsidRPr="008762D1" w:rsidRDefault="00526FE9" w:rsidP="000F0B9F">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noProof/>
          <w:color w:val="000000" w:themeColor="text1"/>
          <w:lang w:eastAsia="es-MX"/>
        </w:rPr>
        <w:drawing>
          <wp:inline distT="0" distB="0" distL="0" distR="0" wp14:anchorId="79C3FD94" wp14:editId="229D5D08">
            <wp:extent cx="2292985" cy="204470"/>
            <wp:effectExtent l="0" t="0" r="0" b="5080"/>
            <wp:docPr id="4" name="Imagen 4" descr="bloques de 8 códig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2985" cy="204470"/>
                    </a:xfrm>
                    <a:prstGeom prst="rect">
                      <a:avLst/>
                    </a:prstGeom>
                    <a:noFill/>
                    <a:ln>
                      <a:noFill/>
                    </a:ln>
                  </pic:spPr>
                </pic:pic>
              </a:graphicData>
            </a:graphic>
          </wp:inline>
        </w:drawing>
      </w:r>
    </w:p>
    <w:p w14:paraId="3021D982" w14:textId="09553FC1" w:rsidR="000F0B9F" w:rsidRPr="008762D1" w:rsidRDefault="00526FE9" w:rsidP="000F0B9F">
      <w:pPr>
        <w:autoSpaceDE w:val="0"/>
        <w:autoSpaceDN w:val="0"/>
        <w:adjustRightInd w:val="0"/>
        <w:spacing w:before="240"/>
        <w:ind w:left="540"/>
        <w:jc w:val="center"/>
        <w:rPr>
          <w:rFonts w:ascii="ITC Avant Garde" w:hAnsi="ITC Avant Garde" w:cs="Arial"/>
          <w:color w:val="000000" w:themeColor="text1"/>
        </w:rPr>
      </w:pPr>
      <w:r w:rsidRPr="008762D1">
        <w:rPr>
          <w:rFonts w:ascii="ITC Avant Garde" w:hAnsi="ITC Avant Garde" w:cs="Arial"/>
          <w:color w:val="000000" w:themeColor="text1"/>
        </w:rPr>
        <w:t>11 bits ID Operador</w:t>
      </w:r>
      <w:r w:rsidR="00D666B9" w:rsidRPr="008762D1">
        <w:rPr>
          <w:rFonts w:ascii="ITC Avant Garde" w:hAnsi="ITC Avant Garde" w:cs="Arial"/>
          <w:color w:val="000000" w:themeColor="text1"/>
        </w:rPr>
        <w:t xml:space="preserve"> </w:t>
      </w:r>
      <w:r w:rsidRPr="008762D1">
        <w:rPr>
          <w:rFonts w:ascii="ITC Avant Garde" w:hAnsi="ITC Avant Garde" w:cs="Arial"/>
          <w:color w:val="000000" w:themeColor="text1"/>
        </w:rPr>
        <w:t>3 bits códigos asignados</w:t>
      </w:r>
    </w:p>
    <w:p w14:paraId="70C1A505" w14:textId="77777777" w:rsidR="000F0B9F" w:rsidRPr="008762D1" w:rsidRDefault="00526FE9" w:rsidP="000F0B9F">
      <w:pPr>
        <w:tabs>
          <w:tab w:val="left" w:pos="0"/>
        </w:tabs>
        <w:autoSpaceDE w:val="0"/>
        <w:autoSpaceDN w:val="0"/>
        <w:adjustRightInd w:val="0"/>
        <w:spacing w:before="240"/>
        <w:ind w:right="1608"/>
        <w:jc w:val="both"/>
        <w:rPr>
          <w:rFonts w:ascii="ITC Avant Garde" w:hAnsi="ITC Avant Garde" w:cs="Arial"/>
          <w:b/>
          <w:color w:val="000000" w:themeColor="text1"/>
        </w:rPr>
      </w:pPr>
      <w:r w:rsidRPr="008762D1">
        <w:rPr>
          <w:rFonts w:ascii="ITC Avant Garde" w:hAnsi="ITC Avant Garde" w:cs="Arial"/>
          <w:color w:val="000000" w:themeColor="text1"/>
        </w:rPr>
        <w:tab/>
      </w:r>
      <w:r w:rsidRPr="008762D1">
        <w:rPr>
          <w:rFonts w:ascii="ITC Avant Garde" w:hAnsi="ITC Avant Garde" w:cs="Arial"/>
          <w:b/>
          <w:color w:val="000000" w:themeColor="text1"/>
        </w:rPr>
        <w:t>INCISO: 2.3 intercambio de Dígitos</w:t>
      </w:r>
    </w:p>
    <w:p w14:paraId="35363554" w14:textId="77777777" w:rsidR="000F0B9F" w:rsidRPr="008762D1" w:rsidRDefault="00526FE9" w:rsidP="000F0B9F">
      <w:pPr>
        <w:autoSpaceDE w:val="0"/>
        <w:autoSpaceDN w:val="0"/>
        <w:adjustRightInd w:val="0"/>
        <w:spacing w:before="240"/>
        <w:jc w:val="both"/>
        <w:rPr>
          <w:rFonts w:ascii="ITC Avant Garde" w:hAnsi="ITC Avant Garde" w:cs="Times New Roman"/>
          <w:color w:val="000000" w:themeColor="text1"/>
          <w:szCs w:val="24"/>
        </w:rPr>
      </w:pPr>
      <w:r w:rsidRPr="008762D1">
        <w:rPr>
          <w:rFonts w:ascii="ITC Avant Garde" w:hAnsi="ITC Avant Garde" w:cs="Arial"/>
          <w:color w:val="000000" w:themeColor="text1"/>
        </w:rPr>
        <w:t>A continuación se definen los dígitos que deberá enviar el concesionario origen al concesionario destino de la llamada.</w:t>
      </w:r>
    </w:p>
    <w:tbl>
      <w:tblPr>
        <w:tblStyle w:val="Cuadrculadetablaclara"/>
        <w:tblW w:w="5377" w:type="pct"/>
        <w:jc w:val="center"/>
        <w:tblLook w:val="00A0" w:firstRow="1" w:lastRow="0" w:firstColumn="1" w:lastColumn="0" w:noHBand="0" w:noVBand="0"/>
        <w:tblCaption w:val="Tabla"/>
        <w:tblDescription w:val="intercambio de Dígitos"/>
      </w:tblPr>
      <w:tblGrid>
        <w:gridCol w:w="3161"/>
        <w:gridCol w:w="1994"/>
        <w:gridCol w:w="4339"/>
      </w:tblGrid>
      <w:tr w:rsidR="008762D1" w:rsidRPr="008762D1" w14:paraId="668A3341" w14:textId="77777777" w:rsidTr="00036A6A">
        <w:trPr>
          <w:tblHeader/>
          <w:jc w:val="center"/>
        </w:trPr>
        <w:tc>
          <w:tcPr>
            <w:tcW w:w="1665" w:type="pct"/>
            <w:shd w:val="clear" w:color="auto" w:fill="D9D9D9" w:themeFill="background1" w:themeFillShade="D9"/>
            <w:hideMark/>
          </w:tcPr>
          <w:p w14:paraId="4B45D0E0" w14:textId="77777777" w:rsidR="00526FE9" w:rsidRPr="008762D1" w:rsidRDefault="00526FE9" w:rsidP="006359EB">
            <w:pPr>
              <w:jc w:val="center"/>
              <w:rPr>
                <w:rFonts w:ascii="ITC Avant Garde" w:hAnsi="ITC Avant Garde" w:cs="Arial"/>
                <w:b/>
                <w:color w:val="000000" w:themeColor="text1"/>
                <w:sz w:val="17"/>
                <w:szCs w:val="17"/>
              </w:rPr>
            </w:pPr>
            <w:r w:rsidRPr="008762D1">
              <w:rPr>
                <w:rFonts w:ascii="ITC Avant Garde" w:hAnsi="ITC Avant Garde" w:cs="Arial"/>
                <w:b/>
                <w:color w:val="000000" w:themeColor="text1"/>
                <w:spacing w:val="1"/>
                <w:w w:val="74"/>
                <w:sz w:val="17"/>
                <w:szCs w:val="17"/>
              </w:rPr>
              <w:t>S</w:t>
            </w:r>
            <w:r w:rsidRPr="008762D1">
              <w:rPr>
                <w:rFonts w:ascii="ITC Avant Garde" w:hAnsi="ITC Avant Garde" w:cs="Arial"/>
                <w:b/>
                <w:color w:val="000000" w:themeColor="text1"/>
                <w:spacing w:val="1"/>
                <w:w w:val="80"/>
                <w:sz w:val="17"/>
                <w:szCs w:val="17"/>
              </w:rPr>
              <w:t>E</w:t>
            </w:r>
            <w:r w:rsidRPr="008762D1">
              <w:rPr>
                <w:rFonts w:ascii="ITC Avant Garde" w:hAnsi="ITC Avant Garde" w:cs="Arial"/>
                <w:b/>
                <w:color w:val="000000" w:themeColor="text1"/>
                <w:w w:val="83"/>
                <w:sz w:val="17"/>
                <w:szCs w:val="17"/>
              </w:rPr>
              <w:t>R</w:t>
            </w:r>
            <w:r w:rsidRPr="008762D1">
              <w:rPr>
                <w:rFonts w:ascii="ITC Avant Garde" w:hAnsi="ITC Avant Garde" w:cs="Arial"/>
                <w:b/>
                <w:color w:val="000000" w:themeColor="text1"/>
                <w:w w:val="104"/>
                <w:sz w:val="17"/>
                <w:szCs w:val="17"/>
              </w:rPr>
              <w:t>V</w:t>
            </w:r>
            <w:r w:rsidRPr="008762D1">
              <w:rPr>
                <w:rFonts w:ascii="ITC Avant Garde" w:hAnsi="ITC Avant Garde" w:cs="Arial"/>
                <w:b/>
                <w:color w:val="000000" w:themeColor="text1"/>
                <w:spacing w:val="3"/>
                <w:w w:val="80"/>
                <w:sz w:val="17"/>
                <w:szCs w:val="17"/>
              </w:rPr>
              <w:t>I</w:t>
            </w:r>
            <w:r w:rsidRPr="008762D1">
              <w:rPr>
                <w:rFonts w:ascii="ITC Avant Garde" w:hAnsi="ITC Avant Garde" w:cs="Arial"/>
                <w:b/>
                <w:color w:val="000000" w:themeColor="text1"/>
                <w:w w:val="112"/>
                <w:sz w:val="17"/>
                <w:szCs w:val="17"/>
              </w:rPr>
              <w:t>C</w:t>
            </w:r>
            <w:r w:rsidRPr="008762D1">
              <w:rPr>
                <w:rFonts w:ascii="ITC Avant Garde" w:hAnsi="ITC Avant Garde" w:cs="Arial"/>
                <w:b/>
                <w:color w:val="000000" w:themeColor="text1"/>
                <w:w w:val="103"/>
                <w:sz w:val="17"/>
                <w:szCs w:val="17"/>
              </w:rPr>
              <w:t>IO</w:t>
            </w:r>
          </w:p>
        </w:tc>
        <w:tc>
          <w:tcPr>
            <w:tcW w:w="1050" w:type="pct"/>
            <w:shd w:val="clear" w:color="auto" w:fill="D9D9D9" w:themeFill="background1" w:themeFillShade="D9"/>
            <w:hideMark/>
          </w:tcPr>
          <w:p w14:paraId="506AFCC5" w14:textId="77777777" w:rsidR="00526FE9" w:rsidRPr="008762D1" w:rsidRDefault="00526FE9" w:rsidP="006359EB">
            <w:pPr>
              <w:jc w:val="center"/>
              <w:rPr>
                <w:rFonts w:ascii="ITC Avant Garde" w:hAnsi="ITC Avant Garde" w:cs="Arial"/>
                <w:b/>
                <w:color w:val="000000" w:themeColor="text1"/>
                <w:sz w:val="17"/>
                <w:szCs w:val="17"/>
              </w:rPr>
            </w:pPr>
            <w:r w:rsidRPr="008762D1">
              <w:rPr>
                <w:rFonts w:ascii="ITC Avant Garde" w:hAnsi="ITC Avant Garde" w:cs="Arial"/>
                <w:b/>
                <w:color w:val="000000" w:themeColor="text1"/>
                <w:spacing w:val="2"/>
                <w:w w:val="109"/>
                <w:sz w:val="17"/>
                <w:szCs w:val="17"/>
              </w:rPr>
              <w:t>M</w:t>
            </w:r>
            <w:r w:rsidRPr="008762D1">
              <w:rPr>
                <w:rFonts w:ascii="ITC Avant Garde" w:hAnsi="ITC Avant Garde" w:cs="Arial"/>
                <w:b/>
                <w:color w:val="000000" w:themeColor="text1"/>
                <w:w w:val="107"/>
                <w:sz w:val="17"/>
                <w:szCs w:val="17"/>
              </w:rPr>
              <w:t>O</w:t>
            </w:r>
            <w:r w:rsidRPr="008762D1">
              <w:rPr>
                <w:rFonts w:ascii="ITC Avant Garde" w:hAnsi="ITC Avant Garde" w:cs="Arial"/>
                <w:b/>
                <w:color w:val="000000" w:themeColor="text1"/>
                <w:spacing w:val="3"/>
                <w:w w:val="107"/>
                <w:sz w:val="17"/>
                <w:szCs w:val="17"/>
              </w:rPr>
              <w:t>D</w:t>
            </w:r>
            <w:r w:rsidRPr="008762D1">
              <w:rPr>
                <w:rFonts w:ascii="ITC Avant Garde" w:hAnsi="ITC Avant Garde" w:cs="Arial"/>
                <w:b/>
                <w:color w:val="000000" w:themeColor="text1"/>
                <w:w w:val="110"/>
                <w:sz w:val="17"/>
                <w:szCs w:val="17"/>
              </w:rPr>
              <w:t>A</w:t>
            </w:r>
            <w:r w:rsidRPr="008762D1">
              <w:rPr>
                <w:rFonts w:ascii="ITC Avant Garde" w:hAnsi="ITC Avant Garde" w:cs="Arial"/>
                <w:b/>
                <w:color w:val="000000" w:themeColor="text1"/>
                <w:w w:val="82"/>
                <w:sz w:val="17"/>
                <w:szCs w:val="17"/>
              </w:rPr>
              <w:t>L</w:t>
            </w:r>
            <w:r w:rsidRPr="008762D1">
              <w:rPr>
                <w:rFonts w:ascii="ITC Avant Garde" w:hAnsi="ITC Avant Garde" w:cs="Arial"/>
                <w:b/>
                <w:color w:val="000000" w:themeColor="text1"/>
                <w:w w:val="96"/>
                <w:sz w:val="17"/>
                <w:szCs w:val="17"/>
              </w:rPr>
              <w:t>I</w:t>
            </w:r>
            <w:r w:rsidRPr="008762D1">
              <w:rPr>
                <w:rFonts w:ascii="ITC Avant Garde" w:hAnsi="ITC Avant Garde" w:cs="Arial"/>
                <w:b/>
                <w:color w:val="000000" w:themeColor="text1"/>
                <w:spacing w:val="3"/>
                <w:w w:val="96"/>
                <w:sz w:val="17"/>
                <w:szCs w:val="17"/>
              </w:rPr>
              <w:t>D</w:t>
            </w:r>
            <w:r w:rsidRPr="008762D1">
              <w:rPr>
                <w:rFonts w:ascii="ITC Avant Garde" w:hAnsi="ITC Avant Garde" w:cs="Arial"/>
                <w:b/>
                <w:color w:val="000000" w:themeColor="text1"/>
                <w:w w:val="110"/>
                <w:sz w:val="17"/>
                <w:szCs w:val="17"/>
              </w:rPr>
              <w:t>A</w:t>
            </w:r>
            <w:r w:rsidRPr="008762D1">
              <w:rPr>
                <w:rFonts w:ascii="ITC Avant Garde" w:hAnsi="ITC Avant Garde" w:cs="Arial"/>
                <w:b/>
                <w:color w:val="000000" w:themeColor="text1"/>
                <w:w w:val="102"/>
                <w:sz w:val="17"/>
                <w:szCs w:val="17"/>
              </w:rPr>
              <w:t>D</w:t>
            </w:r>
          </w:p>
        </w:tc>
        <w:tc>
          <w:tcPr>
            <w:tcW w:w="2285" w:type="pct"/>
            <w:shd w:val="clear" w:color="auto" w:fill="D9D9D9" w:themeFill="background1" w:themeFillShade="D9"/>
            <w:hideMark/>
          </w:tcPr>
          <w:p w14:paraId="336FE3FD" w14:textId="77777777" w:rsidR="00526FE9" w:rsidRPr="008762D1" w:rsidRDefault="00526FE9" w:rsidP="006359EB">
            <w:pPr>
              <w:jc w:val="center"/>
              <w:rPr>
                <w:rFonts w:ascii="ITC Avant Garde" w:hAnsi="ITC Avant Garde" w:cs="Arial"/>
                <w:b/>
                <w:color w:val="000000" w:themeColor="text1"/>
                <w:sz w:val="17"/>
                <w:szCs w:val="17"/>
              </w:rPr>
            </w:pPr>
            <w:r w:rsidRPr="008762D1">
              <w:rPr>
                <w:rFonts w:ascii="ITC Avant Garde" w:hAnsi="ITC Avant Garde" w:cs="Arial"/>
                <w:b/>
                <w:color w:val="000000" w:themeColor="text1"/>
                <w:spacing w:val="1"/>
                <w:w w:val="102"/>
                <w:sz w:val="17"/>
                <w:szCs w:val="17"/>
              </w:rPr>
              <w:t>SEÑ</w:t>
            </w:r>
            <w:r w:rsidRPr="008762D1">
              <w:rPr>
                <w:rFonts w:ascii="ITC Avant Garde" w:hAnsi="ITC Avant Garde" w:cs="Arial"/>
                <w:b/>
                <w:color w:val="000000" w:themeColor="text1"/>
                <w:w w:val="110"/>
                <w:sz w:val="17"/>
                <w:szCs w:val="17"/>
              </w:rPr>
              <w:t>A</w:t>
            </w:r>
            <w:r w:rsidRPr="008762D1">
              <w:rPr>
                <w:rFonts w:ascii="ITC Avant Garde" w:hAnsi="ITC Avant Garde" w:cs="Arial"/>
                <w:b/>
                <w:color w:val="000000" w:themeColor="text1"/>
                <w:w w:val="82"/>
                <w:sz w:val="17"/>
                <w:szCs w:val="17"/>
              </w:rPr>
              <w:t>L</w:t>
            </w:r>
            <w:r w:rsidRPr="008762D1">
              <w:rPr>
                <w:rFonts w:ascii="ITC Avant Garde" w:hAnsi="ITC Avant Garde" w:cs="Arial"/>
                <w:b/>
                <w:color w:val="000000" w:themeColor="text1"/>
                <w:w w:val="79"/>
                <w:sz w:val="17"/>
                <w:szCs w:val="17"/>
              </w:rPr>
              <w:t>I</w:t>
            </w:r>
            <w:r w:rsidRPr="008762D1">
              <w:rPr>
                <w:rFonts w:ascii="ITC Avant Garde" w:hAnsi="ITC Avant Garde" w:cs="Arial"/>
                <w:b/>
                <w:color w:val="000000" w:themeColor="text1"/>
                <w:spacing w:val="3"/>
                <w:w w:val="79"/>
                <w:sz w:val="17"/>
                <w:szCs w:val="17"/>
              </w:rPr>
              <w:t>Z</w:t>
            </w:r>
            <w:r w:rsidRPr="008762D1">
              <w:rPr>
                <w:rFonts w:ascii="ITC Avant Garde" w:hAnsi="ITC Avant Garde" w:cs="Arial"/>
                <w:b/>
                <w:color w:val="000000" w:themeColor="text1"/>
                <w:spacing w:val="1"/>
                <w:w w:val="110"/>
                <w:sz w:val="17"/>
                <w:szCs w:val="17"/>
              </w:rPr>
              <w:t>A</w:t>
            </w:r>
            <w:r w:rsidRPr="008762D1">
              <w:rPr>
                <w:rFonts w:ascii="ITC Avant Garde" w:hAnsi="ITC Avant Garde" w:cs="Arial"/>
                <w:b/>
                <w:color w:val="000000" w:themeColor="text1"/>
                <w:w w:val="112"/>
                <w:sz w:val="17"/>
                <w:szCs w:val="17"/>
              </w:rPr>
              <w:t>C</w:t>
            </w:r>
            <w:r w:rsidRPr="008762D1">
              <w:rPr>
                <w:rFonts w:ascii="ITC Avant Garde" w:hAnsi="ITC Avant Garde" w:cs="Arial"/>
                <w:b/>
                <w:color w:val="000000" w:themeColor="text1"/>
                <w:w w:val="103"/>
                <w:sz w:val="17"/>
                <w:szCs w:val="17"/>
              </w:rPr>
              <w:t>I</w:t>
            </w:r>
            <w:r w:rsidRPr="008762D1">
              <w:rPr>
                <w:rFonts w:ascii="ITC Avant Garde" w:hAnsi="ITC Avant Garde" w:cs="Arial"/>
                <w:b/>
                <w:color w:val="000000" w:themeColor="text1"/>
                <w:spacing w:val="2"/>
                <w:w w:val="103"/>
                <w:sz w:val="17"/>
                <w:szCs w:val="17"/>
              </w:rPr>
              <w:t>Ó</w:t>
            </w:r>
            <w:r w:rsidRPr="008762D1">
              <w:rPr>
                <w:rFonts w:ascii="ITC Avant Garde" w:hAnsi="ITC Avant Garde" w:cs="Arial"/>
                <w:b/>
                <w:color w:val="000000" w:themeColor="text1"/>
                <w:w w:val="102"/>
                <w:sz w:val="17"/>
                <w:szCs w:val="17"/>
              </w:rPr>
              <w:t>N</w:t>
            </w:r>
          </w:p>
        </w:tc>
      </w:tr>
      <w:tr w:rsidR="008762D1" w:rsidRPr="008762D1" w14:paraId="15FD648D" w14:textId="77777777" w:rsidTr="00036A6A">
        <w:trPr>
          <w:jc w:val="center"/>
        </w:trPr>
        <w:tc>
          <w:tcPr>
            <w:tcW w:w="1665" w:type="pct"/>
            <w:hideMark/>
          </w:tcPr>
          <w:p w14:paraId="5EDD365A"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 xml:space="preserve">Llamada Local </w:t>
            </w:r>
          </w:p>
        </w:tc>
        <w:tc>
          <w:tcPr>
            <w:tcW w:w="1050" w:type="pct"/>
            <w:hideMark/>
          </w:tcPr>
          <w:p w14:paraId="677B108E"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EQLLP</w:t>
            </w:r>
          </w:p>
        </w:tc>
        <w:tc>
          <w:tcPr>
            <w:tcW w:w="2285" w:type="pct"/>
            <w:hideMark/>
          </w:tcPr>
          <w:p w14:paraId="77370D12"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+ 044 + NN</w:t>
            </w:r>
          </w:p>
        </w:tc>
      </w:tr>
      <w:tr w:rsidR="008762D1" w:rsidRPr="008762D1" w14:paraId="384E43AB" w14:textId="77777777" w:rsidTr="00036A6A">
        <w:trPr>
          <w:jc w:val="center"/>
        </w:trPr>
        <w:tc>
          <w:tcPr>
            <w:tcW w:w="1665" w:type="pct"/>
            <w:hideMark/>
          </w:tcPr>
          <w:p w14:paraId="35073630"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 xml:space="preserve">Llamada Local </w:t>
            </w:r>
          </w:p>
        </w:tc>
        <w:tc>
          <w:tcPr>
            <w:tcW w:w="1050" w:type="pct"/>
            <w:hideMark/>
          </w:tcPr>
          <w:p w14:paraId="70B6956B"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EQRP o FIJO</w:t>
            </w:r>
          </w:p>
        </w:tc>
        <w:tc>
          <w:tcPr>
            <w:tcW w:w="2285" w:type="pct"/>
            <w:hideMark/>
          </w:tcPr>
          <w:p w14:paraId="278F1CBD"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r>
      <w:tr w:rsidR="008762D1" w:rsidRPr="008762D1" w14:paraId="3B3C2E9E" w14:textId="77777777" w:rsidTr="00036A6A">
        <w:trPr>
          <w:jc w:val="center"/>
        </w:trPr>
        <w:tc>
          <w:tcPr>
            <w:tcW w:w="1665" w:type="pct"/>
            <w:hideMark/>
          </w:tcPr>
          <w:p w14:paraId="2D86DC20"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Llamada Nacional</w:t>
            </w:r>
          </w:p>
        </w:tc>
        <w:tc>
          <w:tcPr>
            <w:tcW w:w="1050" w:type="pct"/>
            <w:hideMark/>
          </w:tcPr>
          <w:p w14:paraId="29B78BC5"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EQLLP</w:t>
            </w:r>
          </w:p>
        </w:tc>
        <w:tc>
          <w:tcPr>
            <w:tcW w:w="2285" w:type="pct"/>
            <w:hideMark/>
          </w:tcPr>
          <w:p w14:paraId="0179DDBC"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+ 045 + NN</w:t>
            </w:r>
          </w:p>
        </w:tc>
      </w:tr>
      <w:tr w:rsidR="008762D1" w:rsidRPr="008762D1" w14:paraId="29B02A67" w14:textId="77777777" w:rsidTr="00036A6A">
        <w:trPr>
          <w:jc w:val="center"/>
        </w:trPr>
        <w:tc>
          <w:tcPr>
            <w:tcW w:w="1665" w:type="pct"/>
            <w:hideMark/>
          </w:tcPr>
          <w:p w14:paraId="0ED53B85"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Llamada Nacional</w:t>
            </w:r>
          </w:p>
        </w:tc>
        <w:tc>
          <w:tcPr>
            <w:tcW w:w="1050" w:type="pct"/>
            <w:hideMark/>
          </w:tcPr>
          <w:p w14:paraId="25590D46"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EQRP o FIJO</w:t>
            </w:r>
          </w:p>
        </w:tc>
        <w:tc>
          <w:tcPr>
            <w:tcW w:w="2285" w:type="pct"/>
            <w:hideMark/>
          </w:tcPr>
          <w:p w14:paraId="645EF37F"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8762D1" w:rsidRPr="008762D1" w14:paraId="13D254D0" w14:textId="77777777" w:rsidTr="00036A6A">
        <w:trPr>
          <w:trHeight w:val="457"/>
          <w:jc w:val="center"/>
        </w:trPr>
        <w:tc>
          <w:tcPr>
            <w:tcW w:w="1665" w:type="pct"/>
            <w:hideMark/>
          </w:tcPr>
          <w:p w14:paraId="66576E08"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Llamada LD Internacional/Mundial</w:t>
            </w:r>
          </w:p>
        </w:tc>
        <w:tc>
          <w:tcPr>
            <w:tcW w:w="1050" w:type="pct"/>
            <w:hideMark/>
          </w:tcPr>
          <w:p w14:paraId="43252716"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EQLLP</w:t>
            </w:r>
          </w:p>
        </w:tc>
        <w:tc>
          <w:tcPr>
            <w:tcW w:w="2285" w:type="pct"/>
            <w:hideMark/>
          </w:tcPr>
          <w:p w14:paraId="03594C57"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+ 1 + NN</w:t>
            </w:r>
          </w:p>
        </w:tc>
      </w:tr>
      <w:tr w:rsidR="008762D1" w:rsidRPr="008762D1" w14:paraId="1C3687D0" w14:textId="77777777" w:rsidTr="00036A6A">
        <w:trPr>
          <w:jc w:val="center"/>
        </w:trPr>
        <w:tc>
          <w:tcPr>
            <w:tcW w:w="1665" w:type="pct"/>
            <w:hideMark/>
          </w:tcPr>
          <w:p w14:paraId="070C73AD"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Llamada LD Internacional/Mundial</w:t>
            </w:r>
          </w:p>
        </w:tc>
        <w:tc>
          <w:tcPr>
            <w:tcW w:w="1050" w:type="pct"/>
            <w:hideMark/>
          </w:tcPr>
          <w:p w14:paraId="03BE6B99"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EQRP o FIJO</w:t>
            </w:r>
          </w:p>
        </w:tc>
        <w:tc>
          <w:tcPr>
            <w:tcW w:w="2285" w:type="pct"/>
            <w:hideMark/>
          </w:tcPr>
          <w:p w14:paraId="3B328574"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8762D1" w:rsidRPr="008762D1" w14:paraId="771C5827" w14:textId="77777777" w:rsidTr="00036A6A">
        <w:trPr>
          <w:jc w:val="center"/>
        </w:trPr>
        <w:tc>
          <w:tcPr>
            <w:tcW w:w="1665" w:type="pct"/>
            <w:hideMark/>
          </w:tcPr>
          <w:p w14:paraId="7304F3C7"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Presuscripción Nacional</w:t>
            </w:r>
          </w:p>
        </w:tc>
        <w:tc>
          <w:tcPr>
            <w:tcW w:w="1050" w:type="pct"/>
            <w:hideMark/>
          </w:tcPr>
          <w:p w14:paraId="2009027F"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EQLLP</w:t>
            </w:r>
          </w:p>
        </w:tc>
        <w:tc>
          <w:tcPr>
            <w:tcW w:w="2285" w:type="pct"/>
            <w:hideMark/>
          </w:tcPr>
          <w:p w14:paraId="14B17684"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ABC + 045 + NN</w:t>
            </w:r>
          </w:p>
        </w:tc>
      </w:tr>
      <w:tr w:rsidR="008762D1" w:rsidRPr="008762D1" w14:paraId="78CCB01E" w14:textId="77777777" w:rsidTr="00036A6A">
        <w:trPr>
          <w:jc w:val="center"/>
        </w:trPr>
        <w:tc>
          <w:tcPr>
            <w:tcW w:w="1665" w:type="pct"/>
            <w:hideMark/>
          </w:tcPr>
          <w:p w14:paraId="156EC4D6"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lastRenderedPageBreak/>
              <w:t>Presuscripción Nacional</w:t>
            </w:r>
          </w:p>
        </w:tc>
        <w:tc>
          <w:tcPr>
            <w:tcW w:w="1050" w:type="pct"/>
            <w:hideMark/>
          </w:tcPr>
          <w:p w14:paraId="5581F22C"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EQRP o FIJO</w:t>
            </w:r>
          </w:p>
        </w:tc>
        <w:tc>
          <w:tcPr>
            <w:tcW w:w="2285" w:type="pct"/>
            <w:hideMark/>
          </w:tcPr>
          <w:p w14:paraId="7534772B"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ABC + NN</w:t>
            </w:r>
          </w:p>
        </w:tc>
      </w:tr>
      <w:tr w:rsidR="008762D1" w:rsidRPr="008762D1" w14:paraId="7A0E0A49" w14:textId="77777777" w:rsidTr="00036A6A">
        <w:trPr>
          <w:jc w:val="center"/>
        </w:trPr>
        <w:tc>
          <w:tcPr>
            <w:tcW w:w="1665" w:type="pct"/>
            <w:hideMark/>
          </w:tcPr>
          <w:p w14:paraId="5F8D66B5"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Llamadas de cobro revertido</w:t>
            </w:r>
          </w:p>
        </w:tc>
        <w:tc>
          <w:tcPr>
            <w:tcW w:w="1050" w:type="pct"/>
            <w:hideMark/>
          </w:tcPr>
          <w:p w14:paraId="4EAA18AD"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Núm. No Geográfico</w:t>
            </w:r>
          </w:p>
        </w:tc>
        <w:tc>
          <w:tcPr>
            <w:tcW w:w="2285" w:type="pct"/>
            <w:hideMark/>
          </w:tcPr>
          <w:p w14:paraId="6E818667"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01+ABC+IDO+800+7 D</w:t>
            </w:r>
          </w:p>
        </w:tc>
      </w:tr>
      <w:tr w:rsidR="008762D1" w:rsidRPr="008762D1" w14:paraId="229F2367" w14:textId="77777777" w:rsidTr="00036A6A">
        <w:trPr>
          <w:trHeight w:val="37"/>
          <w:jc w:val="center"/>
        </w:trPr>
        <w:tc>
          <w:tcPr>
            <w:tcW w:w="1665" w:type="pct"/>
            <w:hideMark/>
          </w:tcPr>
          <w:p w14:paraId="07AD8FE1"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Llamadas a Números 900</w:t>
            </w:r>
          </w:p>
        </w:tc>
        <w:tc>
          <w:tcPr>
            <w:tcW w:w="1050" w:type="pct"/>
            <w:hideMark/>
          </w:tcPr>
          <w:p w14:paraId="287559DF"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Núm. No Geográfico</w:t>
            </w:r>
          </w:p>
        </w:tc>
        <w:tc>
          <w:tcPr>
            <w:tcW w:w="2285" w:type="pct"/>
            <w:hideMark/>
          </w:tcPr>
          <w:p w14:paraId="39057D27"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01+ABC+IDO+900+7 D</w:t>
            </w:r>
          </w:p>
        </w:tc>
      </w:tr>
      <w:tr w:rsidR="00526FE9" w:rsidRPr="008762D1" w14:paraId="5FB562A8" w14:textId="77777777" w:rsidTr="00036A6A">
        <w:trPr>
          <w:jc w:val="center"/>
        </w:trPr>
        <w:tc>
          <w:tcPr>
            <w:tcW w:w="1665" w:type="pct"/>
            <w:hideMark/>
          </w:tcPr>
          <w:p w14:paraId="4E1DDEEA"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 xml:space="preserve">LD Internacional /Mundial presuscripción </w:t>
            </w:r>
          </w:p>
        </w:tc>
        <w:tc>
          <w:tcPr>
            <w:tcW w:w="1050" w:type="pct"/>
            <w:hideMark/>
          </w:tcPr>
          <w:p w14:paraId="6AFD8F32"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FIJO</w:t>
            </w:r>
          </w:p>
        </w:tc>
        <w:tc>
          <w:tcPr>
            <w:tcW w:w="2285" w:type="pct"/>
            <w:hideMark/>
          </w:tcPr>
          <w:p w14:paraId="1C6B695A" w14:textId="77777777" w:rsidR="00526FE9" w:rsidRPr="008762D1" w:rsidRDefault="00526FE9" w:rsidP="006359EB">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00+ABC+Numero Internacional/Mundial</w:t>
            </w:r>
          </w:p>
        </w:tc>
      </w:tr>
    </w:tbl>
    <w:p w14:paraId="4C6C5CBD" w14:textId="77777777" w:rsidR="00526FE9" w:rsidRPr="008762D1" w:rsidRDefault="00526FE9" w:rsidP="000F0B9F">
      <w:pPr>
        <w:autoSpaceDE w:val="0"/>
        <w:autoSpaceDN w:val="0"/>
        <w:adjustRightInd w:val="0"/>
        <w:spacing w:before="240"/>
        <w:jc w:val="both"/>
        <w:rPr>
          <w:rFonts w:ascii="ITC Avant Garde" w:hAnsi="ITC Avant Garde" w:cs="Times New Roman"/>
          <w:color w:val="000000" w:themeColor="text1"/>
          <w:sz w:val="24"/>
        </w:rPr>
      </w:pPr>
      <w:r w:rsidRPr="008762D1">
        <w:rPr>
          <w:rFonts w:ascii="ITC Avant Garde" w:hAnsi="ITC Avant Garde" w:cs="Arial"/>
          <w:color w:val="000000" w:themeColor="text1"/>
        </w:rPr>
        <w:t>Para escenarios de tránsito, el intercambio de dígitos será:</w:t>
      </w:r>
    </w:p>
    <w:tbl>
      <w:tblPr>
        <w:tblStyle w:val="Tablaconcuadrcula"/>
        <w:tblW w:w="5455" w:type="pct"/>
        <w:tblLook w:val="00A0" w:firstRow="1" w:lastRow="0" w:firstColumn="1" w:lastColumn="0" w:noHBand="0" w:noVBand="0"/>
        <w:tblCaption w:val="Tabla"/>
        <w:tblDescription w:val="escenarios de tránsito, el intercambio de dígitos "/>
      </w:tblPr>
      <w:tblGrid>
        <w:gridCol w:w="1382"/>
        <w:gridCol w:w="690"/>
        <w:gridCol w:w="215"/>
        <w:gridCol w:w="22"/>
        <w:gridCol w:w="954"/>
        <w:gridCol w:w="14"/>
        <w:gridCol w:w="2103"/>
        <w:gridCol w:w="15"/>
        <w:gridCol w:w="2103"/>
        <w:gridCol w:w="15"/>
        <w:gridCol w:w="2103"/>
        <w:gridCol w:w="15"/>
      </w:tblGrid>
      <w:tr w:rsidR="008762D1" w:rsidRPr="008762D1" w14:paraId="7E4E7B24" w14:textId="77777777" w:rsidTr="00427C5C">
        <w:trPr>
          <w:gridAfter w:val="1"/>
          <w:wAfter w:w="7" w:type="pct"/>
          <w:tblHeader/>
        </w:trPr>
        <w:tc>
          <w:tcPr>
            <w:tcW w:w="717" w:type="pct"/>
            <w:tcBorders>
              <w:bottom w:val="single" w:sz="4" w:space="0" w:color="auto"/>
            </w:tcBorders>
            <w:vAlign w:val="center"/>
            <w:hideMark/>
          </w:tcPr>
          <w:p w14:paraId="742EA9F4" w14:textId="77777777" w:rsidR="00526FE9" w:rsidRPr="008762D1" w:rsidRDefault="00526FE9" w:rsidP="008762D1">
            <w:pPr>
              <w:jc w:val="center"/>
              <w:rPr>
                <w:rFonts w:ascii="ITC Avant Garde" w:hAnsi="ITC Avant Garde" w:cs="Arial"/>
                <w:b/>
                <w:color w:val="000000" w:themeColor="text1"/>
                <w:spacing w:val="1"/>
                <w:w w:val="74"/>
                <w:sz w:val="17"/>
                <w:szCs w:val="17"/>
              </w:rPr>
            </w:pPr>
            <w:r w:rsidRPr="008762D1">
              <w:rPr>
                <w:rFonts w:ascii="ITC Avant Garde" w:hAnsi="ITC Avant Garde" w:cs="Arial"/>
                <w:b/>
                <w:color w:val="000000" w:themeColor="text1"/>
                <w:spacing w:val="1"/>
                <w:w w:val="74"/>
                <w:sz w:val="17"/>
                <w:szCs w:val="17"/>
              </w:rPr>
              <w:t>Origen</w:t>
            </w:r>
          </w:p>
        </w:tc>
        <w:tc>
          <w:tcPr>
            <w:tcW w:w="470" w:type="pct"/>
            <w:gridSpan w:val="2"/>
            <w:vAlign w:val="center"/>
            <w:hideMark/>
          </w:tcPr>
          <w:p w14:paraId="3D3AFA0A" w14:textId="77777777" w:rsidR="00526FE9" w:rsidRPr="008762D1" w:rsidRDefault="00526FE9" w:rsidP="008762D1">
            <w:pPr>
              <w:jc w:val="center"/>
              <w:rPr>
                <w:rFonts w:ascii="ITC Avant Garde" w:hAnsi="ITC Avant Garde" w:cs="Arial"/>
                <w:b/>
                <w:color w:val="000000" w:themeColor="text1"/>
                <w:spacing w:val="1"/>
                <w:w w:val="74"/>
                <w:sz w:val="17"/>
                <w:szCs w:val="17"/>
              </w:rPr>
            </w:pPr>
            <w:r w:rsidRPr="008762D1">
              <w:rPr>
                <w:rFonts w:ascii="ITC Avant Garde" w:hAnsi="ITC Avant Garde" w:cs="Arial"/>
                <w:b/>
                <w:color w:val="000000" w:themeColor="text1"/>
                <w:spacing w:val="1"/>
                <w:w w:val="74"/>
                <w:sz w:val="17"/>
                <w:szCs w:val="17"/>
              </w:rPr>
              <w:t>Modalidad</w:t>
            </w:r>
          </w:p>
        </w:tc>
        <w:tc>
          <w:tcPr>
            <w:tcW w:w="507" w:type="pct"/>
            <w:gridSpan w:val="2"/>
            <w:vAlign w:val="center"/>
            <w:hideMark/>
          </w:tcPr>
          <w:p w14:paraId="1A9729FA" w14:textId="77777777" w:rsidR="00526FE9" w:rsidRPr="008762D1" w:rsidRDefault="00526FE9" w:rsidP="008762D1">
            <w:pPr>
              <w:jc w:val="center"/>
              <w:rPr>
                <w:rFonts w:ascii="ITC Avant Garde" w:hAnsi="ITC Avant Garde" w:cs="Arial"/>
                <w:b/>
                <w:color w:val="000000" w:themeColor="text1"/>
                <w:spacing w:val="1"/>
                <w:w w:val="74"/>
                <w:sz w:val="17"/>
                <w:szCs w:val="17"/>
              </w:rPr>
            </w:pPr>
            <w:r w:rsidRPr="008762D1">
              <w:rPr>
                <w:rFonts w:ascii="ITC Avant Garde" w:hAnsi="ITC Avant Garde" w:cs="Arial"/>
                <w:b/>
                <w:color w:val="000000" w:themeColor="text1"/>
                <w:spacing w:val="1"/>
                <w:w w:val="74"/>
                <w:sz w:val="17"/>
                <w:szCs w:val="17"/>
              </w:rPr>
              <w:t>Intercambio</w:t>
            </w:r>
          </w:p>
          <w:p w14:paraId="34321537" w14:textId="77777777" w:rsidR="00526FE9" w:rsidRPr="008762D1" w:rsidRDefault="00526FE9" w:rsidP="008762D1">
            <w:pPr>
              <w:jc w:val="center"/>
              <w:rPr>
                <w:rFonts w:ascii="ITC Avant Garde" w:hAnsi="ITC Avant Garde" w:cs="Arial"/>
                <w:b/>
                <w:color w:val="000000" w:themeColor="text1"/>
                <w:spacing w:val="1"/>
                <w:w w:val="74"/>
                <w:sz w:val="17"/>
                <w:szCs w:val="17"/>
              </w:rPr>
            </w:pPr>
            <w:r w:rsidRPr="008762D1">
              <w:rPr>
                <w:rFonts w:ascii="ITC Avant Garde" w:hAnsi="ITC Avant Garde" w:cs="Arial"/>
                <w:b/>
                <w:color w:val="000000" w:themeColor="text1"/>
                <w:spacing w:val="1"/>
                <w:w w:val="74"/>
                <w:sz w:val="17"/>
                <w:szCs w:val="17"/>
              </w:rPr>
              <w:t>de dígitos</w:t>
            </w:r>
          </w:p>
          <w:p w14:paraId="0064BE12" w14:textId="77777777" w:rsidR="00526FE9" w:rsidRPr="008762D1" w:rsidRDefault="00526FE9" w:rsidP="008762D1">
            <w:pPr>
              <w:jc w:val="center"/>
              <w:rPr>
                <w:rFonts w:ascii="ITC Avant Garde" w:hAnsi="ITC Avant Garde" w:cs="Arial"/>
                <w:b/>
                <w:color w:val="000000" w:themeColor="text1"/>
                <w:spacing w:val="1"/>
                <w:w w:val="74"/>
                <w:sz w:val="17"/>
                <w:szCs w:val="17"/>
              </w:rPr>
            </w:pPr>
            <w:r w:rsidRPr="008762D1">
              <w:rPr>
                <w:rFonts w:ascii="ITC Avant Garde" w:hAnsi="ITC Avant Garde" w:cs="Arial"/>
                <w:b/>
                <w:color w:val="000000" w:themeColor="text1"/>
                <w:spacing w:val="1"/>
                <w:w w:val="74"/>
                <w:sz w:val="17"/>
                <w:szCs w:val="17"/>
              </w:rPr>
              <w:t>entre redes</w:t>
            </w:r>
          </w:p>
        </w:tc>
        <w:tc>
          <w:tcPr>
            <w:tcW w:w="1100" w:type="pct"/>
            <w:gridSpan w:val="2"/>
            <w:vAlign w:val="center"/>
            <w:hideMark/>
          </w:tcPr>
          <w:p w14:paraId="33DC58E9" w14:textId="77777777" w:rsidR="00526FE9" w:rsidRPr="008762D1" w:rsidRDefault="00526FE9" w:rsidP="008762D1">
            <w:pPr>
              <w:jc w:val="center"/>
              <w:rPr>
                <w:rFonts w:ascii="ITC Avant Garde" w:hAnsi="ITC Avant Garde" w:cs="Arial"/>
                <w:b/>
                <w:color w:val="000000" w:themeColor="text1"/>
                <w:spacing w:val="1"/>
                <w:w w:val="74"/>
                <w:sz w:val="17"/>
                <w:szCs w:val="17"/>
              </w:rPr>
            </w:pPr>
            <w:r w:rsidRPr="008762D1">
              <w:rPr>
                <w:rFonts w:ascii="ITC Avant Garde" w:hAnsi="ITC Avant Garde" w:cs="Arial"/>
                <w:b/>
                <w:color w:val="000000" w:themeColor="text1"/>
                <w:spacing w:val="1"/>
                <w:w w:val="74"/>
                <w:sz w:val="17"/>
                <w:szCs w:val="17"/>
              </w:rPr>
              <w:t>Red de Origen</w:t>
            </w:r>
          </w:p>
        </w:tc>
        <w:tc>
          <w:tcPr>
            <w:tcW w:w="1100" w:type="pct"/>
            <w:gridSpan w:val="2"/>
            <w:vAlign w:val="center"/>
            <w:hideMark/>
          </w:tcPr>
          <w:p w14:paraId="274BA81B" w14:textId="77777777" w:rsidR="00526FE9" w:rsidRPr="008762D1" w:rsidRDefault="00526FE9" w:rsidP="008762D1">
            <w:pPr>
              <w:jc w:val="center"/>
              <w:rPr>
                <w:rFonts w:ascii="ITC Avant Garde" w:hAnsi="ITC Avant Garde" w:cs="Arial"/>
                <w:b/>
                <w:color w:val="000000" w:themeColor="text1"/>
                <w:spacing w:val="1"/>
                <w:w w:val="74"/>
                <w:sz w:val="17"/>
                <w:szCs w:val="17"/>
              </w:rPr>
            </w:pPr>
            <w:r w:rsidRPr="008762D1">
              <w:rPr>
                <w:rFonts w:ascii="ITC Avant Garde" w:hAnsi="ITC Avant Garde" w:cs="Arial"/>
                <w:b/>
                <w:color w:val="000000" w:themeColor="text1"/>
                <w:spacing w:val="1"/>
                <w:w w:val="74"/>
                <w:sz w:val="17"/>
                <w:szCs w:val="17"/>
              </w:rPr>
              <w:t>Red de Transito</w:t>
            </w:r>
          </w:p>
        </w:tc>
        <w:tc>
          <w:tcPr>
            <w:tcW w:w="1100" w:type="pct"/>
            <w:gridSpan w:val="2"/>
            <w:vAlign w:val="center"/>
            <w:hideMark/>
          </w:tcPr>
          <w:p w14:paraId="1C7CE449" w14:textId="77777777" w:rsidR="00526FE9" w:rsidRPr="008762D1" w:rsidRDefault="00526FE9" w:rsidP="008762D1">
            <w:pPr>
              <w:jc w:val="center"/>
              <w:rPr>
                <w:rFonts w:ascii="ITC Avant Garde" w:hAnsi="ITC Avant Garde" w:cs="Arial"/>
                <w:b/>
                <w:color w:val="000000" w:themeColor="text1"/>
                <w:spacing w:val="1"/>
                <w:w w:val="74"/>
                <w:sz w:val="17"/>
                <w:szCs w:val="17"/>
              </w:rPr>
            </w:pPr>
            <w:r w:rsidRPr="008762D1">
              <w:rPr>
                <w:rFonts w:ascii="ITC Avant Garde" w:hAnsi="ITC Avant Garde" w:cs="Arial"/>
                <w:b/>
                <w:color w:val="000000" w:themeColor="text1"/>
                <w:spacing w:val="1"/>
                <w:w w:val="74"/>
                <w:sz w:val="17"/>
                <w:szCs w:val="17"/>
              </w:rPr>
              <w:t>Red de Destino</w:t>
            </w:r>
          </w:p>
        </w:tc>
      </w:tr>
      <w:tr w:rsidR="004460BC" w:rsidRPr="008762D1" w14:paraId="1631E14F" w14:textId="77777777" w:rsidTr="00427C5C">
        <w:trPr>
          <w:gridAfter w:val="1"/>
          <w:wAfter w:w="7" w:type="pct"/>
          <w:trHeight w:val="283"/>
        </w:trPr>
        <w:tc>
          <w:tcPr>
            <w:tcW w:w="717" w:type="pct"/>
            <w:tcBorders>
              <w:top w:val="single" w:sz="4" w:space="0" w:color="auto"/>
              <w:bottom w:val="single" w:sz="4" w:space="0" w:color="auto"/>
            </w:tcBorders>
            <w:hideMark/>
          </w:tcPr>
          <w:p w14:paraId="23D6FDE1" w14:textId="7777777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Local</w:t>
            </w:r>
          </w:p>
        </w:tc>
        <w:tc>
          <w:tcPr>
            <w:tcW w:w="470" w:type="pct"/>
            <w:gridSpan w:val="2"/>
            <w:hideMark/>
          </w:tcPr>
          <w:p w14:paraId="09D66680" w14:textId="7777777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EQLLP</w:t>
            </w:r>
          </w:p>
        </w:tc>
        <w:tc>
          <w:tcPr>
            <w:tcW w:w="507" w:type="pct"/>
            <w:gridSpan w:val="2"/>
            <w:hideMark/>
          </w:tcPr>
          <w:p w14:paraId="0126F41A" w14:textId="7777777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4E6F3461" w14:textId="7777777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IDD+IDO+044+NN</w:t>
            </w:r>
          </w:p>
        </w:tc>
        <w:tc>
          <w:tcPr>
            <w:tcW w:w="1100" w:type="pct"/>
            <w:gridSpan w:val="2"/>
            <w:hideMark/>
          </w:tcPr>
          <w:p w14:paraId="1B394A27" w14:textId="7777777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IDD+IDO+044+NN</w:t>
            </w:r>
          </w:p>
        </w:tc>
        <w:tc>
          <w:tcPr>
            <w:tcW w:w="1100" w:type="pct"/>
            <w:gridSpan w:val="2"/>
          </w:tcPr>
          <w:p w14:paraId="7FDE8218" w14:textId="2130AB7C"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IDD+IDO+044+NN</w:t>
            </w:r>
          </w:p>
        </w:tc>
      </w:tr>
      <w:tr w:rsidR="004460BC" w:rsidRPr="008762D1" w14:paraId="18663875" w14:textId="77777777" w:rsidTr="00427C5C">
        <w:trPr>
          <w:gridAfter w:val="1"/>
          <w:wAfter w:w="7" w:type="pct"/>
          <w:trHeight w:val="283"/>
        </w:trPr>
        <w:tc>
          <w:tcPr>
            <w:tcW w:w="0" w:type="auto"/>
            <w:tcBorders>
              <w:top w:val="single" w:sz="4" w:space="0" w:color="auto"/>
            </w:tcBorders>
            <w:hideMark/>
          </w:tcPr>
          <w:p w14:paraId="129D60A7" w14:textId="11995A0E" w:rsidR="004460BC" w:rsidRPr="008762D1" w:rsidRDefault="004460BC" w:rsidP="004460B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Local</w:t>
            </w:r>
          </w:p>
        </w:tc>
        <w:tc>
          <w:tcPr>
            <w:tcW w:w="0" w:type="auto"/>
            <w:gridSpan w:val="2"/>
            <w:hideMark/>
          </w:tcPr>
          <w:p w14:paraId="3A91AF0D" w14:textId="4320945E" w:rsidR="004460BC" w:rsidRPr="008762D1" w:rsidRDefault="004460BC" w:rsidP="004460B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EQLLP</w:t>
            </w:r>
          </w:p>
        </w:tc>
        <w:tc>
          <w:tcPr>
            <w:tcW w:w="507" w:type="pct"/>
            <w:gridSpan w:val="2"/>
            <w:hideMark/>
          </w:tcPr>
          <w:p w14:paraId="01F54B09" w14:textId="7777777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3A4C4C6C" w14:textId="70C6511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IDD+IDO+044+NN</w:t>
            </w:r>
          </w:p>
        </w:tc>
        <w:tc>
          <w:tcPr>
            <w:tcW w:w="1100" w:type="pct"/>
            <w:gridSpan w:val="2"/>
            <w:hideMark/>
          </w:tcPr>
          <w:p w14:paraId="1C1C8EE6" w14:textId="7777777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IDD+IDO+044+NN</w:t>
            </w:r>
          </w:p>
        </w:tc>
        <w:tc>
          <w:tcPr>
            <w:tcW w:w="1100" w:type="pct"/>
            <w:gridSpan w:val="2"/>
            <w:hideMark/>
          </w:tcPr>
          <w:p w14:paraId="0EA2D8DC" w14:textId="77777777" w:rsidR="004460BC" w:rsidRPr="008762D1" w:rsidRDefault="004460BC" w:rsidP="004460B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IDD+IDO+044+NN</w:t>
            </w:r>
          </w:p>
        </w:tc>
      </w:tr>
      <w:tr w:rsidR="00427C5C" w:rsidRPr="008762D1" w14:paraId="4C725E2A" w14:textId="77777777" w:rsidTr="00427C5C">
        <w:trPr>
          <w:gridAfter w:val="1"/>
          <w:wAfter w:w="7" w:type="pct"/>
          <w:trHeight w:val="283"/>
        </w:trPr>
        <w:tc>
          <w:tcPr>
            <w:tcW w:w="0" w:type="auto"/>
            <w:hideMark/>
          </w:tcPr>
          <w:p w14:paraId="24908D63" w14:textId="04042DDD"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Local</w:t>
            </w:r>
          </w:p>
        </w:tc>
        <w:tc>
          <w:tcPr>
            <w:tcW w:w="470" w:type="pct"/>
            <w:gridSpan w:val="2"/>
            <w:hideMark/>
          </w:tcPr>
          <w:p w14:paraId="588CE13C"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EQRP</w:t>
            </w:r>
          </w:p>
        </w:tc>
        <w:tc>
          <w:tcPr>
            <w:tcW w:w="507" w:type="pct"/>
            <w:gridSpan w:val="2"/>
            <w:hideMark/>
          </w:tcPr>
          <w:p w14:paraId="2FA9A592"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1A41A5A9"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c>
          <w:tcPr>
            <w:tcW w:w="1100" w:type="pct"/>
            <w:gridSpan w:val="2"/>
            <w:hideMark/>
          </w:tcPr>
          <w:p w14:paraId="637D1324"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c>
          <w:tcPr>
            <w:tcW w:w="1100" w:type="pct"/>
            <w:gridSpan w:val="2"/>
          </w:tcPr>
          <w:p w14:paraId="5054489C" w14:textId="59B224A8"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r>
      <w:tr w:rsidR="00427C5C" w:rsidRPr="008762D1" w14:paraId="26AB81B0" w14:textId="77777777" w:rsidTr="00427C5C">
        <w:trPr>
          <w:gridAfter w:val="1"/>
          <w:wAfter w:w="7" w:type="pct"/>
          <w:trHeight w:val="283"/>
        </w:trPr>
        <w:tc>
          <w:tcPr>
            <w:tcW w:w="0" w:type="auto"/>
            <w:hideMark/>
          </w:tcPr>
          <w:p w14:paraId="5A9354C3" w14:textId="1DD4C42C"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Local</w:t>
            </w:r>
          </w:p>
        </w:tc>
        <w:tc>
          <w:tcPr>
            <w:tcW w:w="0" w:type="auto"/>
            <w:gridSpan w:val="2"/>
            <w:hideMark/>
          </w:tcPr>
          <w:p w14:paraId="61279F12" w14:textId="0676987D"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EQRP</w:t>
            </w:r>
          </w:p>
        </w:tc>
        <w:tc>
          <w:tcPr>
            <w:tcW w:w="507" w:type="pct"/>
            <w:gridSpan w:val="2"/>
            <w:hideMark/>
          </w:tcPr>
          <w:p w14:paraId="480E5466"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68C8A53E" w14:textId="5F1B63EB"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c>
          <w:tcPr>
            <w:tcW w:w="1100" w:type="pct"/>
            <w:gridSpan w:val="2"/>
            <w:hideMark/>
          </w:tcPr>
          <w:p w14:paraId="747833B5"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c>
          <w:tcPr>
            <w:tcW w:w="1100" w:type="pct"/>
            <w:gridSpan w:val="2"/>
            <w:hideMark/>
          </w:tcPr>
          <w:p w14:paraId="42648E15"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r>
      <w:tr w:rsidR="00427C5C" w:rsidRPr="008762D1" w14:paraId="04F9248E" w14:textId="77777777" w:rsidTr="00427C5C">
        <w:trPr>
          <w:gridAfter w:val="1"/>
          <w:wAfter w:w="7" w:type="pct"/>
          <w:trHeight w:val="283"/>
        </w:trPr>
        <w:tc>
          <w:tcPr>
            <w:tcW w:w="0" w:type="auto"/>
            <w:hideMark/>
          </w:tcPr>
          <w:p w14:paraId="1C9B1069" w14:textId="2F601DCD"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Local</w:t>
            </w:r>
          </w:p>
        </w:tc>
        <w:tc>
          <w:tcPr>
            <w:tcW w:w="470" w:type="pct"/>
            <w:gridSpan w:val="2"/>
            <w:hideMark/>
          </w:tcPr>
          <w:p w14:paraId="03D14CF6"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FIJO</w:t>
            </w:r>
          </w:p>
        </w:tc>
        <w:tc>
          <w:tcPr>
            <w:tcW w:w="507" w:type="pct"/>
            <w:gridSpan w:val="2"/>
            <w:hideMark/>
          </w:tcPr>
          <w:p w14:paraId="0F82316B"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10AE8441"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c>
          <w:tcPr>
            <w:tcW w:w="1100" w:type="pct"/>
            <w:gridSpan w:val="2"/>
            <w:hideMark/>
          </w:tcPr>
          <w:p w14:paraId="121475CD"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c>
          <w:tcPr>
            <w:tcW w:w="1100" w:type="pct"/>
            <w:gridSpan w:val="2"/>
          </w:tcPr>
          <w:p w14:paraId="35F7F830" w14:textId="0ADF66AA"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r>
      <w:tr w:rsidR="00427C5C" w:rsidRPr="008762D1" w14:paraId="22CD76ED" w14:textId="77777777" w:rsidTr="00427C5C">
        <w:trPr>
          <w:gridAfter w:val="1"/>
          <w:wAfter w:w="7" w:type="pct"/>
          <w:trHeight w:val="283"/>
        </w:trPr>
        <w:tc>
          <w:tcPr>
            <w:tcW w:w="0" w:type="auto"/>
            <w:hideMark/>
          </w:tcPr>
          <w:p w14:paraId="64FC0A44" w14:textId="36EAF92A"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Local</w:t>
            </w:r>
          </w:p>
        </w:tc>
        <w:tc>
          <w:tcPr>
            <w:tcW w:w="0" w:type="auto"/>
            <w:gridSpan w:val="2"/>
            <w:hideMark/>
          </w:tcPr>
          <w:p w14:paraId="3422B2C3" w14:textId="6F659333"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FIJO</w:t>
            </w:r>
          </w:p>
        </w:tc>
        <w:tc>
          <w:tcPr>
            <w:tcW w:w="507" w:type="pct"/>
            <w:gridSpan w:val="2"/>
            <w:hideMark/>
          </w:tcPr>
          <w:p w14:paraId="3230B76F"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11F9F9F0" w14:textId="26D58CB8"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c>
          <w:tcPr>
            <w:tcW w:w="1100" w:type="pct"/>
            <w:gridSpan w:val="2"/>
            <w:hideMark/>
          </w:tcPr>
          <w:p w14:paraId="3DF63325"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c>
          <w:tcPr>
            <w:tcW w:w="1100" w:type="pct"/>
            <w:gridSpan w:val="2"/>
            <w:hideMark/>
          </w:tcPr>
          <w:p w14:paraId="2914ECCF"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IDO + NN</w:t>
            </w:r>
          </w:p>
        </w:tc>
      </w:tr>
      <w:tr w:rsidR="00427C5C" w:rsidRPr="008762D1" w14:paraId="7322664A" w14:textId="77777777" w:rsidTr="00427C5C">
        <w:trPr>
          <w:gridAfter w:val="1"/>
          <w:wAfter w:w="7" w:type="pct"/>
          <w:trHeight w:val="283"/>
        </w:trPr>
        <w:tc>
          <w:tcPr>
            <w:tcW w:w="717" w:type="pct"/>
            <w:hideMark/>
          </w:tcPr>
          <w:p w14:paraId="3F581EA4"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Nacional</w:t>
            </w:r>
          </w:p>
        </w:tc>
        <w:tc>
          <w:tcPr>
            <w:tcW w:w="470" w:type="pct"/>
            <w:gridSpan w:val="2"/>
            <w:hideMark/>
          </w:tcPr>
          <w:p w14:paraId="329C4A6D"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EQLLP</w:t>
            </w:r>
          </w:p>
        </w:tc>
        <w:tc>
          <w:tcPr>
            <w:tcW w:w="507" w:type="pct"/>
            <w:gridSpan w:val="2"/>
            <w:hideMark/>
          </w:tcPr>
          <w:p w14:paraId="30E01110"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1EFB6802"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IDD+BCD+045+NN</w:t>
            </w:r>
          </w:p>
        </w:tc>
        <w:tc>
          <w:tcPr>
            <w:tcW w:w="1100" w:type="pct"/>
            <w:gridSpan w:val="2"/>
            <w:hideMark/>
          </w:tcPr>
          <w:p w14:paraId="2DD1DC5C"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IDD+BCD+045+NN</w:t>
            </w:r>
          </w:p>
        </w:tc>
        <w:tc>
          <w:tcPr>
            <w:tcW w:w="1100" w:type="pct"/>
            <w:gridSpan w:val="2"/>
          </w:tcPr>
          <w:p w14:paraId="66FF81C6" w14:textId="486FE6B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IDD+BCD+045+NN</w:t>
            </w:r>
          </w:p>
        </w:tc>
      </w:tr>
      <w:tr w:rsidR="00427C5C" w:rsidRPr="008762D1" w14:paraId="680414DB" w14:textId="77777777" w:rsidTr="00427C5C">
        <w:trPr>
          <w:gridAfter w:val="1"/>
          <w:wAfter w:w="7" w:type="pct"/>
          <w:trHeight w:val="283"/>
        </w:trPr>
        <w:tc>
          <w:tcPr>
            <w:tcW w:w="0" w:type="auto"/>
            <w:hideMark/>
          </w:tcPr>
          <w:p w14:paraId="09BB0B2A" w14:textId="1D938DB7"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Nacional</w:t>
            </w:r>
          </w:p>
        </w:tc>
        <w:tc>
          <w:tcPr>
            <w:tcW w:w="0" w:type="auto"/>
            <w:gridSpan w:val="2"/>
            <w:hideMark/>
          </w:tcPr>
          <w:p w14:paraId="67A7FB7C" w14:textId="40B07A86"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EQLLP</w:t>
            </w:r>
          </w:p>
        </w:tc>
        <w:tc>
          <w:tcPr>
            <w:tcW w:w="507" w:type="pct"/>
            <w:gridSpan w:val="2"/>
            <w:hideMark/>
          </w:tcPr>
          <w:p w14:paraId="3267AADA"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4E1228C3" w14:textId="1047B51C"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IDD+BCD+045+NN</w:t>
            </w:r>
          </w:p>
        </w:tc>
        <w:tc>
          <w:tcPr>
            <w:tcW w:w="1100" w:type="pct"/>
            <w:gridSpan w:val="2"/>
            <w:hideMark/>
          </w:tcPr>
          <w:p w14:paraId="29B2AA31"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IDD+BCD+045+NN</w:t>
            </w:r>
          </w:p>
        </w:tc>
        <w:tc>
          <w:tcPr>
            <w:tcW w:w="1100" w:type="pct"/>
            <w:gridSpan w:val="2"/>
            <w:hideMark/>
          </w:tcPr>
          <w:p w14:paraId="4637DC1D"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IDD+BCD+045+NN</w:t>
            </w:r>
          </w:p>
        </w:tc>
      </w:tr>
      <w:tr w:rsidR="00427C5C" w:rsidRPr="008762D1" w14:paraId="64AE0490" w14:textId="77777777" w:rsidTr="00427C5C">
        <w:trPr>
          <w:gridAfter w:val="1"/>
          <w:wAfter w:w="7" w:type="pct"/>
          <w:trHeight w:val="283"/>
        </w:trPr>
        <w:tc>
          <w:tcPr>
            <w:tcW w:w="0" w:type="auto"/>
            <w:hideMark/>
          </w:tcPr>
          <w:p w14:paraId="7FA10AF8" w14:textId="43FF2D25"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Nacional</w:t>
            </w:r>
          </w:p>
        </w:tc>
        <w:tc>
          <w:tcPr>
            <w:tcW w:w="470" w:type="pct"/>
            <w:gridSpan w:val="2"/>
            <w:hideMark/>
          </w:tcPr>
          <w:p w14:paraId="602EBE22"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EQRP</w:t>
            </w:r>
          </w:p>
        </w:tc>
        <w:tc>
          <w:tcPr>
            <w:tcW w:w="507" w:type="pct"/>
            <w:gridSpan w:val="2"/>
            <w:hideMark/>
          </w:tcPr>
          <w:p w14:paraId="7C4109DF"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6624A2F3"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268C36B2"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tcPr>
          <w:p w14:paraId="6C1B0C26" w14:textId="72515993"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427C5C" w:rsidRPr="008762D1" w14:paraId="236BC3AA" w14:textId="77777777" w:rsidTr="00427C5C">
        <w:trPr>
          <w:gridAfter w:val="1"/>
          <w:wAfter w:w="7" w:type="pct"/>
          <w:trHeight w:val="283"/>
        </w:trPr>
        <w:tc>
          <w:tcPr>
            <w:tcW w:w="0" w:type="auto"/>
            <w:hideMark/>
          </w:tcPr>
          <w:p w14:paraId="02F204C6" w14:textId="35D15597"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Nacional</w:t>
            </w:r>
          </w:p>
        </w:tc>
        <w:tc>
          <w:tcPr>
            <w:tcW w:w="0" w:type="auto"/>
            <w:gridSpan w:val="2"/>
            <w:hideMark/>
          </w:tcPr>
          <w:p w14:paraId="19ADC818" w14:textId="3ACD40CC"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EQRP</w:t>
            </w:r>
          </w:p>
        </w:tc>
        <w:tc>
          <w:tcPr>
            <w:tcW w:w="507" w:type="pct"/>
            <w:gridSpan w:val="2"/>
            <w:hideMark/>
          </w:tcPr>
          <w:p w14:paraId="3AE201FC"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0B72F30C" w14:textId="0EF21C08"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53E2C64F"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3DDEB252"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427C5C" w:rsidRPr="008762D1" w14:paraId="5F08E046" w14:textId="77777777" w:rsidTr="00427C5C">
        <w:trPr>
          <w:gridAfter w:val="1"/>
          <w:wAfter w:w="7" w:type="pct"/>
          <w:trHeight w:val="283"/>
        </w:trPr>
        <w:tc>
          <w:tcPr>
            <w:tcW w:w="0" w:type="auto"/>
            <w:hideMark/>
          </w:tcPr>
          <w:p w14:paraId="783E1C5B" w14:textId="2F73C16E"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Nacional</w:t>
            </w:r>
          </w:p>
        </w:tc>
        <w:tc>
          <w:tcPr>
            <w:tcW w:w="470" w:type="pct"/>
            <w:gridSpan w:val="2"/>
            <w:hideMark/>
          </w:tcPr>
          <w:p w14:paraId="01D2D9D4"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FIJO</w:t>
            </w:r>
          </w:p>
        </w:tc>
        <w:tc>
          <w:tcPr>
            <w:tcW w:w="507" w:type="pct"/>
            <w:gridSpan w:val="2"/>
            <w:hideMark/>
          </w:tcPr>
          <w:p w14:paraId="10FB5CC8"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16231211"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5A78E380"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tcPr>
          <w:p w14:paraId="6ABC90B8" w14:textId="0DE9F1BB"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427C5C" w:rsidRPr="008762D1" w14:paraId="7C77833B" w14:textId="77777777" w:rsidTr="00427C5C">
        <w:trPr>
          <w:gridAfter w:val="1"/>
          <w:wAfter w:w="7" w:type="pct"/>
          <w:trHeight w:val="283"/>
        </w:trPr>
        <w:tc>
          <w:tcPr>
            <w:tcW w:w="0" w:type="auto"/>
            <w:hideMark/>
          </w:tcPr>
          <w:p w14:paraId="7290B9D0" w14:textId="78CFC700"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Nacional</w:t>
            </w:r>
          </w:p>
        </w:tc>
        <w:tc>
          <w:tcPr>
            <w:tcW w:w="0" w:type="auto"/>
            <w:gridSpan w:val="2"/>
            <w:hideMark/>
          </w:tcPr>
          <w:p w14:paraId="35355F58" w14:textId="561255FE"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FIJO</w:t>
            </w:r>
          </w:p>
        </w:tc>
        <w:tc>
          <w:tcPr>
            <w:tcW w:w="507" w:type="pct"/>
            <w:gridSpan w:val="2"/>
            <w:hideMark/>
          </w:tcPr>
          <w:p w14:paraId="5B977355"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5C305ED7" w14:textId="0014FA80"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46B34B93"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67672EB3"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427C5C" w:rsidRPr="008762D1" w14:paraId="0DC769FA" w14:textId="77777777" w:rsidTr="00427C5C">
        <w:trPr>
          <w:gridAfter w:val="1"/>
          <w:wAfter w:w="7" w:type="pct"/>
          <w:trHeight w:val="283"/>
        </w:trPr>
        <w:tc>
          <w:tcPr>
            <w:tcW w:w="717" w:type="pct"/>
            <w:hideMark/>
          </w:tcPr>
          <w:p w14:paraId="0FF27874"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LD Internacional /Mundial</w:t>
            </w:r>
          </w:p>
        </w:tc>
        <w:tc>
          <w:tcPr>
            <w:tcW w:w="470" w:type="pct"/>
            <w:gridSpan w:val="2"/>
            <w:hideMark/>
          </w:tcPr>
          <w:p w14:paraId="6403C418"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EQLLP</w:t>
            </w:r>
          </w:p>
        </w:tc>
        <w:tc>
          <w:tcPr>
            <w:tcW w:w="507" w:type="pct"/>
            <w:gridSpan w:val="2"/>
            <w:hideMark/>
          </w:tcPr>
          <w:p w14:paraId="7F86B145"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6D4B9B20"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IDD+BCD+1+ NN</w:t>
            </w:r>
          </w:p>
        </w:tc>
        <w:tc>
          <w:tcPr>
            <w:tcW w:w="1100" w:type="pct"/>
            <w:gridSpan w:val="2"/>
            <w:hideMark/>
          </w:tcPr>
          <w:p w14:paraId="088B0C98"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+BCD +1 +NN</w:t>
            </w:r>
          </w:p>
        </w:tc>
        <w:tc>
          <w:tcPr>
            <w:tcW w:w="1100" w:type="pct"/>
            <w:gridSpan w:val="2"/>
          </w:tcPr>
          <w:p w14:paraId="596EE155" w14:textId="04AA5013"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+ 1 +NN</w:t>
            </w:r>
          </w:p>
        </w:tc>
      </w:tr>
      <w:tr w:rsidR="00427C5C" w:rsidRPr="008762D1" w14:paraId="674F71A9" w14:textId="77777777" w:rsidTr="00427C5C">
        <w:trPr>
          <w:gridAfter w:val="1"/>
          <w:wAfter w:w="7" w:type="pct"/>
          <w:trHeight w:val="283"/>
        </w:trPr>
        <w:tc>
          <w:tcPr>
            <w:tcW w:w="0" w:type="auto"/>
            <w:hideMark/>
          </w:tcPr>
          <w:p w14:paraId="3639451B" w14:textId="230F665B"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LD Internacional /Mundial</w:t>
            </w:r>
          </w:p>
        </w:tc>
        <w:tc>
          <w:tcPr>
            <w:tcW w:w="0" w:type="auto"/>
            <w:gridSpan w:val="2"/>
            <w:hideMark/>
          </w:tcPr>
          <w:p w14:paraId="4E1CF9DE" w14:textId="20D67193"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EQLLP</w:t>
            </w:r>
          </w:p>
        </w:tc>
        <w:tc>
          <w:tcPr>
            <w:tcW w:w="507" w:type="pct"/>
            <w:gridSpan w:val="2"/>
            <w:hideMark/>
          </w:tcPr>
          <w:p w14:paraId="48AAAA6A"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56588C82" w14:textId="01A74C6B"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IDD+BCD+1+ NN</w:t>
            </w:r>
          </w:p>
        </w:tc>
        <w:tc>
          <w:tcPr>
            <w:tcW w:w="1100" w:type="pct"/>
            <w:gridSpan w:val="2"/>
            <w:hideMark/>
          </w:tcPr>
          <w:p w14:paraId="1E133590"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+BCD +1 +NN</w:t>
            </w:r>
          </w:p>
        </w:tc>
        <w:tc>
          <w:tcPr>
            <w:tcW w:w="1100" w:type="pct"/>
            <w:gridSpan w:val="2"/>
            <w:hideMark/>
          </w:tcPr>
          <w:p w14:paraId="61FAA316"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+ 1 +NN</w:t>
            </w:r>
          </w:p>
        </w:tc>
      </w:tr>
      <w:tr w:rsidR="00427C5C" w:rsidRPr="008762D1" w14:paraId="3ECBF9A7" w14:textId="77777777" w:rsidTr="00427C5C">
        <w:trPr>
          <w:gridAfter w:val="1"/>
          <w:wAfter w:w="7" w:type="pct"/>
          <w:trHeight w:val="283"/>
        </w:trPr>
        <w:tc>
          <w:tcPr>
            <w:tcW w:w="0" w:type="auto"/>
            <w:hideMark/>
          </w:tcPr>
          <w:p w14:paraId="6DC84518" w14:textId="0484AA8E"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LD Internacional /Mundial</w:t>
            </w:r>
          </w:p>
        </w:tc>
        <w:tc>
          <w:tcPr>
            <w:tcW w:w="470" w:type="pct"/>
            <w:gridSpan w:val="2"/>
            <w:hideMark/>
          </w:tcPr>
          <w:p w14:paraId="370FAEB8"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EQRP</w:t>
            </w:r>
          </w:p>
        </w:tc>
        <w:tc>
          <w:tcPr>
            <w:tcW w:w="507" w:type="pct"/>
            <w:gridSpan w:val="2"/>
            <w:hideMark/>
          </w:tcPr>
          <w:p w14:paraId="6FAE8C34"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16458C0C"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051A643B"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tcPr>
          <w:p w14:paraId="6083E3EE" w14:textId="19BF6B96"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427C5C" w:rsidRPr="008762D1" w14:paraId="7B5FB17C" w14:textId="77777777" w:rsidTr="00427C5C">
        <w:trPr>
          <w:gridAfter w:val="1"/>
          <w:wAfter w:w="7" w:type="pct"/>
          <w:trHeight w:val="283"/>
        </w:trPr>
        <w:tc>
          <w:tcPr>
            <w:tcW w:w="0" w:type="auto"/>
            <w:hideMark/>
          </w:tcPr>
          <w:p w14:paraId="32354D7E" w14:textId="7AAC2442"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LD Internacional /Mundial</w:t>
            </w:r>
          </w:p>
        </w:tc>
        <w:tc>
          <w:tcPr>
            <w:tcW w:w="0" w:type="auto"/>
            <w:gridSpan w:val="2"/>
            <w:hideMark/>
          </w:tcPr>
          <w:p w14:paraId="41EA9BBD" w14:textId="38F7FD46"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EQRP</w:t>
            </w:r>
          </w:p>
        </w:tc>
        <w:tc>
          <w:tcPr>
            <w:tcW w:w="507" w:type="pct"/>
            <w:gridSpan w:val="2"/>
            <w:hideMark/>
          </w:tcPr>
          <w:p w14:paraId="606567A4"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2D45F172" w14:textId="74803395"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6F4C6758"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61259F5E"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427C5C" w:rsidRPr="008762D1" w14:paraId="3818F283" w14:textId="77777777" w:rsidTr="00427C5C">
        <w:trPr>
          <w:gridAfter w:val="1"/>
          <w:wAfter w:w="7" w:type="pct"/>
          <w:trHeight w:val="283"/>
        </w:trPr>
        <w:tc>
          <w:tcPr>
            <w:tcW w:w="0" w:type="auto"/>
            <w:hideMark/>
          </w:tcPr>
          <w:p w14:paraId="2128E82C" w14:textId="708FBBA3"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LD Internacional /Mundial</w:t>
            </w:r>
          </w:p>
        </w:tc>
        <w:tc>
          <w:tcPr>
            <w:tcW w:w="470" w:type="pct"/>
            <w:gridSpan w:val="2"/>
            <w:hideMark/>
          </w:tcPr>
          <w:p w14:paraId="395F98DB"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FIJO</w:t>
            </w:r>
          </w:p>
        </w:tc>
        <w:tc>
          <w:tcPr>
            <w:tcW w:w="507" w:type="pct"/>
            <w:gridSpan w:val="2"/>
            <w:hideMark/>
          </w:tcPr>
          <w:p w14:paraId="2377DE3B"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48953AA6"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1FF7DB82"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tcPr>
          <w:p w14:paraId="02ACBE9B" w14:textId="2788718D"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427C5C" w:rsidRPr="008762D1" w14:paraId="134EF47C" w14:textId="77777777" w:rsidTr="00427C5C">
        <w:trPr>
          <w:gridAfter w:val="1"/>
          <w:wAfter w:w="7" w:type="pct"/>
          <w:trHeight w:val="283"/>
        </w:trPr>
        <w:tc>
          <w:tcPr>
            <w:tcW w:w="0" w:type="auto"/>
            <w:hideMark/>
          </w:tcPr>
          <w:p w14:paraId="301C59E5" w14:textId="66AC6F60"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LD Internacional /Mundial</w:t>
            </w:r>
          </w:p>
        </w:tc>
        <w:tc>
          <w:tcPr>
            <w:tcW w:w="0" w:type="auto"/>
            <w:gridSpan w:val="2"/>
            <w:hideMark/>
          </w:tcPr>
          <w:p w14:paraId="4AB1698D" w14:textId="744F25D6"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FIJO</w:t>
            </w:r>
          </w:p>
        </w:tc>
        <w:tc>
          <w:tcPr>
            <w:tcW w:w="507" w:type="pct"/>
            <w:gridSpan w:val="2"/>
            <w:hideMark/>
          </w:tcPr>
          <w:p w14:paraId="132B2B61"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7A2BE3F4" w14:textId="6D2BA8F0"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00D4FEEE"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c>
          <w:tcPr>
            <w:tcW w:w="1100" w:type="pct"/>
            <w:gridSpan w:val="2"/>
            <w:hideMark/>
          </w:tcPr>
          <w:p w14:paraId="0644AA89"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IDD + BCD + NN</w:t>
            </w:r>
          </w:p>
        </w:tc>
      </w:tr>
      <w:tr w:rsidR="00427C5C" w:rsidRPr="008762D1" w14:paraId="2793FCCC" w14:textId="77777777" w:rsidTr="00427C5C">
        <w:trPr>
          <w:trHeight w:val="285"/>
        </w:trPr>
        <w:tc>
          <w:tcPr>
            <w:tcW w:w="1075" w:type="pct"/>
            <w:gridSpan w:val="2"/>
            <w:tcBorders>
              <w:bottom w:val="single" w:sz="4" w:space="0" w:color="auto"/>
              <w:right w:val="nil"/>
            </w:tcBorders>
            <w:hideMark/>
          </w:tcPr>
          <w:p w14:paraId="5F9B9D16"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Llamadas de cobro revertido</w:t>
            </w:r>
          </w:p>
        </w:tc>
        <w:tc>
          <w:tcPr>
            <w:tcW w:w="123" w:type="pct"/>
            <w:gridSpan w:val="2"/>
            <w:tcBorders>
              <w:left w:val="nil"/>
              <w:bottom w:val="single" w:sz="4" w:space="0" w:color="auto"/>
            </w:tcBorders>
          </w:tcPr>
          <w:p w14:paraId="5705E62F" w14:textId="1BAD3A20" w:rsidR="00427C5C" w:rsidRPr="008762D1" w:rsidRDefault="00427C5C" w:rsidP="00427C5C">
            <w:pPr>
              <w:rPr>
                <w:rFonts w:ascii="ITC Avant Garde" w:hAnsi="ITC Avant Garde" w:cs="Arial"/>
                <w:color w:val="000000" w:themeColor="text1"/>
                <w:w w:val="107"/>
                <w:sz w:val="17"/>
                <w:szCs w:val="17"/>
              </w:rPr>
            </w:pPr>
          </w:p>
        </w:tc>
        <w:tc>
          <w:tcPr>
            <w:tcW w:w="504" w:type="pct"/>
            <w:gridSpan w:val="2"/>
            <w:hideMark/>
          </w:tcPr>
          <w:p w14:paraId="185C8F4C"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31F203B8"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01+ABC+IDO+800+7D</w:t>
            </w:r>
          </w:p>
        </w:tc>
        <w:tc>
          <w:tcPr>
            <w:tcW w:w="1100" w:type="pct"/>
            <w:gridSpan w:val="2"/>
            <w:hideMark/>
          </w:tcPr>
          <w:p w14:paraId="2C856AA9"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01+ABC+IDO+800+7D</w:t>
            </w:r>
          </w:p>
        </w:tc>
        <w:tc>
          <w:tcPr>
            <w:tcW w:w="1100" w:type="pct"/>
            <w:gridSpan w:val="2"/>
          </w:tcPr>
          <w:p w14:paraId="15598D72" w14:textId="7F4C3FEC"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01+ABC+IDO+800+7D</w:t>
            </w:r>
          </w:p>
        </w:tc>
      </w:tr>
      <w:tr w:rsidR="00427C5C" w:rsidRPr="008762D1" w14:paraId="480DBD36" w14:textId="77777777" w:rsidTr="00427C5C">
        <w:trPr>
          <w:trHeight w:val="229"/>
        </w:trPr>
        <w:tc>
          <w:tcPr>
            <w:tcW w:w="1075" w:type="pct"/>
            <w:gridSpan w:val="2"/>
            <w:tcBorders>
              <w:top w:val="single" w:sz="4" w:space="0" w:color="auto"/>
              <w:right w:val="nil"/>
            </w:tcBorders>
            <w:hideMark/>
          </w:tcPr>
          <w:p w14:paraId="76F47804" w14:textId="76AE5A83"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Llamadas de cobro revertido</w:t>
            </w:r>
          </w:p>
        </w:tc>
        <w:tc>
          <w:tcPr>
            <w:tcW w:w="123" w:type="pct"/>
            <w:gridSpan w:val="2"/>
            <w:tcBorders>
              <w:top w:val="single" w:sz="4" w:space="0" w:color="auto"/>
              <w:left w:val="nil"/>
              <w:bottom w:val="single" w:sz="4" w:space="0" w:color="auto"/>
            </w:tcBorders>
          </w:tcPr>
          <w:p w14:paraId="7355E24B" w14:textId="57050743" w:rsidR="00427C5C" w:rsidRPr="008762D1" w:rsidRDefault="00427C5C" w:rsidP="00427C5C">
            <w:pPr>
              <w:rPr>
                <w:rFonts w:ascii="ITC Avant Garde" w:hAnsi="ITC Avant Garde" w:cs="Arial"/>
                <w:color w:val="000000" w:themeColor="text1"/>
                <w:w w:val="107"/>
                <w:sz w:val="17"/>
                <w:szCs w:val="17"/>
                <w:lang w:val="es-ES"/>
              </w:rPr>
            </w:pPr>
          </w:p>
        </w:tc>
        <w:tc>
          <w:tcPr>
            <w:tcW w:w="504" w:type="pct"/>
            <w:gridSpan w:val="2"/>
            <w:hideMark/>
          </w:tcPr>
          <w:p w14:paraId="40D73C53"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1C321758" w14:textId="55B35082"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01+ABC+IDO+800+7D</w:t>
            </w:r>
          </w:p>
        </w:tc>
        <w:tc>
          <w:tcPr>
            <w:tcW w:w="1100" w:type="pct"/>
            <w:gridSpan w:val="2"/>
            <w:hideMark/>
          </w:tcPr>
          <w:p w14:paraId="48B6409E"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01+ABC+IDO+800+7D</w:t>
            </w:r>
          </w:p>
        </w:tc>
        <w:tc>
          <w:tcPr>
            <w:tcW w:w="1100" w:type="pct"/>
            <w:gridSpan w:val="2"/>
            <w:hideMark/>
          </w:tcPr>
          <w:p w14:paraId="12D9C957"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01+ABC+IDO+800+7D</w:t>
            </w:r>
          </w:p>
        </w:tc>
      </w:tr>
      <w:tr w:rsidR="00427C5C" w:rsidRPr="008762D1" w14:paraId="33804242" w14:textId="77777777" w:rsidTr="00427C5C">
        <w:trPr>
          <w:trHeight w:val="135"/>
        </w:trPr>
        <w:tc>
          <w:tcPr>
            <w:tcW w:w="1075" w:type="pct"/>
            <w:gridSpan w:val="2"/>
            <w:tcBorders>
              <w:right w:val="nil"/>
            </w:tcBorders>
            <w:hideMark/>
          </w:tcPr>
          <w:p w14:paraId="41D98A90"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Llamadas a Nos. 900</w:t>
            </w:r>
          </w:p>
        </w:tc>
        <w:tc>
          <w:tcPr>
            <w:tcW w:w="123" w:type="pct"/>
            <w:gridSpan w:val="2"/>
            <w:tcBorders>
              <w:top w:val="single" w:sz="4" w:space="0" w:color="auto"/>
              <w:left w:val="nil"/>
              <w:bottom w:val="single" w:sz="4" w:space="0" w:color="auto"/>
            </w:tcBorders>
          </w:tcPr>
          <w:p w14:paraId="522099B5" w14:textId="41B46D7F" w:rsidR="00427C5C" w:rsidRPr="008762D1" w:rsidRDefault="00427C5C" w:rsidP="00427C5C">
            <w:pPr>
              <w:rPr>
                <w:rFonts w:ascii="ITC Avant Garde" w:hAnsi="ITC Avant Garde" w:cs="Arial"/>
                <w:color w:val="000000" w:themeColor="text1"/>
                <w:w w:val="107"/>
                <w:sz w:val="17"/>
                <w:szCs w:val="17"/>
              </w:rPr>
            </w:pPr>
          </w:p>
        </w:tc>
        <w:tc>
          <w:tcPr>
            <w:tcW w:w="504" w:type="pct"/>
            <w:gridSpan w:val="2"/>
            <w:hideMark/>
          </w:tcPr>
          <w:p w14:paraId="47B58D78"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Envía</w:t>
            </w:r>
          </w:p>
        </w:tc>
        <w:tc>
          <w:tcPr>
            <w:tcW w:w="1100" w:type="pct"/>
            <w:gridSpan w:val="2"/>
            <w:hideMark/>
          </w:tcPr>
          <w:p w14:paraId="1B0110D5"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01+ABC+IDO+900+7D</w:t>
            </w:r>
          </w:p>
        </w:tc>
        <w:tc>
          <w:tcPr>
            <w:tcW w:w="1100" w:type="pct"/>
            <w:gridSpan w:val="2"/>
            <w:hideMark/>
          </w:tcPr>
          <w:p w14:paraId="12EF85DC"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01+ABC+IDO+900+7D</w:t>
            </w:r>
          </w:p>
        </w:tc>
        <w:tc>
          <w:tcPr>
            <w:tcW w:w="1100" w:type="pct"/>
            <w:gridSpan w:val="2"/>
          </w:tcPr>
          <w:p w14:paraId="09EF1188" w14:textId="6E9C0DAA"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01+ABC+IDO+900+7D</w:t>
            </w:r>
          </w:p>
        </w:tc>
      </w:tr>
      <w:tr w:rsidR="00427C5C" w:rsidRPr="008762D1" w14:paraId="22B2E38E" w14:textId="77777777" w:rsidTr="00427C5C">
        <w:trPr>
          <w:trHeight w:val="133"/>
        </w:trPr>
        <w:tc>
          <w:tcPr>
            <w:tcW w:w="1075" w:type="pct"/>
            <w:gridSpan w:val="2"/>
            <w:tcBorders>
              <w:right w:val="nil"/>
            </w:tcBorders>
            <w:hideMark/>
          </w:tcPr>
          <w:p w14:paraId="726FAFB3" w14:textId="62F06D6F" w:rsidR="00427C5C" w:rsidRPr="008762D1" w:rsidRDefault="00427C5C" w:rsidP="00427C5C">
            <w:pPr>
              <w:rPr>
                <w:rFonts w:ascii="ITC Avant Garde" w:hAnsi="ITC Avant Garde" w:cs="Arial"/>
                <w:color w:val="000000" w:themeColor="text1"/>
                <w:w w:val="107"/>
                <w:sz w:val="17"/>
                <w:szCs w:val="17"/>
                <w:lang w:val="es-ES"/>
              </w:rPr>
            </w:pPr>
            <w:r w:rsidRPr="008762D1">
              <w:rPr>
                <w:rFonts w:ascii="ITC Avant Garde" w:hAnsi="ITC Avant Garde" w:cs="Arial"/>
                <w:color w:val="000000" w:themeColor="text1"/>
                <w:w w:val="107"/>
                <w:sz w:val="17"/>
                <w:szCs w:val="17"/>
              </w:rPr>
              <w:t>Llamadas a Nos. 900</w:t>
            </w:r>
          </w:p>
        </w:tc>
        <w:tc>
          <w:tcPr>
            <w:tcW w:w="123" w:type="pct"/>
            <w:gridSpan w:val="2"/>
            <w:tcBorders>
              <w:top w:val="single" w:sz="4" w:space="0" w:color="auto"/>
              <w:left w:val="nil"/>
              <w:bottom w:val="single" w:sz="4" w:space="0" w:color="auto"/>
            </w:tcBorders>
          </w:tcPr>
          <w:p w14:paraId="5A7AAC20" w14:textId="5E3355CE" w:rsidR="00427C5C" w:rsidRPr="008762D1" w:rsidRDefault="00427C5C" w:rsidP="00427C5C">
            <w:pPr>
              <w:rPr>
                <w:rFonts w:ascii="ITC Avant Garde" w:hAnsi="ITC Avant Garde" w:cs="Arial"/>
                <w:color w:val="000000" w:themeColor="text1"/>
                <w:w w:val="107"/>
                <w:sz w:val="17"/>
                <w:szCs w:val="17"/>
                <w:lang w:val="es-ES"/>
              </w:rPr>
            </w:pPr>
          </w:p>
        </w:tc>
        <w:tc>
          <w:tcPr>
            <w:tcW w:w="504" w:type="pct"/>
            <w:gridSpan w:val="2"/>
            <w:hideMark/>
          </w:tcPr>
          <w:p w14:paraId="2F2A32C6"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Recibe</w:t>
            </w:r>
          </w:p>
        </w:tc>
        <w:tc>
          <w:tcPr>
            <w:tcW w:w="1100" w:type="pct"/>
            <w:gridSpan w:val="2"/>
          </w:tcPr>
          <w:p w14:paraId="00EAA608" w14:textId="14A27CAA"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01+ABC+IDO+900+7D</w:t>
            </w:r>
          </w:p>
        </w:tc>
        <w:tc>
          <w:tcPr>
            <w:tcW w:w="1100" w:type="pct"/>
            <w:gridSpan w:val="2"/>
            <w:hideMark/>
          </w:tcPr>
          <w:p w14:paraId="44F03B0D"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01+ABC+IDO+900+7D</w:t>
            </w:r>
          </w:p>
        </w:tc>
        <w:tc>
          <w:tcPr>
            <w:tcW w:w="1100" w:type="pct"/>
            <w:gridSpan w:val="2"/>
            <w:hideMark/>
          </w:tcPr>
          <w:p w14:paraId="4F1639C4" w14:textId="77777777" w:rsidR="00427C5C" w:rsidRPr="008762D1" w:rsidRDefault="00427C5C" w:rsidP="00427C5C">
            <w:pPr>
              <w:rPr>
                <w:rFonts w:ascii="ITC Avant Garde" w:hAnsi="ITC Avant Garde" w:cs="Arial"/>
                <w:color w:val="000000" w:themeColor="text1"/>
                <w:w w:val="107"/>
                <w:sz w:val="17"/>
                <w:szCs w:val="17"/>
              </w:rPr>
            </w:pPr>
            <w:r w:rsidRPr="008762D1">
              <w:rPr>
                <w:rFonts w:ascii="ITC Avant Garde" w:hAnsi="ITC Avant Garde" w:cs="Arial"/>
                <w:color w:val="000000" w:themeColor="text1"/>
                <w:w w:val="107"/>
                <w:sz w:val="17"/>
                <w:szCs w:val="17"/>
              </w:rPr>
              <w:t>01+ABC+IDO+900+7D</w:t>
            </w:r>
          </w:p>
        </w:tc>
      </w:tr>
    </w:tbl>
    <w:p w14:paraId="30C2A9D2" w14:textId="77777777" w:rsidR="00526FE9" w:rsidRPr="008762D1" w:rsidRDefault="00526FE9" w:rsidP="000F0B9F">
      <w:pPr>
        <w:autoSpaceDE w:val="0"/>
        <w:autoSpaceDN w:val="0"/>
        <w:adjustRightInd w:val="0"/>
        <w:spacing w:before="240"/>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NN = Numero Nacional</w:t>
      </w:r>
    </w:p>
    <w:p w14:paraId="36F99D6E" w14:textId="77777777" w:rsidR="00526FE9" w:rsidRPr="008762D1" w:rsidRDefault="00526FE9" w:rsidP="000F0B9F">
      <w:pPr>
        <w:autoSpaceDE w:val="0"/>
        <w:autoSpaceDN w:val="0"/>
        <w:adjustRightInd w:val="0"/>
        <w:spacing w:before="240"/>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lastRenderedPageBreak/>
        <w:t>Número Nacional = Número de Identificación de Región + Número Local</w:t>
      </w:r>
    </w:p>
    <w:p w14:paraId="21194B05" w14:textId="77777777" w:rsidR="00526FE9" w:rsidRPr="008762D1" w:rsidRDefault="00526FE9" w:rsidP="000F0B9F">
      <w:pPr>
        <w:autoSpaceDE w:val="0"/>
        <w:autoSpaceDN w:val="0"/>
        <w:adjustRightInd w:val="0"/>
        <w:spacing w:before="240"/>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Notas:</w:t>
      </w:r>
    </w:p>
    <w:p w14:paraId="625FD249" w14:textId="77777777" w:rsidR="00526FE9" w:rsidRPr="008762D1" w:rsidRDefault="00526FE9" w:rsidP="000F0B9F">
      <w:pPr>
        <w:numPr>
          <w:ilvl w:val="0"/>
          <w:numId w:val="37"/>
        </w:numPr>
        <w:autoSpaceDE w:val="0"/>
        <w:autoSpaceDN w:val="0"/>
        <w:adjustRightInd w:val="0"/>
        <w:spacing w:before="240" w:after="0" w:line="240" w:lineRule="auto"/>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 xml:space="preserve">El punto de interconexión en el cual se entregará este tipo de tráfico será el acordado entre los concesionarios </w:t>
      </w:r>
    </w:p>
    <w:p w14:paraId="111321B3" w14:textId="77777777" w:rsidR="00526FE9" w:rsidRPr="008762D1" w:rsidRDefault="00526FE9" w:rsidP="006359EB">
      <w:pPr>
        <w:numPr>
          <w:ilvl w:val="0"/>
          <w:numId w:val="37"/>
        </w:numPr>
        <w:autoSpaceDE w:val="0"/>
        <w:autoSpaceDN w:val="0"/>
        <w:adjustRightInd w:val="0"/>
        <w:spacing w:after="0" w:line="240" w:lineRule="auto"/>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Para todo el tráfico el Número real de “A” será intercambiado entre concesionarios como NN</w:t>
      </w:r>
    </w:p>
    <w:p w14:paraId="6A3B5860" w14:textId="77777777" w:rsidR="000F0B9F" w:rsidRPr="008762D1" w:rsidRDefault="00526FE9" w:rsidP="006359EB">
      <w:pPr>
        <w:numPr>
          <w:ilvl w:val="0"/>
          <w:numId w:val="37"/>
        </w:numPr>
        <w:autoSpaceDE w:val="0"/>
        <w:autoSpaceDN w:val="0"/>
        <w:adjustRightInd w:val="0"/>
        <w:spacing w:after="0" w:line="240" w:lineRule="auto"/>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Las marcaciones de llamadas LD erróneas deberán ser bloqueadas en la red de origen.</w:t>
      </w:r>
    </w:p>
    <w:p w14:paraId="60E6B23E"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rPr>
      </w:pPr>
      <w:r w:rsidRPr="008762D1">
        <w:rPr>
          <w:rFonts w:ascii="ITC Avant Garde" w:hAnsi="ITC Avant Garde" w:cs="Arial"/>
          <w:b/>
          <w:color w:val="000000" w:themeColor="text1"/>
        </w:rPr>
        <w:t>INCISO: 2.4 Topología de la red de señalización</w:t>
      </w:r>
    </w:p>
    <w:p w14:paraId="747EDB1D" w14:textId="77777777" w:rsidR="000F0B9F" w:rsidRPr="008762D1" w:rsidRDefault="00526FE9" w:rsidP="000F0B9F">
      <w:pPr>
        <w:numPr>
          <w:ilvl w:val="0"/>
          <w:numId w:val="38"/>
        </w:numPr>
        <w:tabs>
          <w:tab w:val="num" w:pos="900"/>
        </w:tabs>
        <w:autoSpaceDE w:val="0"/>
        <w:autoSpaceDN w:val="0"/>
        <w:adjustRightInd w:val="0"/>
        <w:spacing w:before="240"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Las Partes deberán interconectarse a los PTS (Punto de Transferencia de Señalización) correspondientes.</w:t>
      </w:r>
    </w:p>
    <w:p w14:paraId="086A486D" w14:textId="77777777" w:rsidR="000F0B9F" w:rsidRPr="008762D1" w:rsidRDefault="00526FE9" w:rsidP="006359EB">
      <w:pPr>
        <w:numPr>
          <w:ilvl w:val="0"/>
          <w:numId w:val="38"/>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xml:space="preserve">La interconexión en Señalización entre Concesionarios se realizará en modo </w:t>
      </w:r>
      <w:proofErr w:type="spellStart"/>
      <w:r w:rsidRPr="008762D1">
        <w:rPr>
          <w:rFonts w:ascii="ITC Avant Garde" w:hAnsi="ITC Avant Garde" w:cs="Arial"/>
          <w:color w:val="000000" w:themeColor="text1"/>
        </w:rPr>
        <w:t>Cuasiasociado</w:t>
      </w:r>
      <w:proofErr w:type="spellEnd"/>
      <w:r w:rsidRPr="008762D1">
        <w:rPr>
          <w:rFonts w:ascii="ITC Avant Garde" w:hAnsi="ITC Avant Garde" w:cs="Arial"/>
          <w:color w:val="000000" w:themeColor="text1"/>
        </w:rPr>
        <w:t xml:space="preserve"> entre sus pares de PTS.</w:t>
      </w:r>
    </w:p>
    <w:p w14:paraId="10ABBF23" w14:textId="77777777" w:rsidR="000F0B9F" w:rsidRPr="008762D1" w:rsidRDefault="00526FE9" w:rsidP="006359EB">
      <w:pPr>
        <w:numPr>
          <w:ilvl w:val="0"/>
          <w:numId w:val="38"/>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Los Concesionarios involucrados garantizarán la suficiente capacidad en sus PTS para manejar la señalización requerida para la correcta operación de su red.</w:t>
      </w:r>
    </w:p>
    <w:p w14:paraId="7C951F29" w14:textId="77777777" w:rsidR="000F0B9F" w:rsidRPr="008762D1" w:rsidRDefault="00526FE9" w:rsidP="006359EB">
      <w:pPr>
        <w:numPr>
          <w:ilvl w:val="0"/>
          <w:numId w:val="38"/>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xml:space="preserve">La ingeniería de los enlaces se hará en base a 0.4 </w:t>
      </w:r>
      <w:proofErr w:type="spellStart"/>
      <w:r w:rsidRPr="008762D1">
        <w:rPr>
          <w:rFonts w:ascii="ITC Avant Garde" w:hAnsi="ITC Avant Garde" w:cs="Arial"/>
          <w:color w:val="000000" w:themeColor="text1"/>
        </w:rPr>
        <w:t>Erlang</w:t>
      </w:r>
      <w:proofErr w:type="spellEnd"/>
      <w:r w:rsidRPr="008762D1">
        <w:rPr>
          <w:rFonts w:ascii="ITC Avant Garde" w:hAnsi="ITC Avant Garde" w:cs="Arial"/>
          <w:color w:val="000000" w:themeColor="text1"/>
        </w:rPr>
        <w:t xml:space="preserve"> en operación normal por cada uno y a 0.8 </w:t>
      </w:r>
      <w:proofErr w:type="spellStart"/>
      <w:r w:rsidRPr="008762D1">
        <w:rPr>
          <w:rFonts w:ascii="ITC Avant Garde" w:hAnsi="ITC Avant Garde" w:cs="Arial"/>
          <w:color w:val="000000" w:themeColor="text1"/>
        </w:rPr>
        <w:t>Erlang</w:t>
      </w:r>
      <w:proofErr w:type="spellEnd"/>
      <w:r w:rsidRPr="008762D1">
        <w:rPr>
          <w:rFonts w:ascii="ITC Avant Garde" w:hAnsi="ITC Avant Garde" w:cs="Arial"/>
          <w:color w:val="000000" w:themeColor="text1"/>
        </w:rPr>
        <w:t xml:space="preserve"> en caso de falla.</w:t>
      </w:r>
    </w:p>
    <w:p w14:paraId="537E0D30" w14:textId="77777777" w:rsidR="000F0B9F" w:rsidRPr="008762D1" w:rsidRDefault="00526FE9" w:rsidP="006359EB">
      <w:pPr>
        <w:numPr>
          <w:ilvl w:val="0"/>
          <w:numId w:val="38"/>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Los Enlaces de Señalización serán en orden de E1s conectados directamente a los PTS, manejando canales de 64 kbps iniciando con el SLC</w:t>
      </w:r>
      <w:r w:rsidRPr="008762D1">
        <w:rPr>
          <w:rFonts w:ascii="ITC Avant Garde" w:hAnsi="ITC Avant Garde" w:cs="Arial"/>
          <w:color w:val="000000" w:themeColor="text1"/>
          <w:vertAlign w:val="superscript"/>
        </w:rPr>
        <w:footnoteReference w:id="8"/>
      </w:r>
      <w:r w:rsidRPr="008762D1">
        <w:rPr>
          <w:rFonts w:ascii="ITC Avant Garde" w:hAnsi="ITC Avant Garde" w:cs="Arial"/>
          <w:color w:val="000000" w:themeColor="text1"/>
          <w:vertAlign w:val="superscript"/>
        </w:rPr>
        <w:t xml:space="preserve"> </w:t>
      </w:r>
      <w:r w:rsidRPr="008762D1">
        <w:rPr>
          <w:rFonts w:ascii="ITC Avant Garde" w:hAnsi="ITC Avant Garde" w:cs="Arial"/>
          <w:color w:val="000000" w:themeColor="text1"/>
        </w:rPr>
        <w:t>= 0 y luego creciendo secuencialmente.</w:t>
      </w:r>
    </w:p>
    <w:p w14:paraId="3E784819" w14:textId="16B3636F" w:rsidR="000F0B9F" w:rsidRPr="008762D1" w:rsidRDefault="00526FE9" w:rsidP="006359EB">
      <w:pPr>
        <w:numPr>
          <w:ilvl w:val="0"/>
          <w:numId w:val="38"/>
        </w:numPr>
        <w:tabs>
          <w:tab w:val="num" w:pos="900"/>
        </w:tabs>
        <w:autoSpaceDE w:val="0"/>
        <w:autoSpaceDN w:val="0"/>
        <w:adjustRightInd w:val="0"/>
        <w:spacing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xml:space="preserve">La toma de los circuitos se hará en forma ascendente secuencial (1, 2, </w:t>
      </w:r>
      <w:proofErr w:type="gramStart"/>
      <w:r w:rsidRPr="008762D1">
        <w:rPr>
          <w:rFonts w:ascii="ITC Avant Garde" w:hAnsi="ITC Avant Garde" w:cs="Arial"/>
          <w:color w:val="000000" w:themeColor="text1"/>
        </w:rPr>
        <w:t>3 )</w:t>
      </w:r>
      <w:proofErr w:type="gramEnd"/>
      <w:r w:rsidRPr="008762D1">
        <w:rPr>
          <w:rFonts w:ascii="ITC Avant Garde" w:hAnsi="ITC Avant Garde" w:cs="Arial"/>
          <w:color w:val="000000" w:themeColor="text1"/>
        </w:rPr>
        <w:t xml:space="preserve"> desde la central de conmutación que posea el Código de Punto de </w:t>
      </w:r>
      <w:proofErr w:type="spellStart"/>
      <w:r w:rsidRPr="008762D1">
        <w:rPr>
          <w:rFonts w:ascii="ITC Avant Garde" w:hAnsi="ITC Avant Garde" w:cs="Arial"/>
          <w:color w:val="000000" w:themeColor="text1"/>
        </w:rPr>
        <w:t>Originación</w:t>
      </w:r>
      <w:proofErr w:type="spellEnd"/>
      <w:r w:rsidRPr="008762D1">
        <w:rPr>
          <w:rFonts w:ascii="ITC Avant Garde" w:hAnsi="ITC Avant Garde" w:cs="Arial"/>
          <w:color w:val="000000" w:themeColor="text1"/>
        </w:rPr>
        <w:t xml:space="preserve"> ("OPC”, por sus siglas en inglés) mayor; y en forma descendente secuencial (63, 62, 61; 50, 59,...........) desde la central de conmutación que posea el "OPC" menor.</w:t>
      </w:r>
    </w:p>
    <w:p w14:paraId="79F25D4C"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rPr>
      </w:pPr>
      <w:r w:rsidRPr="008762D1">
        <w:rPr>
          <w:rFonts w:ascii="ITC Avant Garde" w:hAnsi="ITC Avant Garde" w:cs="Arial"/>
          <w:b/>
          <w:color w:val="000000" w:themeColor="text1"/>
        </w:rPr>
        <w:t>INCISO: 2.5 Especificación de Señalización.</w:t>
      </w:r>
    </w:p>
    <w:p w14:paraId="22633CA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Envío de información:</w:t>
      </w:r>
    </w:p>
    <w:p w14:paraId="7AE8A60D" w14:textId="61F22ADD" w:rsidR="00526FE9" w:rsidRPr="008762D1" w:rsidRDefault="00526FE9" w:rsidP="000F0B9F">
      <w:pPr>
        <w:numPr>
          <w:ilvl w:val="0"/>
          <w:numId w:val="39"/>
        </w:numPr>
        <w:tabs>
          <w:tab w:val="num" w:pos="900"/>
        </w:tabs>
        <w:autoSpaceDE w:val="0"/>
        <w:autoSpaceDN w:val="0"/>
        <w:adjustRightInd w:val="0"/>
        <w:spacing w:before="240" w:after="0" w:line="240"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La información para el establecimiento de la llamada PAUSI-MX Disposición Técnica IFT-009-2015 se enviará en bloque.</w:t>
      </w:r>
    </w:p>
    <w:p w14:paraId="3AE0E048" w14:textId="77777777" w:rsidR="000F0B9F" w:rsidRPr="008762D1" w:rsidRDefault="00526FE9" w:rsidP="006359EB">
      <w:pPr>
        <w:numPr>
          <w:ilvl w:val="0"/>
          <w:numId w:val="39"/>
        </w:numPr>
        <w:tabs>
          <w:tab w:val="num" w:pos="900"/>
        </w:tabs>
        <w:autoSpaceDE w:val="0"/>
        <w:autoSpaceDN w:val="0"/>
        <w:adjustRightInd w:val="0"/>
        <w:spacing w:after="0" w:line="240"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En los casos en que la llamada de origen local o nacional se incluirá el número origen de la llamada como número nacional dentro del mensaje inicial de direccionamiento (IAM por sus siglas en idioma inglés). En los casos que la llamada sea origen internacional y cuando el número de "A" esté disponible, se entregará a la red de destino en el siguiente formato: 00 + código de país + NN. Cuando no esté disponible, el campo se dejará vacío.</w:t>
      </w:r>
    </w:p>
    <w:p w14:paraId="0E39294F" w14:textId="77777777" w:rsidR="000F0B9F" w:rsidRPr="008762D1" w:rsidRDefault="00526FE9" w:rsidP="000F0B9F">
      <w:pPr>
        <w:tabs>
          <w:tab w:val="right" w:pos="8838"/>
        </w:tabs>
        <w:autoSpaceDE w:val="0"/>
        <w:autoSpaceDN w:val="0"/>
        <w:adjustRightInd w:val="0"/>
        <w:spacing w:before="240"/>
        <w:jc w:val="both"/>
        <w:rPr>
          <w:rFonts w:ascii="ITC Avant Garde" w:hAnsi="ITC Avant Garde" w:cs="Arial"/>
          <w:b/>
          <w:color w:val="000000" w:themeColor="text1"/>
        </w:rPr>
      </w:pPr>
      <w:r w:rsidRPr="008762D1">
        <w:rPr>
          <w:rFonts w:ascii="ITC Avant Garde" w:hAnsi="ITC Avant Garde" w:cs="Arial"/>
          <w:b/>
          <w:color w:val="000000" w:themeColor="text1"/>
        </w:rPr>
        <w:lastRenderedPageBreak/>
        <w:t>TEMA: 3. Suministro de Circuitos y Puertos.</w:t>
      </w:r>
    </w:p>
    <w:p w14:paraId="321F3AA0" w14:textId="7BA89A6C"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b/>
          <w:color w:val="000000" w:themeColor="text1"/>
        </w:rPr>
        <w:t>INCISO: 3.1. Recepción de Enlaces de Señalización y Puertos de Acceso</w:t>
      </w:r>
      <w:r w:rsidRPr="008762D1">
        <w:rPr>
          <w:rFonts w:ascii="ITC Avant Garde" w:hAnsi="ITC Avant Garde"/>
          <w:b/>
          <w:color w:val="000000" w:themeColor="text1"/>
        </w:rPr>
        <w:t>.</w:t>
      </w:r>
    </w:p>
    <w:p w14:paraId="18F3D7AE" w14:textId="77777777" w:rsidR="000F0B9F" w:rsidRPr="008762D1" w:rsidRDefault="00526FE9" w:rsidP="000F0B9F">
      <w:pPr>
        <w:numPr>
          <w:ilvl w:val="3"/>
          <w:numId w:val="40"/>
        </w:numPr>
        <w:tabs>
          <w:tab w:val="num" w:pos="900"/>
        </w:tabs>
        <w:autoSpaceDE w:val="0"/>
        <w:autoSpaceDN w:val="0"/>
        <w:adjustRightInd w:val="0"/>
        <w:spacing w:before="240"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Los requerimientos de servicios de puertos y enlaces de señalización  deberán ser contratados conforme a los plazos establecidos en el Anexo E.</w:t>
      </w:r>
    </w:p>
    <w:p w14:paraId="3F57340B" w14:textId="77777777" w:rsidR="000F0B9F" w:rsidRPr="008762D1" w:rsidRDefault="00526FE9" w:rsidP="000F0B9F">
      <w:pPr>
        <w:numPr>
          <w:ilvl w:val="0"/>
          <w:numId w:val="40"/>
        </w:numPr>
        <w:tabs>
          <w:tab w:val="num" w:pos="900"/>
        </w:tabs>
        <w:autoSpaceDE w:val="0"/>
        <w:autoSpaceDN w:val="0"/>
        <w:adjustRightInd w:val="0"/>
        <w:spacing w:before="240"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Una vez realizado un contrato de puertos y enlaces de señalización, el Concesionario Contratante no podrá cancelar o modificar la ubicación de dichos puertos o enlaces de señalización antes del período mencionado en el punto anterior.</w:t>
      </w:r>
    </w:p>
    <w:p w14:paraId="7C46FB85" w14:textId="77777777" w:rsidR="000F0B9F" w:rsidRPr="008762D1" w:rsidRDefault="00526FE9" w:rsidP="000F0B9F">
      <w:pPr>
        <w:numPr>
          <w:ilvl w:val="0"/>
          <w:numId w:val="40"/>
        </w:numPr>
        <w:tabs>
          <w:tab w:val="num" w:pos="900"/>
        </w:tabs>
        <w:autoSpaceDE w:val="0"/>
        <w:autoSpaceDN w:val="0"/>
        <w:adjustRightInd w:val="0"/>
        <w:spacing w:before="240" w:after="0" w:line="240"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Para la recepción de los puertos y Enlaces de Señalización se seguirá el procedimiento descrito en el diagrama de flujo anexo.</w:t>
      </w:r>
    </w:p>
    <w:p w14:paraId="16842AF3" w14:textId="77777777" w:rsidR="000F0B9F" w:rsidRPr="008762D1" w:rsidRDefault="00526FE9" w:rsidP="000F0B9F">
      <w:pPr>
        <w:autoSpaceDE w:val="0"/>
        <w:autoSpaceDN w:val="0"/>
        <w:adjustRightInd w:val="0"/>
        <w:spacing w:before="240"/>
        <w:ind w:left="900"/>
        <w:jc w:val="both"/>
        <w:rPr>
          <w:rFonts w:ascii="ITC Avant Garde" w:hAnsi="ITC Avant Garde" w:cs="Arial"/>
          <w:color w:val="000000" w:themeColor="text1"/>
        </w:rPr>
      </w:pPr>
      <w:r w:rsidRPr="008762D1">
        <w:rPr>
          <w:rFonts w:ascii="ITC Avant Garde" w:hAnsi="ITC Avant Garde" w:cs="Arial"/>
          <w:color w:val="000000" w:themeColor="text1"/>
        </w:rPr>
        <w:t>Se realizarán pruebas conjuntamente entre las Partes del medio de transmisión durante un tiempo de 15 minutos.</w:t>
      </w:r>
    </w:p>
    <w:p w14:paraId="5EE50BF6" w14:textId="77777777" w:rsidR="000F0B9F" w:rsidRPr="008762D1" w:rsidRDefault="00526FE9" w:rsidP="000F0B9F">
      <w:pPr>
        <w:autoSpaceDE w:val="0"/>
        <w:autoSpaceDN w:val="0"/>
        <w:adjustRightInd w:val="0"/>
        <w:spacing w:before="240"/>
        <w:ind w:left="900"/>
        <w:jc w:val="both"/>
        <w:rPr>
          <w:rFonts w:ascii="ITC Avant Garde" w:hAnsi="ITC Avant Garde" w:cs="Arial"/>
          <w:color w:val="000000" w:themeColor="text1"/>
        </w:rPr>
      </w:pPr>
      <w:r w:rsidRPr="008762D1">
        <w:rPr>
          <w:rFonts w:ascii="ITC Avant Garde" w:hAnsi="ITC Avant Garde" w:cs="Arial"/>
          <w:color w:val="000000" w:themeColor="text1"/>
        </w:rPr>
        <w:t>Se llevará a cabo un monitoreo de 24 horas de los puertos y enlaces de señalización que se están recibiendo, previamente a la puesta en operación de los mismos. Dicho periodo de observación o monitoreo será responsabilidad del contratante. En los casos en que el contratante no tenga acceso a uno de los dos extremos, el proveedor conectará en bucle dicho extremo.</w:t>
      </w:r>
    </w:p>
    <w:p w14:paraId="5F5CC7D3" w14:textId="67706BD1" w:rsidR="00526FE9" w:rsidRPr="008762D1" w:rsidRDefault="00526FE9" w:rsidP="000F0B9F">
      <w:pPr>
        <w:autoSpaceDE w:val="0"/>
        <w:autoSpaceDN w:val="0"/>
        <w:adjustRightInd w:val="0"/>
        <w:spacing w:before="240"/>
        <w:ind w:left="900"/>
        <w:jc w:val="both"/>
        <w:rPr>
          <w:rFonts w:ascii="ITC Avant Garde" w:hAnsi="ITC Avant Garde" w:cs="Arial"/>
          <w:color w:val="000000" w:themeColor="text1"/>
        </w:rPr>
      </w:pPr>
      <w:r w:rsidRPr="008762D1">
        <w:rPr>
          <w:rFonts w:ascii="ITC Avant Garde" w:hAnsi="ITC Avant Garde" w:cs="Arial"/>
          <w:color w:val="000000" w:themeColor="text1"/>
        </w:rPr>
        <w:t>Luego de que sean exitosas las pruebas de 24 horas del medio de transmisión, se realizarán pruebas de correspondencia a nivel transmisión y, en caso de ser exitosas, se continuara con pruebas de correspondencia de CIC, detectando el bloqueo y procesando al menos una llamada por el canal 1 y 17 de cada puerto a nivel E1, dejando el puerto y el enlace de señalización en servicio a partir del momento de concluir las pruebas.</w:t>
      </w:r>
    </w:p>
    <w:p w14:paraId="056ADBC6" w14:textId="1D69CA4E" w:rsidR="00526FE9" w:rsidRPr="008762D1" w:rsidRDefault="00526FE9" w:rsidP="000F0B9F">
      <w:pPr>
        <w:autoSpaceDE w:val="0"/>
        <w:autoSpaceDN w:val="0"/>
        <w:adjustRightInd w:val="0"/>
        <w:spacing w:before="240" w:line="276" w:lineRule="auto"/>
        <w:jc w:val="center"/>
        <w:rPr>
          <w:rFonts w:ascii="ITC Avant Garde" w:hAnsi="ITC Avant Garde" w:cs="Arial"/>
          <w:color w:val="000000" w:themeColor="text1"/>
          <w:sz w:val="24"/>
          <w:szCs w:val="24"/>
        </w:rPr>
      </w:pPr>
      <w:r w:rsidRPr="008762D1">
        <w:rPr>
          <w:rFonts w:ascii="ITC Avant Garde" w:hAnsi="ITC Avant Garde"/>
          <w:b/>
          <w:noProof/>
          <w:color w:val="000000" w:themeColor="text1"/>
          <w:w w:val="75"/>
          <w:lang w:eastAsia="es-MX"/>
        </w:rPr>
        <w:lastRenderedPageBreak/>
        <w:drawing>
          <wp:inline distT="0" distB="0" distL="0" distR="0" wp14:anchorId="6EE40AFA" wp14:editId="5733D972">
            <wp:extent cx="4776470" cy="5295265"/>
            <wp:effectExtent l="0" t="0" r="5080" b="635"/>
            <wp:docPr id="3" name="Imagen 3" descr="Procedimiento para la recepción y puesta en operación de servicios de interconex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6470" cy="5295265"/>
                    </a:xfrm>
                    <a:prstGeom prst="rect">
                      <a:avLst/>
                    </a:prstGeom>
                    <a:noFill/>
                    <a:ln>
                      <a:noFill/>
                    </a:ln>
                  </pic:spPr>
                </pic:pic>
              </a:graphicData>
            </a:graphic>
          </wp:inline>
        </w:drawing>
      </w:r>
    </w:p>
    <w:p w14:paraId="313F5304"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TEMA: 4. Operación y Mantenimiento</w:t>
      </w:r>
    </w:p>
    <w:p w14:paraId="45346A9E"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4.1 Premisas</w:t>
      </w:r>
    </w:p>
    <w:p w14:paraId="021057DD" w14:textId="77777777" w:rsidR="000F0B9F" w:rsidRPr="008762D1" w:rsidRDefault="00526FE9" w:rsidP="000F0B9F">
      <w:pPr>
        <w:numPr>
          <w:ilvl w:val="0"/>
          <w:numId w:val="41"/>
        </w:numPr>
        <w:tabs>
          <w:tab w:val="num" w:pos="900"/>
        </w:tabs>
        <w:autoSpaceDE w:val="0"/>
        <w:autoSpaceDN w:val="0"/>
        <w:adjustRightInd w:val="0"/>
        <w:spacing w:before="240"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Se considera aceptado un enlace de señalización y/o puerto para su operación, cuando ha cumplido exitosamente el inciso 3.1 anterior.</w:t>
      </w:r>
    </w:p>
    <w:p w14:paraId="5D1E4675" w14:textId="77777777" w:rsidR="000F0B9F" w:rsidRPr="008762D1" w:rsidRDefault="00526FE9" w:rsidP="006359EB">
      <w:pPr>
        <w:numPr>
          <w:ilvl w:val="0"/>
          <w:numId w:val="41"/>
        </w:numPr>
        <w:tabs>
          <w:tab w:val="num" w:pos="900"/>
        </w:tabs>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Todas las funciones de manejo de tráfico conmutado serán ejecutadas de manera no discriminatoria, sin excepción y bajo toda circunstancia.</w:t>
      </w:r>
    </w:p>
    <w:p w14:paraId="28D4C9A0" w14:textId="77777777" w:rsidR="000F0B9F" w:rsidRPr="008762D1" w:rsidRDefault="00526FE9" w:rsidP="006359EB">
      <w:pPr>
        <w:numPr>
          <w:ilvl w:val="0"/>
          <w:numId w:val="41"/>
        </w:numPr>
        <w:tabs>
          <w:tab w:val="num" w:pos="900"/>
        </w:tabs>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Para una misma categoría de servicio, los enlaces de señalización deberán ser tratados en forma no discriminatoria.</w:t>
      </w:r>
    </w:p>
    <w:p w14:paraId="4A985F27" w14:textId="6D81D4FC" w:rsidR="00526FE9" w:rsidRPr="008762D1" w:rsidRDefault="00526FE9" w:rsidP="006359EB">
      <w:pPr>
        <w:numPr>
          <w:ilvl w:val="0"/>
          <w:numId w:val="41"/>
        </w:numPr>
        <w:tabs>
          <w:tab w:val="num" w:pos="900"/>
        </w:tabs>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Los Enlaces de Señalización que se utilizarán serán a nivel E1.</w:t>
      </w:r>
    </w:p>
    <w:p w14:paraId="097E79E5"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4.2 Mantenimiento Programado</w:t>
      </w:r>
    </w:p>
    <w:p w14:paraId="101EAAAD" w14:textId="77777777" w:rsidR="000F0B9F" w:rsidRPr="008762D1" w:rsidRDefault="00526FE9" w:rsidP="000F0B9F">
      <w:pPr>
        <w:numPr>
          <w:ilvl w:val="0"/>
          <w:numId w:val="42"/>
        </w:numPr>
        <w:tabs>
          <w:tab w:val="num" w:pos="900"/>
        </w:tabs>
        <w:autoSpaceDE w:val="0"/>
        <w:autoSpaceDN w:val="0"/>
        <w:adjustRightInd w:val="0"/>
        <w:spacing w:before="240"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lastRenderedPageBreak/>
        <w:t>Se define como "Mantenimiento Programado" cualquier actividad programada con anticipación que se realice en la red de un Concesionario y pueda afectar el servicio de otro Concesionario.</w:t>
      </w:r>
    </w:p>
    <w:p w14:paraId="56AD4DDB" w14:textId="77777777" w:rsidR="000F0B9F" w:rsidRPr="008762D1" w:rsidRDefault="00526FE9" w:rsidP="006359EB">
      <w:pPr>
        <w:numPr>
          <w:ilvl w:val="0"/>
          <w:numId w:val="42"/>
        </w:numPr>
        <w:tabs>
          <w:tab w:val="num" w:pos="900"/>
        </w:tabs>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Cada Concesionario deberá establecer un Punto único de Contacto Operativo que será responsable de notificar y coordinar los mantenimientos programados con el o los otros Concesionarios.</w:t>
      </w:r>
    </w:p>
    <w:p w14:paraId="08057F26" w14:textId="03866A6B" w:rsidR="00526FE9" w:rsidRPr="008762D1" w:rsidRDefault="00526FE9" w:rsidP="006359EB">
      <w:pPr>
        <w:numPr>
          <w:ilvl w:val="0"/>
          <w:numId w:val="42"/>
        </w:numPr>
        <w:tabs>
          <w:tab w:val="num" w:pos="900"/>
        </w:tabs>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Todo Mantenimiento Programado deberá:</w:t>
      </w:r>
    </w:p>
    <w:p w14:paraId="55EB85E2" w14:textId="77777777" w:rsidR="00526FE9" w:rsidRPr="008762D1" w:rsidRDefault="00526FE9" w:rsidP="000F0B9F">
      <w:pPr>
        <w:numPr>
          <w:ilvl w:val="1"/>
          <w:numId w:val="42"/>
        </w:numPr>
        <w:autoSpaceDE w:val="0"/>
        <w:autoSpaceDN w:val="0"/>
        <w:adjustRightInd w:val="0"/>
        <w:spacing w:before="240"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Ser notificado con al menos 8 (ocho) días naturales de anticipación.</w:t>
      </w:r>
    </w:p>
    <w:p w14:paraId="477C07F7"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Ser ejecutado preferentemente entre las 00:00 y las 06:00 horas (hora local)</w:t>
      </w:r>
    </w:p>
    <w:p w14:paraId="7C4A78E7"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Contener en la notificación, como mínimo:</w:t>
      </w:r>
    </w:p>
    <w:p w14:paraId="500D1E84" w14:textId="77777777" w:rsidR="00526FE9" w:rsidRPr="008762D1" w:rsidRDefault="00526FE9" w:rsidP="000F0B9F">
      <w:pPr>
        <w:numPr>
          <w:ilvl w:val="1"/>
          <w:numId w:val="42"/>
        </w:numPr>
        <w:tabs>
          <w:tab w:val="clear" w:pos="1364"/>
          <w:tab w:val="num" w:pos="1800"/>
        </w:tabs>
        <w:autoSpaceDE w:val="0"/>
        <w:autoSpaceDN w:val="0"/>
        <w:adjustRightInd w:val="0"/>
        <w:spacing w:before="240" w:after="0" w:line="276" w:lineRule="auto"/>
        <w:ind w:left="1800"/>
        <w:jc w:val="both"/>
        <w:rPr>
          <w:rFonts w:ascii="ITC Avant Garde" w:hAnsi="ITC Avant Garde" w:cs="Arial"/>
          <w:color w:val="000000" w:themeColor="text1"/>
        </w:rPr>
      </w:pPr>
      <w:r w:rsidRPr="008762D1">
        <w:rPr>
          <w:rFonts w:ascii="ITC Avant Garde" w:hAnsi="ITC Avant Garde" w:cs="Arial"/>
          <w:color w:val="000000" w:themeColor="text1"/>
        </w:rPr>
        <w:t>Nombre y cargo de la persona que notifica.</w:t>
      </w:r>
    </w:p>
    <w:p w14:paraId="22589DAC" w14:textId="77777777" w:rsidR="00526FE9" w:rsidRPr="008762D1" w:rsidRDefault="00526FE9" w:rsidP="006359EB">
      <w:pPr>
        <w:numPr>
          <w:ilvl w:val="1"/>
          <w:numId w:val="42"/>
        </w:numPr>
        <w:tabs>
          <w:tab w:val="clear" w:pos="1364"/>
          <w:tab w:val="num" w:pos="1800"/>
        </w:tabs>
        <w:autoSpaceDE w:val="0"/>
        <w:autoSpaceDN w:val="0"/>
        <w:adjustRightInd w:val="0"/>
        <w:spacing w:after="0" w:line="276" w:lineRule="auto"/>
        <w:ind w:left="1800"/>
        <w:jc w:val="both"/>
        <w:rPr>
          <w:rFonts w:ascii="ITC Avant Garde" w:hAnsi="ITC Avant Garde" w:cs="Arial"/>
          <w:color w:val="000000" w:themeColor="text1"/>
        </w:rPr>
      </w:pPr>
      <w:r w:rsidRPr="008762D1">
        <w:rPr>
          <w:rFonts w:ascii="ITC Avant Garde" w:hAnsi="ITC Avant Garde" w:cs="Arial"/>
          <w:color w:val="000000" w:themeColor="text1"/>
        </w:rPr>
        <w:t>Día y hora de inicio</w:t>
      </w:r>
    </w:p>
    <w:p w14:paraId="3CA5A2A8" w14:textId="77777777" w:rsidR="00526FE9" w:rsidRPr="008762D1" w:rsidRDefault="00526FE9" w:rsidP="006359EB">
      <w:pPr>
        <w:numPr>
          <w:ilvl w:val="1"/>
          <w:numId w:val="42"/>
        </w:numPr>
        <w:tabs>
          <w:tab w:val="clear" w:pos="1364"/>
          <w:tab w:val="num" w:pos="1800"/>
        </w:tabs>
        <w:autoSpaceDE w:val="0"/>
        <w:autoSpaceDN w:val="0"/>
        <w:adjustRightInd w:val="0"/>
        <w:spacing w:after="0" w:line="276" w:lineRule="auto"/>
        <w:ind w:left="1800"/>
        <w:jc w:val="both"/>
        <w:rPr>
          <w:rFonts w:ascii="ITC Avant Garde" w:hAnsi="ITC Avant Garde" w:cs="Arial"/>
          <w:color w:val="000000" w:themeColor="text1"/>
        </w:rPr>
      </w:pPr>
      <w:r w:rsidRPr="008762D1">
        <w:rPr>
          <w:rFonts w:ascii="ITC Avant Garde" w:hAnsi="ITC Avant Garde" w:cs="Arial"/>
          <w:color w:val="000000" w:themeColor="text1"/>
        </w:rPr>
        <w:t>Tiempo estimado de duración del mantenimiento</w:t>
      </w:r>
    </w:p>
    <w:p w14:paraId="395DD256" w14:textId="77777777" w:rsidR="00526FE9" w:rsidRPr="008762D1" w:rsidRDefault="00526FE9" w:rsidP="006359EB">
      <w:pPr>
        <w:numPr>
          <w:ilvl w:val="1"/>
          <w:numId w:val="42"/>
        </w:numPr>
        <w:tabs>
          <w:tab w:val="clear" w:pos="1364"/>
          <w:tab w:val="num" w:pos="1800"/>
        </w:tabs>
        <w:autoSpaceDE w:val="0"/>
        <w:autoSpaceDN w:val="0"/>
        <w:adjustRightInd w:val="0"/>
        <w:spacing w:after="0" w:line="276" w:lineRule="auto"/>
        <w:ind w:left="1800"/>
        <w:jc w:val="both"/>
        <w:rPr>
          <w:rFonts w:ascii="ITC Avant Garde" w:hAnsi="ITC Avant Garde" w:cs="Arial"/>
          <w:color w:val="000000" w:themeColor="text1"/>
        </w:rPr>
      </w:pPr>
      <w:r w:rsidRPr="008762D1">
        <w:rPr>
          <w:rFonts w:ascii="ITC Avant Garde" w:hAnsi="ITC Avant Garde" w:cs="Arial"/>
          <w:color w:val="000000" w:themeColor="text1"/>
        </w:rPr>
        <w:t>Probable afectación o efectos en la Red del otro Concesionario durante las acciones de mantenimiento (incluir listado de servicios afectados por intervención)</w:t>
      </w:r>
    </w:p>
    <w:p w14:paraId="5F5AF5C5" w14:textId="77777777" w:rsidR="00526FE9" w:rsidRPr="008762D1" w:rsidRDefault="00526FE9" w:rsidP="006359EB">
      <w:pPr>
        <w:numPr>
          <w:ilvl w:val="1"/>
          <w:numId w:val="42"/>
        </w:numPr>
        <w:tabs>
          <w:tab w:val="clear" w:pos="1364"/>
          <w:tab w:val="num" w:pos="1800"/>
        </w:tabs>
        <w:autoSpaceDE w:val="0"/>
        <w:autoSpaceDN w:val="0"/>
        <w:adjustRightInd w:val="0"/>
        <w:spacing w:after="0" w:line="276" w:lineRule="auto"/>
        <w:ind w:left="1800"/>
        <w:jc w:val="both"/>
        <w:rPr>
          <w:rFonts w:ascii="ITC Avant Garde" w:hAnsi="ITC Avant Garde" w:cs="Arial"/>
          <w:color w:val="000000" w:themeColor="text1"/>
        </w:rPr>
      </w:pPr>
      <w:r w:rsidRPr="008762D1">
        <w:rPr>
          <w:rFonts w:ascii="ITC Avant Garde" w:hAnsi="ITC Avant Garde" w:cs="Arial"/>
          <w:color w:val="000000" w:themeColor="text1"/>
        </w:rPr>
        <w:t>Número(s) telefónicos de coordinación</w:t>
      </w:r>
    </w:p>
    <w:p w14:paraId="3738D51F" w14:textId="77777777" w:rsidR="000F0B9F" w:rsidRPr="008762D1" w:rsidRDefault="00526FE9" w:rsidP="006359EB">
      <w:pPr>
        <w:numPr>
          <w:ilvl w:val="1"/>
          <w:numId w:val="42"/>
        </w:numPr>
        <w:tabs>
          <w:tab w:val="clear" w:pos="1364"/>
          <w:tab w:val="num" w:pos="1800"/>
        </w:tabs>
        <w:autoSpaceDE w:val="0"/>
        <w:autoSpaceDN w:val="0"/>
        <w:adjustRightInd w:val="0"/>
        <w:spacing w:after="0" w:line="276" w:lineRule="auto"/>
        <w:ind w:left="1800"/>
        <w:jc w:val="both"/>
        <w:rPr>
          <w:rFonts w:ascii="ITC Avant Garde" w:hAnsi="ITC Avant Garde" w:cs="Arial"/>
          <w:color w:val="000000" w:themeColor="text1"/>
        </w:rPr>
      </w:pPr>
      <w:r w:rsidRPr="008762D1">
        <w:rPr>
          <w:rFonts w:ascii="ITC Avant Garde" w:hAnsi="ITC Avant Garde" w:cs="Arial"/>
          <w:color w:val="000000" w:themeColor="text1"/>
        </w:rPr>
        <w:t>Acciones preventivas en caso de contingencia que ocurran durante las acciones de mantenimiento.</w:t>
      </w:r>
    </w:p>
    <w:p w14:paraId="28EF682C" w14:textId="5190B33C" w:rsidR="00526FE9" w:rsidRPr="008762D1" w:rsidRDefault="00526FE9" w:rsidP="000F0B9F">
      <w:pPr>
        <w:numPr>
          <w:ilvl w:val="0"/>
          <w:numId w:val="43"/>
        </w:numPr>
        <w:tabs>
          <w:tab w:val="num" w:pos="851"/>
        </w:tabs>
        <w:autoSpaceDE w:val="0"/>
        <w:autoSpaceDN w:val="0"/>
        <w:adjustRightInd w:val="0"/>
        <w:spacing w:before="240"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La recepción de toda notificación deberá ser confirmada de forma inmediata y por escrito vía correo electrónico y debe contener como mínimo:</w:t>
      </w:r>
    </w:p>
    <w:p w14:paraId="037C339C" w14:textId="77777777" w:rsidR="00526FE9" w:rsidRPr="008762D1" w:rsidRDefault="00526FE9" w:rsidP="000F0B9F">
      <w:pPr>
        <w:numPr>
          <w:ilvl w:val="0"/>
          <w:numId w:val="44"/>
        </w:numPr>
        <w:tabs>
          <w:tab w:val="clear" w:pos="284"/>
          <w:tab w:val="num" w:pos="1440"/>
        </w:tabs>
        <w:autoSpaceDE w:val="0"/>
        <w:autoSpaceDN w:val="0"/>
        <w:adjustRightInd w:val="0"/>
        <w:spacing w:before="240" w:after="0" w:line="276" w:lineRule="auto"/>
        <w:ind w:left="1440"/>
        <w:jc w:val="both"/>
        <w:rPr>
          <w:rFonts w:ascii="ITC Avant Garde" w:hAnsi="ITC Avant Garde" w:cs="Arial"/>
          <w:color w:val="000000" w:themeColor="text1"/>
        </w:rPr>
      </w:pPr>
      <w:r w:rsidRPr="008762D1">
        <w:rPr>
          <w:rFonts w:ascii="ITC Avant Garde" w:hAnsi="ITC Avant Garde" w:cs="Arial"/>
          <w:color w:val="000000" w:themeColor="text1"/>
        </w:rPr>
        <w:t>Nombre y cargo de la persona que recibe la notificación.</w:t>
      </w:r>
    </w:p>
    <w:p w14:paraId="4ED4900F" w14:textId="77777777" w:rsidR="00526FE9" w:rsidRPr="008762D1" w:rsidRDefault="00526FE9" w:rsidP="006359EB">
      <w:pPr>
        <w:numPr>
          <w:ilvl w:val="0"/>
          <w:numId w:val="44"/>
        </w:numPr>
        <w:tabs>
          <w:tab w:val="clear" w:pos="284"/>
          <w:tab w:val="num" w:pos="1440"/>
        </w:tabs>
        <w:autoSpaceDE w:val="0"/>
        <w:autoSpaceDN w:val="0"/>
        <w:adjustRightInd w:val="0"/>
        <w:spacing w:after="0" w:line="276" w:lineRule="auto"/>
        <w:ind w:left="1440"/>
        <w:jc w:val="both"/>
        <w:rPr>
          <w:rFonts w:ascii="ITC Avant Garde" w:hAnsi="ITC Avant Garde" w:cs="Arial"/>
          <w:color w:val="000000" w:themeColor="text1"/>
        </w:rPr>
      </w:pPr>
      <w:r w:rsidRPr="008762D1">
        <w:rPr>
          <w:rFonts w:ascii="ITC Avant Garde" w:hAnsi="ITC Avant Garde" w:cs="Arial"/>
          <w:color w:val="000000" w:themeColor="text1"/>
        </w:rPr>
        <w:t>Día y hora de notificación.</w:t>
      </w:r>
    </w:p>
    <w:p w14:paraId="4BA7659E" w14:textId="77777777" w:rsidR="00526FE9" w:rsidRPr="008762D1" w:rsidRDefault="00526FE9" w:rsidP="006359EB">
      <w:pPr>
        <w:numPr>
          <w:ilvl w:val="0"/>
          <w:numId w:val="44"/>
        </w:numPr>
        <w:tabs>
          <w:tab w:val="clear" w:pos="284"/>
          <w:tab w:val="num" w:pos="1440"/>
        </w:tabs>
        <w:autoSpaceDE w:val="0"/>
        <w:autoSpaceDN w:val="0"/>
        <w:adjustRightInd w:val="0"/>
        <w:spacing w:after="0" w:line="276" w:lineRule="auto"/>
        <w:ind w:left="1440"/>
        <w:jc w:val="both"/>
        <w:rPr>
          <w:rFonts w:ascii="ITC Avant Garde" w:hAnsi="ITC Avant Garde" w:cs="Arial"/>
          <w:color w:val="000000" w:themeColor="text1"/>
        </w:rPr>
      </w:pPr>
      <w:r w:rsidRPr="008762D1">
        <w:rPr>
          <w:rFonts w:ascii="ITC Avant Garde" w:hAnsi="ITC Avant Garde" w:cs="Arial"/>
          <w:color w:val="000000" w:themeColor="text1"/>
        </w:rPr>
        <w:t>Número(s) telefónicos de coordinación.</w:t>
      </w:r>
    </w:p>
    <w:p w14:paraId="438829BD" w14:textId="77777777" w:rsidR="000F0B9F" w:rsidRPr="008762D1" w:rsidRDefault="00526FE9" w:rsidP="006359EB">
      <w:pPr>
        <w:numPr>
          <w:ilvl w:val="0"/>
          <w:numId w:val="44"/>
        </w:numPr>
        <w:tabs>
          <w:tab w:val="clear" w:pos="284"/>
          <w:tab w:val="num" w:pos="1440"/>
        </w:tabs>
        <w:autoSpaceDE w:val="0"/>
        <w:autoSpaceDN w:val="0"/>
        <w:adjustRightInd w:val="0"/>
        <w:spacing w:after="0" w:line="276" w:lineRule="auto"/>
        <w:ind w:left="1440"/>
        <w:jc w:val="both"/>
        <w:rPr>
          <w:rFonts w:ascii="ITC Avant Garde" w:hAnsi="ITC Avant Garde" w:cs="Arial"/>
          <w:color w:val="000000" w:themeColor="text1"/>
        </w:rPr>
      </w:pPr>
      <w:r w:rsidRPr="008762D1">
        <w:rPr>
          <w:rFonts w:ascii="ITC Avant Garde" w:hAnsi="ITC Avant Garde" w:cs="Arial"/>
          <w:color w:val="000000" w:themeColor="text1"/>
        </w:rPr>
        <w:t>Número o clave de acuse de recibo.</w:t>
      </w:r>
    </w:p>
    <w:p w14:paraId="3B6ACEE9"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4.3 Delimitación de Responsabilidades</w:t>
      </w:r>
    </w:p>
    <w:p w14:paraId="44A8E28C" w14:textId="77777777" w:rsidR="000F0B9F" w:rsidRPr="008762D1" w:rsidRDefault="00526FE9" w:rsidP="000F0B9F">
      <w:pPr>
        <w:numPr>
          <w:ilvl w:val="3"/>
          <w:numId w:val="45"/>
        </w:numPr>
        <w:autoSpaceDE w:val="0"/>
        <w:autoSpaceDN w:val="0"/>
        <w:adjustRightInd w:val="0"/>
        <w:spacing w:before="240" w:after="0" w:line="276" w:lineRule="auto"/>
        <w:ind w:left="900"/>
        <w:jc w:val="both"/>
        <w:rPr>
          <w:rFonts w:ascii="ITC Avant Garde" w:hAnsi="ITC Avant Garde" w:cs="Arial"/>
          <w:color w:val="000000" w:themeColor="text1"/>
        </w:rPr>
      </w:pPr>
      <w:r w:rsidRPr="008762D1">
        <w:rPr>
          <w:rFonts w:ascii="ITC Avant Garde" w:hAnsi="ITC Avant Garde"/>
          <w:color w:val="000000" w:themeColor="text1"/>
        </w:rPr>
        <w:t>Las interconexiones preferidas entre Concesionarios se realizarán en un BDTD (Bastidor Distribuidor de Troncales Digitales). Los BDTD</w:t>
      </w:r>
      <w:r w:rsidRPr="008762D1">
        <w:rPr>
          <w:rFonts w:ascii="ITC Avant Garde" w:hAnsi="ITC Avant Garde" w:cs="Arial"/>
          <w:color w:val="000000" w:themeColor="text1"/>
        </w:rPr>
        <w:t xml:space="preserve"> estarán divididos e identificados claramente en un lado "anfitrión" y un lado “visitante”. Poniendo en cada caso el nombre del Concesionario.</w:t>
      </w:r>
    </w:p>
    <w:p w14:paraId="323D509D" w14:textId="77777777" w:rsidR="000F0B9F" w:rsidRPr="008762D1" w:rsidRDefault="00526FE9" w:rsidP="006359EB">
      <w:pPr>
        <w:numPr>
          <w:ilvl w:val="3"/>
          <w:numId w:val="45"/>
        </w:numPr>
        <w:autoSpaceDE w:val="0"/>
        <w:autoSpaceDN w:val="0"/>
        <w:adjustRightInd w:val="0"/>
        <w:spacing w:after="0" w:line="276" w:lineRule="auto"/>
        <w:ind w:left="900"/>
        <w:jc w:val="both"/>
        <w:rPr>
          <w:rFonts w:ascii="ITC Avant Garde" w:hAnsi="ITC Avant Garde" w:cs="Times New Roman"/>
          <w:color w:val="000000" w:themeColor="text1"/>
          <w:u w:val="single"/>
        </w:rPr>
      </w:pPr>
      <w:r w:rsidRPr="008762D1">
        <w:rPr>
          <w:rFonts w:ascii="ITC Avant Garde" w:hAnsi="ITC Avant Garde" w:cs="Arial"/>
          <w:color w:val="000000" w:themeColor="text1"/>
        </w:rPr>
        <w:t xml:space="preserve">El BDTD o cualquier panel de distribución de troncales digitales será provisto y definido por el visitante e instalado en su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Para garantizar la compatibilidad mecánica y eléctrica deberán cumplir con la Disposición </w:t>
      </w:r>
      <w:r w:rsidRPr="008762D1">
        <w:rPr>
          <w:rFonts w:ascii="ITC Avant Garde" w:hAnsi="ITC Avant Garde" w:cs="Arial"/>
          <w:color w:val="000000" w:themeColor="text1"/>
        </w:rPr>
        <w:lastRenderedPageBreak/>
        <w:t>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14:paraId="419A2CEA" w14:textId="77777777" w:rsidR="000F0B9F" w:rsidRPr="008762D1" w:rsidRDefault="00526FE9" w:rsidP="006359EB">
      <w:pPr>
        <w:numPr>
          <w:ilvl w:val="3"/>
          <w:numId w:val="45"/>
        </w:num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La responsabilidad de mantenimiento por parte del anfitrión, queda definida hasta el lado anfitrión del BDTD.</w:t>
      </w:r>
    </w:p>
    <w:p w14:paraId="3DD7872A" w14:textId="77777777" w:rsidR="000F0B9F" w:rsidRPr="008762D1" w:rsidRDefault="00526FE9" w:rsidP="006359EB">
      <w:pPr>
        <w:numPr>
          <w:ilvl w:val="3"/>
          <w:numId w:val="45"/>
        </w:num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Punto de Demarcación: El límite de responsabilidad corresponde al conector estandarizado lado anfitrión del BDTD (incluido).</w:t>
      </w:r>
    </w:p>
    <w:p w14:paraId="2D1F4F80" w14:textId="77777777" w:rsidR="000F0B9F" w:rsidRPr="008762D1" w:rsidRDefault="00526FE9" w:rsidP="006359EB">
      <w:pPr>
        <w:numPr>
          <w:ilvl w:val="3"/>
          <w:numId w:val="45"/>
        </w:num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En caso de que la interconexión sea en IP, remplazando el BDTD por un BDFO (Bastidor Distribuidor de Fibra Óptica) y se aplicará un esquema de delimitación de responsabilidad.</w:t>
      </w:r>
    </w:p>
    <w:p w14:paraId="0EB3610B" w14:textId="1069278F" w:rsidR="00526FE9"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4.4 Mantenimiento Correctivo</w:t>
      </w:r>
    </w:p>
    <w:p w14:paraId="129EABFB" w14:textId="77777777" w:rsidR="00526FE9" w:rsidRPr="008762D1" w:rsidRDefault="00526FE9" w:rsidP="000F0B9F">
      <w:pPr>
        <w:numPr>
          <w:ilvl w:val="0"/>
          <w:numId w:val="46"/>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 xml:space="preserve">Se define como “Mantenimiento Correctivo” el conjunto de acciones que se realizan desde que se detecta que los parámetros de operación están debajo de los niveles mínimos convenidos, hasta que dicha situación se corrija. </w:t>
      </w:r>
    </w:p>
    <w:p w14:paraId="6C386C83" w14:textId="77777777" w:rsidR="00526FE9" w:rsidRPr="008762D1" w:rsidRDefault="00526FE9" w:rsidP="000F0B9F">
      <w:pPr>
        <w:numPr>
          <w:ilvl w:val="0"/>
          <w:numId w:val="46"/>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Notificación y recepción de reportes de fallas.</w:t>
      </w:r>
    </w:p>
    <w:p w14:paraId="2E6DFCF9" w14:textId="77777777" w:rsidR="000F0B9F" w:rsidRPr="008762D1" w:rsidRDefault="00526FE9" w:rsidP="000F0B9F">
      <w:pPr>
        <w:autoSpaceDE w:val="0"/>
        <w:autoSpaceDN w:val="0"/>
        <w:adjustRightInd w:val="0"/>
        <w:spacing w:before="24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74494962" w14:textId="25399DF8" w:rsidR="00526FE9" w:rsidRPr="008762D1" w:rsidRDefault="00526FE9" w:rsidP="000F0B9F">
      <w:pPr>
        <w:autoSpaceDE w:val="0"/>
        <w:autoSpaceDN w:val="0"/>
        <w:adjustRightInd w:val="0"/>
        <w:spacing w:before="24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Telmex</w:t>
      </w:r>
    </w:p>
    <w:p w14:paraId="3A912153" w14:textId="77777777" w:rsidR="00526FE9" w:rsidRPr="008762D1" w:rsidRDefault="00526FE9" w:rsidP="000F0B9F">
      <w:pPr>
        <w:autoSpaceDE w:val="0"/>
        <w:autoSpaceDN w:val="0"/>
        <w:adjustRightInd w:val="0"/>
        <w:spacing w:before="24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Nombre del contacto: Centro de Atención a Operadores (CAO)</w:t>
      </w:r>
    </w:p>
    <w:p w14:paraId="6CB83634" w14:textId="77777777" w:rsidR="00526FE9" w:rsidRPr="008762D1" w:rsidRDefault="00526FE9" w:rsidP="006359EB">
      <w:p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Puesto del contacto: Ingenieros de CAO</w:t>
      </w:r>
    </w:p>
    <w:p w14:paraId="72046CE9" w14:textId="77777777" w:rsidR="00526FE9" w:rsidRPr="008762D1" w:rsidRDefault="00526FE9" w:rsidP="006359EB">
      <w:p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Teléfonos de localización del contacto (fijo y móvil):</w:t>
      </w:r>
    </w:p>
    <w:p w14:paraId="2ED328F2" w14:textId="41D6237F" w:rsidR="00526FE9" w:rsidRPr="008762D1" w:rsidRDefault="00526FE9" w:rsidP="00F031E8">
      <w:pPr>
        <w:autoSpaceDE w:val="0"/>
        <w:autoSpaceDN w:val="0"/>
        <w:adjustRightInd w:val="0"/>
        <w:spacing w:after="0" w:line="276" w:lineRule="auto"/>
        <w:ind w:left="1276"/>
        <w:jc w:val="both"/>
        <w:rPr>
          <w:rFonts w:ascii="ITC Avant Garde" w:hAnsi="ITC Avant Garde" w:cs="Arial"/>
          <w:color w:val="000000" w:themeColor="text1"/>
        </w:rPr>
      </w:pPr>
      <w:r w:rsidRPr="008762D1">
        <w:rPr>
          <w:rFonts w:ascii="ITC Avant Garde" w:hAnsi="ITC Avant Garde" w:cs="Arial"/>
          <w:color w:val="000000" w:themeColor="text1"/>
        </w:rPr>
        <w:t>Fijo (55) 54 90 3000</w:t>
      </w:r>
    </w:p>
    <w:p w14:paraId="1A840CD1" w14:textId="33B8565E" w:rsidR="000F0B9F" w:rsidRPr="008762D1" w:rsidRDefault="00526FE9" w:rsidP="006359EB">
      <w:p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Correo electrónico:</w:t>
      </w:r>
      <w:r w:rsidR="00F031E8">
        <w:rPr>
          <w:rFonts w:ascii="ITC Avant Garde" w:hAnsi="ITC Avant Garde" w:cs="Arial"/>
          <w:color w:val="000000" w:themeColor="text1"/>
        </w:rPr>
        <w:t xml:space="preserve"> </w:t>
      </w:r>
      <w:r w:rsidR="00F031E8" w:rsidRPr="00F031E8">
        <w:rPr>
          <w:rFonts w:ascii="ITC Avant Garde" w:hAnsi="ITC Avant Garde" w:cs="Arial"/>
          <w:b/>
          <w:color w:val="0000FF"/>
        </w:rPr>
        <w:t>(…)</w:t>
      </w:r>
    </w:p>
    <w:p w14:paraId="2BE1F323" w14:textId="77777777" w:rsidR="00526FE9" w:rsidRPr="008762D1" w:rsidRDefault="00526FE9" w:rsidP="006359EB">
      <w:p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xml:space="preserve">- Nombre del contacto: </w:t>
      </w:r>
      <w:r w:rsidRPr="008762D1">
        <w:rPr>
          <w:rFonts w:ascii="ITC Avant Garde" w:hAnsi="ITC Avant Garde" w:cs="Arial"/>
          <w:color w:val="000000" w:themeColor="text1"/>
        </w:rPr>
        <w:tab/>
        <w:t>Centro de Operación de la Red (NOC)</w:t>
      </w:r>
    </w:p>
    <w:p w14:paraId="1639446F" w14:textId="77777777" w:rsidR="00526FE9" w:rsidRPr="008762D1" w:rsidRDefault="00526FE9" w:rsidP="006359EB">
      <w:p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xml:space="preserve">- Puesto del contacto: </w:t>
      </w:r>
      <w:r w:rsidRPr="008762D1">
        <w:rPr>
          <w:rFonts w:ascii="ITC Avant Garde" w:hAnsi="ITC Avant Garde" w:cs="Arial"/>
          <w:color w:val="000000" w:themeColor="text1"/>
        </w:rPr>
        <w:tab/>
        <w:t>Ingenieros de NOC</w:t>
      </w:r>
    </w:p>
    <w:p w14:paraId="2E030B13" w14:textId="77777777" w:rsidR="00526FE9" w:rsidRPr="008762D1" w:rsidRDefault="00526FE9" w:rsidP="006359EB">
      <w:p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Teléfonos de localización del contacto (fijo y móvil):</w:t>
      </w:r>
    </w:p>
    <w:p w14:paraId="45CCACF2" w14:textId="77777777" w:rsidR="00526FE9" w:rsidRPr="008762D1" w:rsidRDefault="00526FE9" w:rsidP="006359EB">
      <w:pPr>
        <w:autoSpaceDE w:val="0"/>
        <w:autoSpaceDN w:val="0"/>
        <w:adjustRightInd w:val="0"/>
        <w:spacing w:after="0" w:line="276" w:lineRule="auto"/>
        <w:ind w:left="900" w:firstLine="516"/>
        <w:jc w:val="both"/>
        <w:rPr>
          <w:rFonts w:ascii="ITC Avant Garde" w:hAnsi="ITC Avant Garde" w:cs="Arial"/>
          <w:color w:val="000000" w:themeColor="text1"/>
        </w:rPr>
      </w:pPr>
      <w:r w:rsidRPr="008762D1">
        <w:rPr>
          <w:rFonts w:ascii="ITC Avant Garde" w:hAnsi="ITC Avant Garde" w:cs="Arial"/>
          <w:color w:val="000000" w:themeColor="text1"/>
        </w:rPr>
        <w:t>Fijo</w:t>
      </w:r>
    </w:p>
    <w:p w14:paraId="58139FF9" w14:textId="77777777" w:rsidR="00526FE9" w:rsidRPr="008762D1" w:rsidRDefault="00526FE9" w:rsidP="006359EB">
      <w:pPr>
        <w:autoSpaceDE w:val="0"/>
        <w:autoSpaceDN w:val="0"/>
        <w:adjustRightInd w:val="0"/>
        <w:spacing w:after="0" w:line="276" w:lineRule="auto"/>
        <w:ind w:left="900" w:firstLine="516"/>
        <w:jc w:val="both"/>
        <w:rPr>
          <w:rFonts w:ascii="ITC Avant Garde" w:hAnsi="ITC Avant Garde" w:cs="Arial"/>
          <w:color w:val="000000" w:themeColor="text1"/>
        </w:rPr>
      </w:pPr>
      <w:proofErr w:type="spellStart"/>
      <w:r w:rsidRPr="008762D1">
        <w:rPr>
          <w:rFonts w:ascii="ITC Avant Garde" w:hAnsi="ITC Avant Garde" w:cs="Arial"/>
          <w:color w:val="000000" w:themeColor="text1"/>
        </w:rPr>
        <w:t>Cel</w:t>
      </w:r>
      <w:proofErr w:type="spellEnd"/>
      <w:r w:rsidRPr="008762D1">
        <w:rPr>
          <w:rFonts w:ascii="ITC Avant Garde" w:hAnsi="ITC Avant Garde" w:cs="Arial"/>
          <w:color w:val="000000" w:themeColor="text1"/>
        </w:rPr>
        <w:t xml:space="preserve"> </w:t>
      </w:r>
    </w:p>
    <w:p w14:paraId="03ECE80E" w14:textId="0F6B7FFC" w:rsidR="00526FE9" w:rsidRPr="008762D1" w:rsidRDefault="00526FE9" w:rsidP="006359EB">
      <w:pPr>
        <w:autoSpaceDE w:val="0"/>
        <w:autoSpaceDN w:val="0"/>
        <w:adjustRightInd w:val="0"/>
        <w:spacing w:after="0" w:line="276" w:lineRule="auto"/>
        <w:ind w:left="900"/>
        <w:jc w:val="both"/>
        <w:rPr>
          <w:rFonts w:ascii="ITC Avant Garde" w:hAnsi="ITC Avant Garde" w:cs="Arial"/>
          <w:color w:val="000000" w:themeColor="text1"/>
        </w:rPr>
      </w:pPr>
      <w:r w:rsidRPr="008762D1">
        <w:rPr>
          <w:rFonts w:ascii="ITC Avant Garde" w:hAnsi="ITC Avant Garde" w:cs="Arial"/>
          <w:color w:val="000000" w:themeColor="text1"/>
        </w:rPr>
        <w:t xml:space="preserve">- Correo electrónico: </w:t>
      </w:r>
    </w:p>
    <w:p w14:paraId="328F1756" w14:textId="77777777" w:rsidR="00526FE9" w:rsidRPr="008762D1" w:rsidRDefault="00526FE9" w:rsidP="000F0B9F">
      <w:pPr>
        <w:numPr>
          <w:ilvl w:val="0"/>
          <w:numId w:val="46"/>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lastRenderedPageBreak/>
        <w:t>Todo reporte de falla deberá contener como mínimo:</w:t>
      </w:r>
    </w:p>
    <w:p w14:paraId="367F0533" w14:textId="77777777" w:rsidR="00526FE9" w:rsidRPr="008762D1" w:rsidRDefault="00526FE9" w:rsidP="000F0B9F">
      <w:pPr>
        <w:numPr>
          <w:ilvl w:val="1"/>
          <w:numId w:val="42"/>
        </w:numPr>
        <w:autoSpaceDE w:val="0"/>
        <w:autoSpaceDN w:val="0"/>
        <w:adjustRightInd w:val="0"/>
        <w:spacing w:before="240"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Nombre y cargo de la persona que notifica.</w:t>
      </w:r>
    </w:p>
    <w:p w14:paraId="41F74FE4"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Día y hora de reporte.</w:t>
      </w:r>
    </w:p>
    <w:p w14:paraId="47C0B9EA"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Día y hora de la falla.</w:t>
      </w:r>
    </w:p>
    <w:p w14:paraId="47A928EA"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Tipo de falla, con todos los datos necesarios para su ubicación.</w:t>
      </w:r>
    </w:p>
    <w:p w14:paraId="3F9369DB"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sz w:val="24"/>
          <w:szCs w:val="24"/>
        </w:rPr>
      </w:pPr>
      <w:r w:rsidRPr="008762D1">
        <w:rPr>
          <w:rFonts w:ascii="ITC Avant Garde" w:hAnsi="ITC Avant Garde" w:cs="Arial"/>
          <w:color w:val="000000" w:themeColor="text1"/>
        </w:rPr>
        <w:t>Servicio(s) con sus identificadores</w:t>
      </w:r>
    </w:p>
    <w:p w14:paraId="1550D007"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Puntos de interconexión afectados </w:t>
      </w:r>
    </w:p>
    <w:p w14:paraId="58494B5F"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Número(s) telefónicos de coordinación.</w:t>
      </w:r>
    </w:p>
    <w:p w14:paraId="0EDD6983"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Según el tipo de falla se entregará la información disponible para su localización.</w:t>
      </w:r>
    </w:p>
    <w:p w14:paraId="5F256C94" w14:textId="77777777" w:rsidR="00526FE9" w:rsidRPr="008762D1" w:rsidRDefault="00526FE9" w:rsidP="000F0B9F">
      <w:pPr>
        <w:numPr>
          <w:ilvl w:val="0"/>
          <w:numId w:val="46"/>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Las responsabilidades del Punto Único de Contacto serán:</w:t>
      </w:r>
    </w:p>
    <w:p w14:paraId="39C34721" w14:textId="77777777" w:rsidR="00526FE9" w:rsidRPr="008762D1" w:rsidRDefault="00526FE9" w:rsidP="000F0B9F">
      <w:pPr>
        <w:numPr>
          <w:ilvl w:val="1"/>
          <w:numId w:val="42"/>
        </w:numPr>
        <w:autoSpaceDE w:val="0"/>
        <w:autoSpaceDN w:val="0"/>
        <w:adjustRightInd w:val="0"/>
        <w:spacing w:before="240"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Recibir reporte de quejas.</w:t>
      </w:r>
    </w:p>
    <w:p w14:paraId="138C7CE8"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Notificar, a más tardar una hora después de recibir un reporte de falla, un diagnóstico inicial y un tiempo estimado de reparación.</w:t>
      </w:r>
    </w:p>
    <w:p w14:paraId="0FA08170"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En caso de que cambie el tiempo estimado de reparación, o en su defecto, media hora antes de expirar el tiempo de reparación inicialmente señalado, deberá existir una actualización y un nuevo tiempo estimado de solución de la falla.</w:t>
      </w:r>
    </w:p>
    <w:p w14:paraId="1B925F29"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Coordinar con las propias áreas de mantenimiento la ubicación y reparación de fallas.</w:t>
      </w:r>
    </w:p>
    <w:p w14:paraId="59596795"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Coordinar actividades conjuntas entre Concesionarios para minimizar el impacto de las fallas en las redes.</w:t>
      </w:r>
    </w:p>
    <w:p w14:paraId="55E7A81A"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Notificar sobre problemas o circunstancias que afecten el servicio, iniciar acción correctiva y proporcionar los reportes de estado de avance correspondientes.</w:t>
      </w:r>
    </w:p>
    <w:p w14:paraId="3328D9A5" w14:textId="77777777" w:rsidR="00526FE9" w:rsidRPr="008762D1" w:rsidRDefault="00526FE9" w:rsidP="006359EB">
      <w:pPr>
        <w:numPr>
          <w:ilvl w:val="1"/>
          <w:numId w:val="42"/>
        </w:numPr>
        <w:autoSpaceDE w:val="0"/>
        <w:autoSpaceDN w:val="0"/>
        <w:adjustRightInd w:val="0"/>
        <w:spacing w:after="0" w:line="276" w:lineRule="auto"/>
        <w:jc w:val="both"/>
        <w:rPr>
          <w:rFonts w:ascii="ITC Avant Garde" w:hAnsi="ITC Avant Garde" w:cs="Arial"/>
          <w:color w:val="000000" w:themeColor="text1"/>
        </w:rPr>
      </w:pPr>
      <w:r w:rsidRPr="008762D1">
        <w:rPr>
          <w:rFonts w:ascii="ITC Avant Garde" w:hAnsi="ITC Avant Garde" w:cs="Arial"/>
          <w:color w:val="000000" w:themeColor="text1"/>
        </w:rPr>
        <w:t>Coordinar con su contraparte la verificación y pruebas requeridas para asegurar que la falla ha sido reparada.</w:t>
      </w:r>
    </w:p>
    <w:p w14:paraId="41324D82" w14:textId="77777777" w:rsidR="00526FE9" w:rsidRPr="008762D1" w:rsidRDefault="00526FE9" w:rsidP="000F0B9F">
      <w:pPr>
        <w:numPr>
          <w:ilvl w:val="0"/>
          <w:numId w:val="46"/>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41D44167" w14:textId="77777777" w:rsidR="00526FE9" w:rsidRPr="008762D1" w:rsidRDefault="00526FE9" w:rsidP="000F0B9F">
      <w:pPr>
        <w:numPr>
          <w:ilvl w:val="0"/>
          <w:numId w:val="46"/>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 xml:space="preserve">En caso de que se detecten problemas con la </w:t>
      </w:r>
      <w:proofErr w:type="spellStart"/>
      <w:r w:rsidRPr="008762D1">
        <w:rPr>
          <w:rFonts w:ascii="ITC Avant Garde" w:hAnsi="ITC Avant Garde" w:cs="Arial"/>
          <w:color w:val="000000" w:themeColor="text1"/>
        </w:rPr>
        <w:t>completación</w:t>
      </w:r>
      <w:proofErr w:type="spellEnd"/>
      <w:r w:rsidRPr="008762D1">
        <w:rPr>
          <w:rFonts w:ascii="ITC Avant Garde" w:hAnsi="ITC Avant Garde" w:cs="Arial"/>
          <w:color w:val="000000" w:themeColor="text1"/>
        </w:rPr>
        <w:t xml:space="preserve"> de llamadas, ambas partes realizarán actividades conjuntas para el análisis de la falla, y establecerán conjuntamente las acciones para su corrección. En caso de que Telmex proporcione el Servicio de Tránsito y que se presente una falla, </w:t>
      </w:r>
      <w:r w:rsidRPr="008762D1">
        <w:rPr>
          <w:rFonts w:ascii="ITC Avant Garde" w:hAnsi="ITC Avant Garde" w:cs="Arial"/>
          <w:color w:val="000000" w:themeColor="text1"/>
        </w:rPr>
        <w:lastRenderedPageBreak/>
        <w:t>Telmex deberá participar conjuntamente con los otros Concesionarios involucrados en las pruebas y solución de la misma.</w:t>
      </w:r>
    </w:p>
    <w:p w14:paraId="48EDD539" w14:textId="77777777" w:rsidR="000F0B9F" w:rsidRPr="008762D1" w:rsidRDefault="00526FE9" w:rsidP="000F0B9F">
      <w:pPr>
        <w:numPr>
          <w:ilvl w:val="0"/>
          <w:numId w:val="46"/>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El proceso y tiempos de atención por tipo</w:t>
      </w:r>
      <w:r w:rsidRPr="008762D1">
        <w:rPr>
          <w:rFonts w:ascii="ITC Avant Garde" w:hAnsi="ITC Avant Garde"/>
          <w:color w:val="000000" w:themeColor="text1"/>
        </w:rPr>
        <w:t xml:space="preserve"> de falla </w:t>
      </w:r>
      <w:r w:rsidRPr="008762D1">
        <w:rPr>
          <w:rFonts w:ascii="ITC Avant Garde" w:hAnsi="ITC Avant Garde" w:cs="Arial"/>
          <w:color w:val="000000" w:themeColor="text1"/>
        </w:rPr>
        <w:t>se indican a detalle en el Anexo E.</w:t>
      </w:r>
    </w:p>
    <w:p w14:paraId="62FB9AAF"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 xml:space="preserve">Tema 5. Sincronización </w:t>
      </w:r>
    </w:p>
    <w:p w14:paraId="4D488BB4" w14:textId="6719C731" w:rsidR="00526FE9"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5.1 Sincronización</w:t>
      </w:r>
    </w:p>
    <w:p w14:paraId="73245D8B" w14:textId="77777777" w:rsidR="00526FE9" w:rsidRPr="008762D1" w:rsidRDefault="00526FE9" w:rsidP="000F0B9F">
      <w:pPr>
        <w:numPr>
          <w:ilvl w:val="0"/>
          <w:numId w:val="47"/>
        </w:numPr>
        <w:tabs>
          <w:tab w:val="num" w:pos="709"/>
        </w:tabs>
        <w:autoSpaceDE w:val="0"/>
        <w:autoSpaceDN w:val="0"/>
        <w:adjustRightInd w:val="0"/>
        <w:spacing w:before="240" w:after="0" w:line="276" w:lineRule="auto"/>
        <w:ind w:left="709" w:hanging="357"/>
        <w:jc w:val="both"/>
        <w:rPr>
          <w:rFonts w:ascii="ITC Avant Garde" w:hAnsi="ITC Avant Garde" w:cs="Arial"/>
          <w:color w:val="000000" w:themeColor="text1"/>
        </w:rPr>
      </w:pPr>
      <w:r w:rsidRPr="008762D1">
        <w:rPr>
          <w:rFonts w:ascii="ITC Avant Garde" w:hAnsi="ITC Avant Garde" w:cs="Arial"/>
          <w:color w:val="000000" w:themeColor="text1"/>
        </w:rPr>
        <w:t>Cada Concesionario será responsable de la sincronización de su red.</w:t>
      </w:r>
    </w:p>
    <w:p w14:paraId="55257F94" w14:textId="77777777" w:rsidR="00526FE9" w:rsidRPr="008762D1" w:rsidRDefault="00526FE9" w:rsidP="006359EB">
      <w:pPr>
        <w:numPr>
          <w:ilvl w:val="0"/>
          <w:numId w:val="47"/>
        </w:numPr>
        <w:tabs>
          <w:tab w:val="num" w:pos="709"/>
        </w:tabs>
        <w:autoSpaceDE w:val="0"/>
        <w:autoSpaceDN w:val="0"/>
        <w:adjustRightInd w:val="0"/>
        <w:spacing w:after="0" w:line="276" w:lineRule="auto"/>
        <w:ind w:left="709" w:hanging="357"/>
        <w:jc w:val="both"/>
        <w:rPr>
          <w:rFonts w:ascii="ITC Avant Garde" w:hAnsi="ITC Avant Garde" w:cs="Arial"/>
          <w:color w:val="000000" w:themeColor="text1"/>
        </w:rPr>
      </w:pPr>
      <w:r w:rsidRPr="008762D1">
        <w:rPr>
          <w:rFonts w:ascii="ITC Avant Garde" w:hAnsi="ITC Avant Garde" w:cs="Arial"/>
          <w:color w:val="000000" w:themeColor="text1"/>
        </w:rPr>
        <w:t xml:space="preserve">Las diferentes redes se interconectarán en forma </w:t>
      </w:r>
      <w:proofErr w:type="spellStart"/>
      <w:r w:rsidRPr="008762D1">
        <w:rPr>
          <w:rFonts w:ascii="ITC Avant Garde" w:hAnsi="ITC Avant Garde" w:cs="Arial"/>
          <w:color w:val="000000" w:themeColor="text1"/>
        </w:rPr>
        <w:t>plesiócrona</w:t>
      </w:r>
      <w:proofErr w:type="spellEnd"/>
      <w:r w:rsidRPr="008762D1">
        <w:rPr>
          <w:rFonts w:ascii="ITC Avant Garde" w:hAnsi="ITC Avant Garde" w:cs="Arial"/>
          <w:color w:val="000000" w:themeColor="text1"/>
        </w:rPr>
        <w:t xml:space="preserve"> alimentadas por medio de relojes de Estrato 1, de acuerdo a la Recomendación G.811 de la UIT-T</w:t>
      </w:r>
    </w:p>
    <w:p w14:paraId="26F65BCC" w14:textId="77777777" w:rsidR="000F0B9F" w:rsidRPr="008762D1" w:rsidRDefault="00526FE9" w:rsidP="006359EB">
      <w:pPr>
        <w:numPr>
          <w:ilvl w:val="0"/>
          <w:numId w:val="47"/>
        </w:numPr>
        <w:tabs>
          <w:tab w:val="num" w:pos="709"/>
        </w:tabs>
        <w:autoSpaceDE w:val="0"/>
        <w:autoSpaceDN w:val="0"/>
        <w:adjustRightInd w:val="0"/>
        <w:spacing w:after="0" w:line="276" w:lineRule="auto"/>
        <w:ind w:left="709" w:hanging="357"/>
        <w:jc w:val="both"/>
        <w:rPr>
          <w:rFonts w:ascii="ITC Avant Garde" w:hAnsi="ITC Avant Garde" w:cs="Arial"/>
          <w:color w:val="000000" w:themeColor="text1"/>
        </w:rPr>
      </w:pPr>
      <w:r w:rsidRPr="008762D1">
        <w:rPr>
          <w:rFonts w:ascii="ITC Avant Garde" w:hAnsi="ITC Avant Garde" w:cs="Arial"/>
          <w:color w:val="000000" w:themeColor="text1"/>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14:paraId="473C678E"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 xml:space="preserve">TEMA 6. </w:t>
      </w:r>
      <w:proofErr w:type="spellStart"/>
      <w:r w:rsidRPr="008762D1">
        <w:rPr>
          <w:rFonts w:ascii="ITC Avant Garde" w:hAnsi="ITC Avant Garde" w:cs="Arial"/>
          <w:b/>
          <w:color w:val="000000" w:themeColor="text1"/>
        </w:rPr>
        <w:t>Coubicaciones</w:t>
      </w:r>
      <w:proofErr w:type="spellEnd"/>
    </w:p>
    <w:p w14:paraId="49B70E92" w14:textId="542C6C1D" w:rsidR="00526FE9" w:rsidRPr="008762D1" w:rsidRDefault="00526FE9" w:rsidP="000F0B9F">
      <w:pPr>
        <w:pStyle w:val="Textosinformato"/>
        <w:spacing w:before="240" w:after="120" w:line="276" w:lineRule="auto"/>
        <w:jc w:val="both"/>
        <w:rPr>
          <w:rFonts w:ascii="ITC Avant Garde" w:hAnsi="ITC Avant Garde" w:cs="Arial"/>
          <w:color w:val="000000" w:themeColor="text1"/>
          <w:sz w:val="21"/>
          <w:szCs w:val="21"/>
        </w:rPr>
      </w:pPr>
      <w:r w:rsidRPr="008762D1">
        <w:rPr>
          <w:rFonts w:ascii="ITC Avant Garde" w:hAnsi="ITC Avant Garde" w:cs="Arial"/>
          <w:b/>
          <w:color w:val="000000" w:themeColor="text1"/>
        </w:rPr>
        <w:t xml:space="preserve">INCISO 6.1. </w:t>
      </w:r>
      <w:proofErr w:type="spellStart"/>
      <w:r w:rsidRPr="008762D1">
        <w:rPr>
          <w:rFonts w:ascii="ITC Avant Garde" w:hAnsi="ITC Avant Garde" w:cs="Arial"/>
          <w:b/>
          <w:color w:val="000000" w:themeColor="text1"/>
        </w:rPr>
        <w:t>Coubicación</w:t>
      </w:r>
      <w:proofErr w:type="spellEnd"/>
      <w:r w:rsidRPr="008762D1">
        <w:rPr>
          <w:rFonts w:ascii="ITC Avant Garde" w:hAnsi="ITC Avant Garde" w:cs="Arial"/>
          <w:color w:val="000000" w:themeColor="text1"/>
        </w:rPr>
        <w:t xml:space="preserve"> </w:t>
      </w:r>
    </w:p>
    <w:p w14:paraId="0EB6E470" w14:textId="77777777" w:rsidR="00526FE9" w:rsidRPr="008762D1" w:rsidRDefault="00526FE9" w:rsidP="000F0B9F">
      <w:pPr>
        <w:pStyle w:val="Textosinformato"/>
        <w:spacing w:before="240" w:after="120" w:line="276" w:lineRule="auto"/>
        <w:jc w:val="both"/>
        <w:rPr>
          <w:rFonts w:ascii="ITC Avant Garde" w:hAnsi="ITC Avant Garde" w:cs="Arial"/>
          <w:color w:val="000000" w:themeColor="text1"/>
          <w:sz w:val="22"/>
          <w:szCs w:val="22"/>
        </w:rPr>
      </w:pPr>
      <w:r w:rsidRPr="008762D1">
        <w:rPr>
          <w:rFonts w:ascii="ITC Avant Garde" w:hAnsi="ITC Avant Garde"/>
          <w:color w:val="000000" w:themeColor="text1"/>
          <w:sz w:val="22"/>
          <w:szCs w:val="22"/>
        </w:rPr>
        <w:t xml:space="preserve">Las condiciones técnicas de la </w:t>
      </w:r>
      <w:proofErr w:type="spellStart"/>
      <w:r w:rsidRPr="008762D1">
        <w:rPr>
          <w:rFonts w:ascii="ITC Avant Garde" w:hAnsi="ITC Avant Garde"/>
          <w:color w:val="000000" w:themeColor="text1"/>
          <w:sz w:val="22"/>
          <w:szCs w:val="22"/>
        </w:rPr>
        <w:t>Coubicación</w:t>
      </w:r>
      <w:proofErr w:type="spellEnd"/>
      <w:r w:rsidRPr="008762D1">
        <w:rPr>
          <w:rFonts w:ascii="ITC Avant Garde" w:hAnsi="ITC Avant Garde"/>
          <w:color w:val="000000" w:themeColor="text1"/>
          <w:sz w:val="22"/>
          <w:szCs w:val="22"/>
        </w:rPr>
        <w:t xml:space="preserve"> son:</w:t>
      </w:r>
      <w:r w:rsidRPr="008762D1">
        <w:rPr>
          <w:rFonts w:ascii="ITC Avant Garde" w:hAnsi="ITC Avant Garde" w:cs="Arial"/>
          <w:color w:val="000000" w:themeColor="text1"/>
          <w:sz w:val="22"/>
          <w:szCs w:val="22"/>
          <w:lang w:val="es-ES"/>
        </w:rPr>
        <w:t xml:space="preserve"> </w:t>
      </w:r>
      <w:r w:rsidRPr="008762D1">
        <w:rPr>
          <w:rFonts w:ascii="ITC Avant Garde" w:hAnsi="ITC Avant Garde" w:cs="Arial"/>
          <w:color w:val="000000" w:themeColor="text1"/>
          <w:sz w:val="22"/>
          <w:szCs w:val="22"/>
        </w:rPr>
        <w:t xml:space="preserve">Para cada espacio de </w:t>
      </w:r>
      <w:proofErr w:type="spellStart"/>
      <w:r w:rsidRPr="008762D1">
        <w:rPr>
          <w:rFonts w:ascii="ITC Avant Garde" w:hAnsi="ITC Avant Garde" w:cs="Arial"/>
          <w:color w:val="000000" w:themeColor="text1"/>
          <w:sz w:val="22"/>
          <w:szCs w:val="22"/>
        </w:rPr>
        <w:t>Coubicación</w:t>
      </w:r>
      <w:proofErr w:type="spellEnd"/>
      <w:r w:rsidRPr="008762D1">
        <w:rPr>
          <w:rFonts w:ascii="ITC Avant Garde" w:hAnsi="ITC Avant Garde" w:cs="Arial"/>
          <w:color w:val="000000" w:themeColor="text1"/>
          <w:sz w:val="22"/>
          <w:szCs w:val="22"/>
        </w:rPr>
        <w:t>, la tarifa de arrendamiento garantizará un consumo mensual máximo de acuerdo a lo siguiente:</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Caption w:val="Tabla"/>
        <w:tblDescription w:val="Coubicaciones"/>
      </w:tblPr>
      <w:tblGrid>
        <w:gridCol w:w="2927"/>
        <w:gridCol w:w="5580"/>
      </w:tblGrid>
      <w:tr w:rsidR="008762D1" w:rsidRPr="008762D1" w14:paraId="69BB011B" w14:textId="77777777" w:rsidTr="00036A6A">
        <w:trPr>
          <w:tblHeader/>
          <w:jc w:val="center"/>
        </w:trPr>
        <w:tc>
          <w:tcPr>
            <w:tcW w:w="2927" w:type="dxa"/>
          </w:tcPr>
          <w:p w14:paraId="47489E5E" w14:textId="77777777" w:rsidR="006359EB" w:rsidRPr="008762D1" w:rsidRDefault="006359EB" w:rsidP="006359EB">
            <w:pPr>
              <w:pStyle w:val="Textosinformato"/>
              <w:tabs>
                <w:tab w:val="left" w:pos="276"/>
              </w:tabs>
              <w:spacing w:line="276" w:lineRule="auto"/>
              <w:jc w:val="both"/>
              <w:rPr>
                <w:rFonts w:ascii="ITC Avant Garde" w:hAnsi="ITC Avant Garde" w:cs="Arial"/>
                <w:color w:val="000000" w:themeColor="text1"/>
                <w:sz w:val="22"/>
                <w:szCs w:val="22"/>
              </w:rPr>
            </w:pPr>
          </w:p>
        </w:tc>
        <w:tc>
          <w:tcPr>
            <w:tcW w:w="5580" w:type="dxa"/>
          </w:tcPr>
          <w:p w14:paraId="47F0535D" w14:textId="7E58B242" w:rsidR="006359EB" w:rsidRPr="008762D1" w:rsidRDefault="006359EB" w:rsidP="006359EB">
            <w:pPr>
              <w:pStyle w:val="Textosinformato"/>
              <w:spacing w:line="276" w:lineRule="auto"/>
              <w:jc w:val="center"/>
              <w:rPr>
                <w:rFonts w:ascii="ITC Avant Garde" w:hAnsi="ITC Avant Garde" w:cs="Arial"/>
                <w:b/>
                <w:color w:val="000000" w:themeColor="text1"/>
                <w:sz w:val="22"/>
                <w:szCs w:val="22"/>
              </w:rPr>
            </w:pPr>
            <w:r w:rsidRPr="008762D1">
              <w:rPr>
                <w:rFonts w:ascii="ITC Avant Garde" w:hAnsi="ITC Avant Garde" w:cs="Arial"/>
                <w:b/>
                <w:color w:val="000000" w:themeColor="text1"/>
                <w:sz w:val="22"/>
                <w:szCs w:val="22"/>
              </w:rPr>
              <w:t>DESCRIPCIÓN</w:t>
            </w:r>
          </w:p>
        </w:tc>
      </w:tr>
      <w:tr w:rsidR="008762D1" w:rsidRPr="008762D1" w14:paraId="052FDCEC" w14:textId="77777777" w:rsidTr="00036A6A">
        <w:trPr>
          <w:jc w:val="center"/>
        </w:trPr>
        <w:tc>
          <w:tcPr>
            <w:tcW w:w="2927" w:type="dxa"/>
            <w:hideMark/>
          </w:tcPr>
          <w:p w14:paraId="196657A9" w14:textId="77777777" w:rsidR="00526FE9" w:rsidRPr="008762D1" w:rsidRDefault="00526FE9" w:rsidP="006359EB">
            <w:pPr>
              <w:pStyle w:val="Textosinformato"/>
              <w:numPr>
                <w:ilvl w:val="0"/>
                <w:numId w:val="48"/>
              </w:numPr>
              <w:tabs>
                <w:tab w:val="left" w:pos="276"/>
              </w:tabs>
              <w:spacing w:line="276" w:lineRule="auto"/>
              <w:ind w:left="0" w:firstLine="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Espacio:</w:t>
            </w:r>
          </w:p>
        </w:tc>
        <w:tc>
          <w:tcPr>
            <w:tcW w:w="5580" w:type="dxa"/>
            <w:hideMark/>
          </w:tcPr>
          <w:p w14:paraId="063DA000"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Delimitación física </w:t>
            </w:r>
          </w:p>
        </w:tc>
      </w:tr>
      <w:tr w:rsidR="008762D1" w:rsidRPr="008762D1" w14:paraId="67F0FC4C" w14:textId="77777777" w:rsidTr="00036A6A">
        <w:trPr>
          <w:jc w:val="center"/>
        </w:trPr>
        <w:tc>
          <w:tcPr>
            <w:tcW w:w="2927" w:type="dxa"/>
            <w:hideMark/>
          </w:tcPr>
          <w:p w14:paraId="183AF0B3" w14:textId="77777777" w:rsidR="00526FE9" w:rsidRPr="008762D1" w:rsidRDefault="00526FE9" w:rsidP="006359EB">
            <w:pPr>
              <w:pStyle w:val="Textosinformato"/>
              <w:numPr>
                <w:ilvl w:val="0"/>
                <w:numId w:val="48"/>
              </w:numPr>
              <w:tabs>
                <w:tab w:val="left" w:pos="276"/>
              </w:tabs>
              <w:spacing w:line="276" w:lineRule="auto"/>
              <w:ind w:left="0" w:firstLine="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Área del local:</w:t>
            </w:r>
          </w:p>
        </w:tc>
        <w:tc>
          <w:tcPr>
            <w:tcW w:w="5580" w:type="dxa"/>
          </w:tcPr>
          <w:p w14:paraId="685C7232" w14:textId="77777777" w:rsidR="000F0B9F" w:rsidRPr="008762D1" w:rsidRDefault="00526FE9" w:rsidP="006359EB">
            <w:pPr>
              <w:rPr>
                <w:rFonts w:ascii="ITC Avant Garde" w:hAnsi="ITC Avant Garde" w:cs="Arial"/>
                <w:color w:val="000000" w:themeColor="text1"/>
              </w:rPr>
            </w:pPr>
            <w:r w:rsidRPr="008762D1">
              <w:rPr>
                <w:rFonts w:ascii="ITC Avant Garde" w:hAnsi="ITC Avant Garde" w:cs="Arial"/>
                <w:color w:val="000000" w:themeColor="text1"/>
              </w:rPr>
              <w:t xml:space="preserve">Tipo 1 (Local): </w:t>
            </w:r>
            <w:r w:rsidRPr="008762D1">
              <w:rPr>
                <w:rFonts w:ascii="ITC Avant Garde" w:hAnsi="ITC Avant Garde"/>
                <w:color w:val="000000" w:themeColor="text1"/>
              </w:rPr>
              <w:t>Área de 4 m2 (2x2), con delimitación de tabla roca pudiendo utilizar las paredes existentes.</w:t>
            </w:r>
          </w:p>
          <w:p w14:paraId="39EC3C3C" w14:textId="77777777" w:rsidR="000F0B9F" w:rsidRPr="008762D1" w:rsidRDefault="00526FE9" w:rsidP="006359EB">
            <w:pPr>
              <w:rPr>
                <w:rFonts w:ascii="ITC Avant Garde" w:hAnsi="ITC Avant Garde" w:cs="Arial"/>
                <w:color w:val="000000" w:themeColor="text1"/>
              </w:rPr>
            </w:pPr>
            <w:r w:rsidRPr="008762D1">
              <w:rPr>
                <w:rFonts w:ascii="ITC Avant Garde" w:hAnsi="ITC Avant Garde" w:cs="Arial"/>
                <w:color w:val="000000" w:themeColor="text1"/>
              </w:rPr>
              <w:t>Tipo 2 (Local): Área de 9 m2 (3x3), con delimitación de tabla roca pudiendo utilizar las paredes existentes.</w:t>
            </w:r>
          </w:p>
          <w:p w14:paraId="588021F8" w14:textId="77777777" w:rsidR="000F0B9F" w:rsidRPr="008762D1" w:rsidRDefault="00526FE9" w:rsidP="006359EB">
            <w:pPr>
              <w:rPr>
                <w:rFonts w:ascii="ITC Avant Garde" w:hAnsi="ITC Avant Garde" w:cs="Arial"/>
                <w:color w:val="000000" w:themeColor="text1"/>
              </w:rPr>
            </w:pPr>
            <w:r w:rsidRPr="008762D1">
              <w:rPr>
                <w:rFonts w:ascii="ITC Avant Garde" w:hAnsi="ITC Avant Garde" w:cs="Arial"/>
                <w:color w:val="000000" w:themeColor="text1"/>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464388C5" w14:textId="3159EB6C" w:rsidR="00526FE9" w:rsidRPr="008762D1" w:rsidRDefault="00526FE9" w:rsidP="006359EB">
            <w:pPr>
              <w:rPr>
                <w:rFonts w:ascii="ITC Avant Garde" w:hAnsi="ITC Avant Garde" w:cs="Arial"/>
                <w:color w:val="000000" w:themeColor="text1"/>
              </w:rPr>
            </w:pPr>
            <w:r w:rsidRPr="008762D1">
              <w:rPr>
                <w:rFonts w:ascii="ITC Avant Garde" w:hAnsi="ITC Avant Garde" w:cs="Arial"/>
                <w:color w:val="000000" w:themeColor="text1"/>
              </w:rPr>
              <w:t>• Altura: 2200 [mm]</w:t>
            </w:r>
          </w:p>
          <w:p w14:paraId="27E2D2B9" w14:textId="6571330F" w:rsidR="00526FE9" w:rsidRPr="008762D1" w:rsidRDefault="00526FE9" w:rsidP="006359EB">
            <w:pPr>
              <w:rPr>
                <w:rFonts w:ascii="ITC Avant Garde" w:hAnsi="ITC Avant Garde" w:cs="Arial"/>
                <w:color w:val="000000" w:themeColor="text1"/>
              </w:rPr>
            </w:pPr>
            <w:r w:rsidRPr="008762D1">
              <w:rPr>
                <w:rFonts w:ascii="ITC Avant Garde" w:hAnsi="ITC Avant Garde" w:cs="Arial"/>
                <w:color w:val="000000" w:themeColor="text1"/>
              </w:rPr>
              <w:t>• Ancho: 600 [mm]</w:t>
            </w:r>
          </w:p>
          <w:p w14:paraId="1F540503" w14:textId="2D9F02D1" w:rsidR="000F0B9F" w:rsidRPr="008762D1" w:rsidRDefault="00526FE9" w:rsidP="006359EB">
            <w:pPr>
              <w:rPr>
                <w:rFonts w:ascii="ITC Avant Garde" w:hAnsi="ITC Avant Garde" w:cs="Arial"/>
                <w:color w:val="000000" w:themeColor="text1"/>
              </w:rPr>
            </w:pPr>
            <w:r w:rsidRPr="008762D1">
              <w:rPr>
                <w:rFonts w:ascii="ITC Avant Garde" w:hAnsi="ITC Avant Garde" w:cs="Arial"/>
                <w:color w:val="000000" w:themeColor="text1"/>
              </w:rPr>
              <w:lastRenderedPageBreak/>
              <w:t>• Profundidad: 600 [mm]</w:t>
            </w:r>
          </w:p>
          <w:p w14:paraId="41106680" w14:textId="77777777" w:rsidR="000F0B9F" w:rsidRPr="008762D1" w:rsidRDefault="00526FE9" w:rsidP="006359EB">
            <w:pPr>
              <w:rPr>
                <w:rFonts w:ascii="ITC Avant Garde" w:hAnsi="ITC Avant Garde" w:cs="Arial"/>
                <w:color w:val="000000" w:themeColor="text1"/>
              </w:rPr>
            </w:pPr>
            <w:r w:rsidRPr="008762D1">
              <w:rPr>
                <w:rFonts w:ascii="ITC Avant Garde" w:hAnsi="ITC Avant Garde" w:cs="Arial"/>
                <w:color w:val="000000" w:themeColor="text1"/>
              </w:rPr>
              <w:t>6 unidades de rack serán reservadas para el PDU (unidad de distribución de energía) y el sistema de ventilación.</w:t>
            </w:r>
          </w:p>
          <w:p w14:paraId="0065ECF0" w14:textId="77777777" w:rsidR="000F0B9F" w:rsidRPr="008762D1" w:rsidRDefault="00526FE9" w:rsidP="006359EB">
            <w:pPr>
              <w:jc w:val="both"/>
              <w:rPr>
                <w:rFonts w:ascii="ITC Avant Garde" w:hAnsi="ITC Avant Garde" w:cs="Arial"/>
                <w:color w:val="000000" w:themeColor="text1"/>
              </w:rPr>
            </w:pPr>
            <w:r w:rsidRPr="008762D1">
              <w:rPr>
                <w:rFonts w:ascii="ITC Avant Garde" w:hAnsi="ITC Avant Garde" w:cs="Arial"/>
                <w:color w:val="000000" w:themeColor="text1"/>
              </w:rPr>
              <w:t>Telmex permitirá al Concesionario Solicitante compartir con otros Concesionarios que se lo requieran, el gabinete que al efecto Telmex le haya proporcionado. En cuyo caso el responsable del gabinete seguirá siendo el Concesionario Solicitante</w:t>
            </w:r>
          </w:p>
          <w:p w14:paraId="2EE55A92" w14:textId="2D390AF4" w:rsidR="00526FE9" w:rsidRPr="008762D1" w:rsidRDefault="00526FE9" w:rsidP="006359EB">
            <w:pPr>
              <w:rPr>
                <w:rFonts w:ascii="ITC Avant Garde" w:hAnsi="ITC Avant Garde" w:cs="Arial"/>
                <w:color w:val="000000" w:themeColor="text1"/>
                <w:lang w:eastAsia="es-ES"/>
              </w:rPr>
            </w:pPr>
            <w:r w:rsidRPr="008762D1">
              <w:rPr>
                <w:rFonts w:ascii="ITC Avant Garde" w:hAnsi="ITC Avant Garde" w:cs="Arial"/>
                <w:color w:val="000000" w:themeColor="text1"/>
              </w:rPr>
              <w:t xml:space="preserve">Este tipo de </w:t>
            </w:r>
            <w:proofErr w:type="spellStart"/>
            <w:r w:rsidRPr="008762D1">
              <w:rPr>
                <w:rFonts w:ascii="ITC Avant Garde" w:hAnsi="ITC Avant Garde" w:cs="Arial"/>
                <w:color w:val="000000" w:themeColor="text1"/>
              </w:rPr>
              <w:t>coubicacion</w:t>
            </w:r>
            <w:proofErr w:type="spellEnd"/>
            <w:r w:rsidRPr="008762D1">
              <w:rPr>
                <w:rFonts w:ascii="ITC Avant Garde" w:hAnsi="ITC Avant Garde" w:cs="Arial"/>
                <w:color w:val="000000" w:themeColor="text1"/>
              </w:rPr>
              <w:t xml:space="preserve"> se aplica únicamente en los puntos de interconexión indicados en el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A-1.</w:t>
            </w:r>
          </w:p>
          <w:p w14:paraId="2FD05F9E" w14:textId="77777777" w:rsidR="00526FE9" w:rsidRPr="008762D1" w:rsidRDefault="00526FE9" w:rsidP="006359EB">
            <w:pPr>
              <w:rPr>
                <w:rFonts w:ascii="ITC Avant Garde" w:hAnsi="ITC Avant Garde" w:cs="Times New Roman"/>
                <w:color w:val="000000" w:themeColor="text1"/>
                <w:lang w:val="es-ES"/>
              </w:rPr>
            </w:pPr>
          </w:p>
        </w:tc>
      </w:tr>
      <w:tr w:rsidR="008762D1" w:rsidRPr="008762D1" w14:paraId="14B6D114" w14:textId="77777777" w:rsidTr="00036A6A">
        <w:trPr>
          <w:jc w:val="center"/>
        </w:trPr>
        <w:tc>
          <w:tcPr>
            <w:tcW w:w="2927" w:type="dxa"/>
            <w:hideMark/>
          </w:tcPr>
          <w:p w14:paraId="230BEFE4" w14:textId="77777777" w:rsidR="00526FE9" w:rsidRPr="008762D1" w:rsidRDefault="00526FE9" w:rsidP="006359EB">
            <w:pPr>
              <w:pStyle w:val="Textosinformato"/>
              <w:numPr>
                <w:ilvl w:val="0"/>
                <w:numId w:val="48"/>
              </w:numPr>
              <w:tabs>
                <w:tab w:val="left" w:pos="261"/>
              </w:tabs>
              <w:spacing w:line="276" w:lineRule="auto"/>
              <w:ind w:left="0" w:firstLine="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lastRenderedPageBreak/>
              <w:t>Acceso:</w:t>
            </w:r>
          </w:p>
        </w:tc>
        <w:tc>
          <w:tcPr>
            <w:tcW w:w="5580" w:type="dxa"/>
            <w:hideMark/>
          </w:tcPr>
          <w:p w14:paraId="1BFEB01C"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7X24 </w:t>
            </w:r>
            <w:proofErr w:type="spellStart"/>
            <w:r w:rsidRPr="008762D1">
              <w:rPr>
                <w:rFonts w:ascii="ITC Avant Garde" w:hAnsi="ITC Avant Garde" w:cs="Arial"/>
                <w:color w:val="000000" w:themeColor="text1"/>
                <w:sz w:val="22"/>
                <w:szCs w:val="22"/>
              </w:rPr>
              <w:t>hrs</w:t>
            </w:r>
            <w:proofErr w:type="spellEnd"/>
            <w:r w:rsidRPr="008762D1">
              <w:rPr>
                <w:rFonts w:ascii="ITC Avant Garde" w:hAnsi="ITC Avant Garde" w:cs="Arial"/>
                <w:color w:val="000000" w:themeColor="text1"/>
                <w:sz w:val="22"/>
                <w:szCs w:val="22"/>
              </w:rPr>
              <w:t>. Todos los días del año atendiendo los procedimientos correspondientes</w:t>
            </w:r>
          </w:p>
        </w:tc>
      </w:tr>
      <w:tr w:rsidR="008762D1" w:rsidRPr="008762D1" w14:paraId="2B4BFB7A" w14:textId="77777777" w:rsidTr="00036A6A">
        <w:trPr>
          <w:jc w:val="center"/>
        </w:trPr>
        <w:tc>
          <w:tcPr>
            <w:tcW w:w="2927" w:type="dxa"/>
            <w:hideMark/>
          </w:tcPr>
          <w:p w14:paraId="447FBADE" w14:textId="77777777" w:rsidR="00526FE9" w:rsidRPr="008762D1" w:rsidRDefault="00526FE9" w:rsidP="006359EB">
            <w:pPr>
              <w:pStyle w:val="Textosinformato"/>
              <w:numPr>
                <w:ilvl w:val="0"/>
                <w:numId w:val="48"/>
              </w:numPr>
              <w:tabs>
                <w:tab w:val="left" w:pos="261"/>
              </w:tabs>
              <w:spacing w:line="276" w:lineRule="auto"/>
              <w:ind w:left="0" w:firstLine="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Contactos eléctricos:</w:t>
            </w:r>
          </w:p>
        </w:tc>
        <w:tc>
          <w:tcPr>
            <w:tcW w:w="5580" w:type="dxa"/>
            <w:hideMark/>
          </w:tcPr>
          <w:p w14:paraId="73309EE0"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2 contactos dobles polarizados, voltaje suministrado por la compañía comercial +/- 10% máximo</w:t>
            </w:r>
          </w:p>
        </w:tc>
      </w:tr>
      <w:tr w:rsidR="008762D1" w:rsidRPr="008762D1" w14:paraId="20D765ED" w14:textId="77777777" w:rsidTr="00036A6A">
        <w:trPr>
          <w:jc w:val="center"/>
        </w:trPr>
        <w:tc>
          <w:tcPr>
            <w:tcW w:w="2927" w:type="dxa"/>
            <w:hideMark/>
          </w:tcPr>
          <w:p w14:paraId="1CFB33CA" w14:textId="77777777" w:rsidR="00526FE9" w:rsidRPr="008762D1" w:rsidRDefault="00526FE9" w:rsidP="006359EB">
            <w:pPr>
              <w:pStyle w:val="Textosinformato"/>
              <w:numPr>
                <w:ilvl w:val="0"/>
                <w:numId w:val="48"/>
              </w:numPr>
              <w:tabs>
                <w:tab w:val="left" w:pos="276"/>
              </w:tabs>
              <w:spacing w:line="276" w:lineRule="auto"/>
              <w:ind w:left="0" w:firstLine="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Corriente Directa: </w:t>
            </w:r>
          </w:p>
        </w:tc>
        <w:tc>
          <w:tcPr>
            <w:tcW w:w="5580" w:type="dxa"/>
            <w:hideMark/>
          </w:tcPr>
          <w:p w14:paraId="6BFE9642"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-48 volts, con 10 Amperes y respaldo de 4 horas, en su caso se podrá requerir respaldo opcional.</w:t>
            </w:r>
          </w:p>
        </w:tc>
      </w:tr>
      <w:tr w:rsidR="008762D1" w:rsidRPr="008762D1" w14:paraId="662E2A87" w14:textId="77777777" w:rsidTr="00036A6A">
        <w:trPr>
          <w:jc w:val="center"/>
        </w:trPr>
        <w:tc>
          <w:tcPr>
            <w:tcW w:w="2927" w:type="dxa"/>
            <w:hideMark/>
          </w:tcPr>
          <w:p w14:paraId="026E09FF" w14:textId="77777777" w:rsidR="00526FE9" w:rsidRPr="008762D1" w:rsidRDefault="00526FE9" w:rsidP="006359EB">
            <w:pPr>
              <w:pStyle w:val="Textosinformato"/>
              <w:numPr>
                <w:ilvl w:val="0"/>
                <w:numId w:val="48"/>
              </w:numPr>
              <w:tabs>
                <w:tab w:val="left" w:pos="276"/>
              </w:tabs>
              <w:spacing w:line="276" w:lineRule="auto"/>
              <w:ind w:left="0" w:firstLine="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Corriente Alterna:</w:t>
            </w:r>
          </w:p>
        </w:tc>
        <w:tc>
          <w:tcPr>
            <w:tcW w:w="5580" w:type="dxa"/>
            <w:hideMark/>
          </w:tcPr>
          <w:p w14:paraId="52822765"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10 Amperes, con dos contactos polarizados a 127 volts con respaldo opcional</w:t>
            </w:r>
          </w:p>
        </w:tc>
      </w:tr>
      <w:tr w:rsidR="008762D1" w:rsidRPr="008762D1" w14:paraId="1B6BC5CE" w14:textId="77777777" w:rsidTr="00036A6A">
        <w:trPr>
          <w:jc w:val="center"/>
        </w:trPr>
        <w:tc>
          <w:tcPr>
            <w:tcW w:w="2927" w:type="dxa"/>
            <w:hideMark/>
          </w:tcPr>
          <w:p w14:paraId="14226FE9" w14:textId="77777777" w:rsidR="00526FE9" w:rsidRPr="008762D1" w:rsidRDefault="00526FE9" w:rsidP="006359EB">
            <w:pPr>
              <w:pStyle w:val="Textosinformato"/>
              <w:numPr>
                <w:ilvl w:val="0"/>
                <w:numId w:val="48"/>
              </w:numPr>
              <w:tabs>
                <w:tab w:val="left" w:pos="276"/>
              </w:tabs>
              <w:spacing w:line="276" w:lineRule="auto"/>
              <w:ind w:left="0" w:firstLine="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Temperatura:</w:t>
            </w:r>
          </w:p>
        </w:tc>
        <w:tc>
          <w:tcPr>
            <w:tcW w:w="5580" w:type="dxa"/>
            <w:hideMark/>
          </w:tcPr>
          <w:p w14:paraId="082C0295"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Menor a 25 grados centígrados, con un consumo máximo de 2500 </w:t>
            </w:r>
            <w:proofErr w:type="spellStart"/>
            <w:r w:rsidRPr="008762D1">
              <w:rPr>
                <w:rFonts w:ascii="ITC Avant Garde" w:hAnsi="ITC Avant Garde" w:cs="Arial"/>
                <w:color w:val="000000" w:themeColor="text1"/>
                <w:sz w:val="22"/>
                <w:szCs w:val="22"/>
              </w:rPr>
              <w:t>Kwh</w:t>
            </w:r>
            <w:proofErr w:type="spellEnd"/>
            <w:r w:rsidRPr="008762D1">
              <w:rPr>
                <w:rFonts w:ascii="ITC Avant Garde" w:hAnsi="ITC Avant Garde" w:cs="Arial"/>
                <w:color w:val="000000" w:themeColor="text1"/>
                <w:sz w:val="22"/>
                <w:szCs w:val="22"/>
              </w:rPr>
              <w:t>/mes.</w:t>
            </w:r>
          </w:p>
        </w:tc>
      </w:tr>
      <w:tr w:rsidR="008762D1" w:rsidRPr="008762D1" w14:paraId="1DFBA6FC" w14:textId="77777777" w:rsidTr="00036A6A">
        <w:trPr>
          <w:jc w:val="center"/>
        </w:trPr>
        <w:tc>
          <w:tcPr>
            <w:tcW w:w="2927" w:type="dxa"/>
            <w:hideMark/>
          </w:tcPr>
          <w:p w14:paraId="109021BE" w14:textId="77777777" w:rsidR="00526FE9" w:rsidRPr="008762D1" w:rsidRDefault="00526FE9" w:rsidP="006359EB">
            <w:pPr>
              <w:pStyle w:val="Textosinformato"/>
              <w:numPr>
                <w:ilvl w:val="0"/>
                <w:numId w:val="48"/>
              </w:numPr>
              <w:tabs>
                <w:tab w:val="left" w:pos="276"/>
              </w:tabs>
              <w:spacing w:line="276" w:lineRule="auto"/>
              <w:ind w:left="322" w:hanging="322"/>
              <w:jc w:val="both"/>
              <w:rPr>
                <w:rFonts w:ascii="ITC Avant Garde" w:hAnsi="ITC Avant Garde" w:cs="Times New Roman"/>
                <w:color w:val="000000" w:themeColor="text1"/>
                <w:w w:val="107"/>
                <w:sz w:val="22"/>
                <w:szCs w:val="22"/>
                <w:lang w:val="en-US"/>
              </w:rPr>
            </w:pPr>
            <w:r w:rsidRPr="008762D1">
              <w:rPr>
                <w:rFonts w:ascii="ITC Avant Garde" w:hAnsi="ITC Avant Garde" w:cs="Arial"/>
                <w:color w:val="000000" w:themeColor="text1"/>
                <w:sz w:val="22"/>
                <w:szCs w:val="22"/>
              </w:rPr>
              <w:t>Altura libre:</w:t>
            </w:r>
          </w:p>
        </w:tc>
        <w:tc>
          <w:tcPr>
            <w:tcW w:w="5580" w:type="dxa"/>
            <w:hideMark/>
          </w:tcPr>
          <w:p w14:paraId="046B2874" w14:textId="77777777" w:rsidR="00526FE9" w:rsidRPr="008762D1" w:rsidRDefault="00526FE9" w:rsidP="006359EB">
            <w:pPr>
              <w:pStyle w:val="Textosinformato"/>
              <w:spacing w:line="276" w:lineRule="auto"/>
              <w:jc w:val="both"/>
              <w:rPr>
                <w:rFonts w:ascii="ITC Avant Garde" w:hAnsi="ITC Avant Garde"/>
                <w:color w:val="000000" w:themeColor="text1"/>
                <w:w w:val="107"/>
                <w:sz w:val="22"/>
                <w:szCs w:val="22"/>
              </w:rPr>
            </w:pPr>
            <w:smartTag w:uri="urn:schemas-microsoft-com:office:smarttags" w:element="metricconverter">
              <w:smartTagPr>
                <w:attr w:name="ProductID" w:val="3.0 m"/>
              </w:smartTagPr>
              <w:r w:rsidRPr="008762D1">
                <w:rPr>
                  <w:rFonts w:ascii="ITC Avant Garde" w:hAnsi="ITC Avant Garde" w:cs="Arial"/>
                  <w:color w:val="000000" w:themeColor="text1"/>
                  <w:sz w:val="22"/>
                  <w:szCs w:val="22"/>
                </w:rPr>
                <w:t>3.0 m</w:t>
              </w:r>
            </w:smartTag>
            <w:r w:rsidRPr="008762D1">
              <w:rPr>
                <w:rFonts w:ascii="ITC Avant Garde" w:hAnsi="ITC Avant Garde" w:cs="Arial"/>
                <w:color w:val="000000" w:themeColor="text1"/>
                <w:sz w:val="22"/>
                <w:szCs w:val="22"/>
              </w:rPr>
              <w:t xml:space="preserve"> para instalación de equipo. Los ductos y escalerillas estarán dentro de esta altura (</w:t>
            </w:r>
            <w:smartTag w:uri="urn:schemas-microsoft-com:office:smarttags" w:element="metricconverter">
              <w:smartTagPr>
                <w:attr w:name="ProductID" w:val="2.40 m"/>
              </w:smartTagPr>
              <w:r w:rsidRPr="008762D1">
                <w:rPr>
                  <w:rFonts w:ascii="ITC Avant Garde" w:hAnsi="ITC Avant Garde" w:cs="Arial"/>
                  <w:color w:val="000000" w:themeColor="text1"/>
                  <w:sz w:val="22"/>
                  <w:szCs w:val="22"/>
                </w:rPr>
                <w:t>2.40 m</w:t>
              </w:r>
            </w:smartTag>
            <w:r w:rsidRPr="008762D1">
              <w:rPr>
                <w:rFonts w:ascii="ITC Avant Garde" w:hAnsi="ITC Avant Garde" w:cs="Arial"/>
                <w:color w:val="000000" w:themeColor="text1"/>
                <w:sz w:val="22"/>
                <w:szCs w:val="22"/>
              </w:rPr>
              <w:t>)</w:t>
            </w:r>
          </w:p>
        </w:tc>
      </w:tr>
      <w:tr w:rsidR="008762D1" w:rsidRPr="008762D1" w14:paraId="6CB7E908" w14:textId="77777777" w:rsidTr="00036A6A">
        <w:trPr>
          <w:jc w:val="center"/>
        </w:trPr>
        <w:tc>
          <w:tcPr>
            <w:tcW w:w="2927" w:type="dxa"/>
            <w:hideMark/>
          </w:tcPr>
          <w:p w14:paraId="5A41D7E7" w14:textId="77777777" w:rsidR="00526FE9" w:rsidRPr="008762D1" w:rsidRDefault="00526FE9" w:rsidP="006359EB">
            <w:pPr>
              <w:pStyle w:val="Textosinformato"/>
              <w:numPr>
                <w:ilvl w:val="0"/>
                <w:numId w:val="48"/>
              </w:numPr>
              <w:tabs>
                <w:tab w:val="left" w:pos="276"/>
              </w:tabs>
              <w:spacing w:line="276" w:lineRule="auto"/>
              <w:ind w:left="322" w:hanging="322"/>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Sistema de tierras:</w:t>
            </w:r>
          </w:p>
        </w:tc>
        <w:tc>
          <w:tcPr>
            <w:tcW w:w="5580" w:type="dxa"/>
            <w:hideMark/>
          </w:tcPr>
          <w:p w14:paraId="2B04A843"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Conductor principal de puesta a tierra calibre 1/0 AWG con derivación a cada local con cable calibre 6 AWG con un valor máximo de 5 </w:t>
            </w:r>
            <w:proofErr w:type="spellStart"/>
            <w:r w:rsidRPr="008762D1">
              <w:rPr>
                <w:rFonts w:ascii="ITC Avant Garde" w:hAnsi="ITC Avant Garde" w:cs="Arial"/>
                <w:color w:val="000000" w:themeColor="text1"/>
                <w:sz w:val="22"/>
                <w:szCs w:val="22"/>
              </w:rPr>
              <w:t>ohms</w:t>
            </w:r>
            <w:proofErr w:type="spellEnd"/>
            <w:r w:rsidRPr="008762D1">
              <w:rPr>
                <w:rFonts w:ascii="ITC Avant Garde" w:hAnsi="ITC Avant Garde" w:cs="Arial"/>
                <w:color w:val="000000" w:themeColor="text1"/>
                <w:sz w:val="22"/>
                <w:szCs w:val="22"/>
              </w:rPr>
              <w:t>.</w:t>
            </w:r>
          </w:p>
        </w:tc>
      </w:tr>
      <w:tr w:rsidR="008762D1" w:rsidRPr="008762D1" w14:paraId="38DF4CC2" w14:textId="77777777" w:rsidTr="00036A6A">
        <w:trPr>
          <w:jc w:val="center"/>
        </w:trPr>
        <w:tc>
          <w:tcPr>
            <w:tcW w:w="2927" w:type="dxa"/>
            <w:hideMark/>
          </w:tcPr>
          <w:p w14:paraId="6673B7D0" w14:textId="77777777" w:rsidR="00526FE9" w:rsidRPr="008762D1" w:rsidRDefault="00526FE9" w:rsidP="006359EB">
            <w:pPr>
              <w:pStyle w:val="Textosinformato"/>
              <w:numPr>
                <w:ilvl w:val="0"/>
                <w:numId w:val="48"/>
              </w:numPr>
              <w:spacing w:line="276" w:lineRule="auto"/>
              <w:ind w:left="322" w:hanging="322"/>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Acceso por  </w:t>
            </w:r>
          </w:p>
          <w:p w14:paraId="005F9396" w14:textId="77777777" w:rsidR="00526FE9" w:rsidRPr="008762D1" w:rsidRDefault="00526FE9" w:rsidP="006359EB">
            <w:pPr>
              <w:pStyle w:val="Textosinformato"/>
              <w:spacing w:line="276" w:lineRule="auto"/>
              <w:ind w:left="322" w:hanging="322"/>
              <w:jc w:val="both"/>
              <w:rPr>
                <w:rFonts w:ascii="ITC Avant Garde" w:hAnsi="ITC Avant Garde" w:cs="Times New Roman"/>
                <w:color w:val="000000" w:themeColor="text1"/>
                <w:w w:val="107"/>
                <w:sz w:val="22"/>
                <w:szCs w:val="22"/>
                <w:lang w:val="en-US"/>
              </w:rPr>
            </w:pPr>
            <w:r w:rsidRPr="008762D1">
              <w:rPr>
                <w:rFonts w:ascii="ITC Avant Garde" w:hAnsi="ITC Avant Garde" w:cs="Arial"/>
                <w:color w:val="000000" w:themeColor="text1"/>
                <w:sz w:val="22"/>
                <w:szCs w:val="22"/>
              </w:rPr>
              <w:t>mantenimiento:</w:t>
            </w:r>
          </w:p>
        </w:tc>
        <w:tc>
          <w:tcPr>
            <w:tcW w:w="5580" w:type="dxa"/>
            <w:hideMark/>
          </w:tcPr>
          <w:p w14:paraId="6DAD9FFB" w14:textId="77777777" w:rsidR="00526FE9" w:rsidRPr="008762D1" w:rsidRDefault="00526FE9" w:rsidP="006359EB">
            <w:pPr>
              <w:pStyle w:val="Textosinformato"/>
              <w:spacing w:line="276" w:lineRule="auto"/>
              <w:jc w:val="both"/>
              <w:rPr>
                <w:rFonts w:ascii="ITC Avant Garde" w:hAnsi="ITC Avant Garde"/>
                <w:color w:val="000000" w:themeColor="text1"/>
                <w:w w:val="107"/>
                <w:sz w:val="22"/>
                <w:szCs w:val="22"/>
              </w:rPr>
            </w:pPr>
            <w:r w:rsidRPr="008762D1">
              <w:rPr>
                <w:rFonts w:ascii="ITC Avant Garde" w:hAnsi="ITC Avant Garde" w:cs="Arial"/>
                <w:color w:val="000000" w:themeColor="text1"/>
                <w:sz w:val="22"/>
                <w:szCs w:val="22"/>
              </w:rPr>
              <w:t>Avisar previamente al centro de control de la Red.</w:t>
            </w:r>
          </w:p>
        </w:tc>
      </w:tr>
      <w:tr w:rsidR="008762D1" w:rsidRPr="008762D1" w14:paraId="4E6C354E" w14:textId="77777777" w:rsidTr="00036A6A">
        <w:trPr>
          <w:jc w:val="center"/>
        </w:trPr>
        <w:tc>
          <w:tcPr>
            <w:tcW w:w="2927" w:type="dxa"/>
            <w:hideMark/>
          </w:tcPr>
          <w:p w14:paraId="699077FB" w14:textId="77777777" w:rsidR="00526FE9" w:rsidRPr="008762D1" w:rsidRDefault="00526FE9" w:rsidP="006359EB">
            <w:pPr>
              <w:pStyle w:val="Textosinformato"/>
              <w:numPr>
                <w:ilvl w:val="0"/>
                <w:numId w:val="48"/>
              </w:numPr>
              <w:spacing w:line="276" w:lineRule="auto"/>
              <w:ind w:left="322" w:hanging="322"/>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Herraje y/o </w:t>
            </w:r>
            <w:proofErr w:type="spellStart"/>
            <w:r w:rsidRPr="008762D1">
              <w:rPr>
                <w:rFonts w:ascii="ITC Avant Garde" w:hAnsi="ITC Avant Garde" w:cs="Arial"/>
                <w:color w:val="000000" w:themeColor="text1"/>
                <w:sz w:val="22"/>
                <w:szCs w:val="22"/>
              </w:rPr>
              <w:t>ductería</w:t>
            </w:r>
            <w:proofErr w:type="spellEnd"/>
            <w:r w:rsidRPr="008762D1">
              <w:rPr>
                <w:rFonts w:ascii="ITC Avant Garde" w:hAnsi="ITC Avant Garde" w:cs="Arial"/>
                <w:color w:val="000000" w:themeColor="text1"/>
                <w:sz w:val="22"/>
                <w:szCs w:val="22"/>
              </w:rPr>
              <w:t>:</w:t>
            </w:r>
          </w:p>
        </w:tc>
        <w:tc>
          <w:tcPr>
            <w:tcW w:w="5580" w:type="dxa"/>
            <w:hideMark/>
          </w:tcPr>
          <w:p w14:paraId="6657B94A"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Será provisto por el propietario del edificio, para conectar el punto de llegada al edificio con las áreas asignadas y con otras </w:t>
            </w:r>
            <w:proofErr w:type="spellStart"/>
            <w:r w:rsidRPr="008762D1">
              <w:rPr>
                <w:rFonts w:ascii="ITC Avant Garde" w:hAnsi="ITC Avant Garde" w:cs="Arial"/>
                <w:color w:val="000000" w:themeColor="text1"/>
                <w:sz w:val="22"/>
                <w:szCs w:val="22"/>
              </w:rPr>
              <w:t>coubicaciones</w:t>
            </w:r>
            <w:proofErr w:type="spellEnd"/>
            <w:r w:rsidRPr="008762D1">
              <w:rPr>
                <w:rFonts w:ascii="ITC Avant Garde" w:hAnsi="ITC Avant Garde" w:cs="Arial"/>
                <w:color w:val="000000" w:themeColor="text1"/>
                <w:sz w:val="22"/>
                <w:szCs w:val="22"/>
              </w:rPr>
              <w:t xml:space="preserve"> en caso de requerirse.</w:t>
            </w:r>
          </w:p>
        </w:tc>
      </w:tr>
      <w:tr w:rsidR="008762D1" w:rsidRPr="008762D1" w14:paraId="4D3EAA63" w14:textId="77777777" w:rsidTr="00036A6A">
        <w:trPr>
          <w:jc w:val="center"/>
        </w:trPr>
        <w:tc>
          <w:tcPr>
            <w:tcW w:w="2927" w:type="dxa"/>
            <w:hideMark/>
          </w:tcPr>
          <w:p w14:paraId="2845E0FB" w14:textId="77777777" w:rsidR="00526FE9" w:rsidRPr="008762D1" w:rsidRDefault="00526FE9" w:rsidP="006359EB">
            <w:pPr>
              <w:pStyle w:val="Textosinformato"/>
              <w:numPr>
                <w:ilvl w:val="0"/>
                <w:numId w:val="48"/>
              </w:numPr>
              <w:spacing w:line="276" w:lineRule="auto"/>
              <w:ind w:left="322" w:hanging="322"/>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Identificación de Alimentación:</w:t>
            </w:r>
          </w:p>
        </w:tc>
        <w:tc>
          <w:tcPr>
            <w:tcW w:w="5580" w:type="dxa"/>
            <w:hideMark/>
          </w:tcPr>
          <w:p w14:paraId="1BD4C963"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Identificación de los interruptores </w:t>
            </w:r>
            <w:proofErr w:type="spellStart"/>
            <w:r w:rsidRPr="008762D1">
              <w:rPr>
                <w:rFonts w:ascii="ITC Avant Garde" w:hAnsi="ITC Avant Garde" w:cs="Arial"/>
                <w:color w:val="000000" w:themeColor="text1"/>
                <w:sz w:val="22"/>
                <w:szCs w:val="22"/>
              </w:rPr>
              <w:t>termomagnéticos</w:t>
            </w:r>
            <w:proofErr w:type="spellEnd"/>
            <w:r w:rsidRPr="008762D1">
              <w:rPr>
                <w:rFonts w:ascii="ITC Avant Garde" w:hAnsi="ITC Avant Garde" w:cs="Arial"/>
                <w:color w:val="000000" w:themeColor="text1"/>
                <w:sz w:val="22"/>
                <w:szCs w:val="22"/>
              </w:rPr>
              <w:t xml:space="preserve"> asignados a los concesionarios en el tablero general de C.A.</w:t>
            </w:r>
          </w:p>
        </w:tc>
      </w:tr>
      <w:tr w:rsidR="008762D1" w:rsidRPr="008762D1" w14:paraId="39022797" w14:textId="77777777" w:rsidTr="00036A6A">
        <w:trPr>
          <w:jc w:val="center"/>
        </w:trPr>
        <w:tc>
          <w:tcPr>
            <w:tcW w:w="2927" w:type="dxa"/>
            <w:hideMark/>
          </w:tcPr>
          <w:p w14:paraId="781B867B" w14:textId="77777777" w:rsidR="00526FE9" w:rsidRPr="008762D1" w:rsidRDefault="00526FE9" w:rsidP="006359EB">
            <w:pPr>
              <w:pStyle w:val="Textosinformato"/>
              <w:numPr>
                <w:ilvl w:val="0"/>
                <w:numId w:val="48"/>
              </w:numPr>
              <w:spacing w:line="276" w:lineRule="auto"/>
              <w:ind w:left="322" w:hanging="322"/>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Fijación del equipo:</w:t>
            </w:r>
          </w:p>
        </w:tc>
        <w:tc>
          <w:tcPr>
            <w:tcW w:w="5580" w:type="dxa"/>
            <w:hideMark/>
          </w:tcPr>
          <w:p w14:paraId="530319D0"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Anclaje a piso y/o techo de común acuerdo</w:t>
            </w:r>
          </w:p>
        </w:tc>
      </w:tr>
      <w:tr w:rsidR="00526FE9" w:rsidRPr="008762D1" w14:paraId="73345B4C" w14:textId="77777777" w:rsidTr="00036A6A">
        <w:trPr>
          <w:jc w:val="center"/>
        </w:trPr>
        <w:tc>
          <w:tcPr>
            <w:tcW w:w="2927" w:type="dxa"/>
            <w:hideMark/>
          </w:tcPr>
          <w:p w14:paraId="22B59C55" w14:textId="77777777" w:rsidR="00526FE9" w:rsidRPr="008762D1" w:rsidRDefault="00526FE9" w:rsidP="006359EB">
            <w:pPr>
              <w:pStyle w:val="Textosinformato"/>
              <w:numPr>
                <w:ilvl w:val="0"/>
                <w:numId w:val="48"/>
              </w:numPr>
              <w:spacing w:line="276" w:lineRule="auto"/>
              <w:ind w:left="322" w:hanging="322"/>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lastRenderedPageBreak/>
              <w:t>Acabado del piso:</w:t>
            </w:r>
          </w:p>
        </w:tc>
        <w:tc>
          <w:tcPr>
            <w:tcW w:w="5580" w:type="dxa"/>
            <w:hideMark/>
          </w:tcPr>
          <w:p w14:paraId="2C3B1F81" w14:textId="77777777" w:rsidR="00526FE9" w:rsidRPr="008762D1" w:rsidRDefault="00526FE9" w:rsidP="006359EB">
            <w:pPr>
              <w:pStyle w:val="Textosinformato"/>
              <w:spacing w:line="276" w:lineRule="auto"/>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Firme de concreto 400Kg/m</w:t>
            </w:r>
            <w:r w:rsidRPr="008762D1">
              <w:rPr>
                <w:rFonts w:ascii="ITC Avant Garde" w:hAnsi="ITC Avant Garde" w:cs="Arial"/>
                <w:color w:val="000000" w:themeColor="text1"/>
                <w:sz w:val="22"/>
                <w:szCs w:val="22"/>
                <w:vertAlign w:val="superscript"/>
              </w:rPr>
              <w:t>2</w:t>
            </w:r>
            <w:r w:rsidRPr="008762D1">
              <w:rPr>
                <w:rFonts w:ascii="ITC Avant Garde" w:hAnsi="ITC Avant Garde" w:cs="Arial"/>
                <w:color w:val="000000" w:themeColor="text1"/>
                <w:sz w:val="22"/>
                <w:szCs w:val="22"/>
              </w:rPr>
              <w:t xml:space="preserve">, sin ondulaciones, </w:t>
            </w:r>
            <w:smartTag w:uri="urn:schemas-microsoft-com:office:smarttags" w:element="metricconverter">
              <w:smartTagPr>
                <w:attr w:name="ProductID" w:val="3 mm"/>
              </w:smartTagPr>
              <w:r w:rsidRPr="008762D1">
                <w:rPr>
                  <w:rFonts w:ascii="ITC Avant Garde" w:hAnsi="ITC Avant Garde" w:cs="Arial"/>
                  <w:color w:val="000000" w:themeColor="text1"/>
                  <w:sz w:val="22"/>
                  <w:szCs w:val="22"/>
                </w:rPr>
                <w:t>3 mm</w:t>
              </w:r>
            </w:smartTag>
            <w:r w:rsidRPr="008762D1">
              <w:rPr>
                <w:rFonts w:ascii="ITC Avant Garde" w:hAnsi="ITC Avant Garde" w:cs="Arial"/>
                <w:color w:val="000000" w:themeColor="text1"/>
                <w:sz w:val="22"/>
                <w:szCs w:val="22"/>
              </w:rPr>
              <w:t xml:space="preserve"> de desnivel cubierto con loseta vinílica.</w:t>
            </w:r>
          </w:p>
        </w:tc>
      </w:tr>
    </w:tbl>
    <w:p w14:paraId="0F0209F9" w14:textId="77777777" w:rsidR="00526FE9" w:rsidRPr="008762D1" w:rsidRDefault="00526FE9" w:rsidP="000F0B9F">
      <w:pPr>
        <w:autoSpaceDE w:val="0"/>
        <w:autoSpaceDN w:val="0"/>
        <w:adjustRightInd w:val="0"/>
        <w:spacing w:before="240" w:line="276" w:lineRule="auto"/>
        <w:ind w:left="426"/>
        <w:jc w:val="both"/>
        <w:rPr>
          <w:rFonts w:ascii="ITC Avant Garde" w:hAnsi="ITC Avant Garde" w:cs="Arial"/>
          <w:color w:val="000000" w:themeColor="text1"/>
        </w:rPr>
      </w:pPr>
      <w:r w:rsidRPr="008762D1">
        <w:rPr>
          <w:rFonts w:ascii="ITC Avant Garde" w:hAnsi="ITC Avant Garde" w:cs="Arial"/>
          <w:color w:val="000000" w:themeColor="text1"/>
        </w:rPr>
        <w:t xml:space="preserve">En caso de que dos concesionarios tengan presencia en un mismo punto de interconexión y estén interesados en contratar un Enlace de Transmisión de Interconexión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(interconexión cruzada), es decir la interconexión directa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ésta se realizará por medio de estructuras de soporte y enlaces de transmisión que deberán ser proporcionados y arrendados por el concesionario propietario de las instalaciones en que se encuentren </w:t>
      </w:r>
      <w:proofErr w:type="spellStart"/>
      <w:r w:rsidRPr="008762D1">
        <w:rPr>
          <w:rFonts w:ascii="ITC Avant Garde" w:hAnsi="ITC Avant Garde" w:cs="Arial"/>
          <w:color w:val="000000" w:themeColor="text1"/>
        </w:rPr>
        <w:t>coubicados</w:t>
      </w:r>
      <w:proofErr w:type="spellEnd"/>
      <w:r w:rsidRPr="008762D1">
        <w:rPr>
          <w:rFonts w:ascii="ITC Avant Garde" w:hAnsi="ITC Avant Garde" w:cs="Arial"/>
          <w:color w:val="000000" w:themeColor="text1"/>
        </w:rPr>
        <w:t xml:space="preserve"> los concesionarios interesados.</w:t>
      </w:r>
    </w:p>
    <w:p w14:paraId="5A24047B" w14:textId="52BDF3CC" w:rsidR="000F0B9F" w:rsidRPr="008762D1" w:rsidRDefault="00526FE9" w:rsidP="000F0B9F">
      <w:pPr>
        <w:autoSpaceDE w:val="0"/>
        <w:autoSpaceDN w:val="0"/>
        <w:adjustRightInd w:val="0"/>
        <w:spacing w:before="240" w:line="276" w:lineRule="auto"/>
        <w:ind w:left="426"/>
        <w:jc w:val="both"/>
        <w:rPr>
          <w:rFonts w:ascii="ITC Avant Garde" w:hAnsi="ITC Avant Garde" w:cs="Arial"/>
          <w:color w:val="000000" w:themeColor="text1"/>
        </w:rPr>
      </w:pPr>
      <w:r w:rsidRPr="008762D1">
        <w:rPr>
          <w:rFonts w:ascii="ITC Avant Garde" w:hAnsi="ITC Avant Garde" w:cs="Arial"/>
          <w:color w:val="000000" w:themeColor="text1"/>
        </w:rPr>
        <w:t xml:space="preserve">En caso de que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requiera capacidad adicional de Corriente Directa, Corriente Alterna o clima, deberá solicitar ampliación y pagar por el consumo excedente bajo los términos y condiciones establecidas en el Anexo B de este Convenio.</w:t>
      </w:r>
    </w:p>
    <w:p w14:paraId="732FB4EF" w14:textId="77777777" w:rsidR="000F0B9F"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b/>
          <w:color w:val="000000" w:themeColor="text1"/>
        </w:rPr>
        <w:t>A.2. ACUERDOS TÉCNICOS DE INTERCONEXIÓN PARA SEÑALIZACIÓN SIP</w:t>
      </w:r>
      <w:r w:rsidRPr="008762D1">
        <w:rPr>
          <w:rFonts w:ascii="ITC Avant Garde" w:hAnsi="ITC Avant Garde" w:cs="Arial"/>
          <w:color w:val="000000" w:themeColor="text1"/>
        </w:rPr>
        <w:t>.</w:t>
      </w:r>
    </w:p>
    <w:p w14:paraId="2FF1563D" w14:textId="77777777" w:rsidR="000F0B9F" w:rsidRPr="008762D1" w:rsidRDefault="00526FE9" w:rsidP="000F0B9F">
      <w:pPr>
        <w:autoSpaceDE w:val="0"/>
        <w:autoSpaceDN w:val="0"/>
        <w:adjustRightInd w:val="0"/>
        <w:spacing w:before="240" w:line="276" w:lineRule="auto"/>
        <w:ind w:left="426"/>
        <w:jc w:val="both"/>
        <w:rPr>
          <w:rFonts w:ascii="ITC Avant Garde" w:hAnsi="ITC Avant Garde" w:cs="Arial"/>
          <w:color w:val="000000" w:themeColor="text1"/>
        </w:rPr>
      </w:pPr>
      <w:r w:rsidRPr="008762D1">
        <w:rPr>
          <w:rFonts w:ascii="ITC Avant Garde" w:hAnsi="ITC Avant Garde" w:cs="Arial"/>
          <w:color w:val="000000" w:themeColor="text1"/>
        </w:rPr>
        <w:t xml:space="preserve">Este inciso A.2 se aplicará exclusivamente para las interconexiones que utilicen señalización SIP. </w:t>
      </w:r>
    </w:p>
    <w:p w14:paraId="66A40AE7" w14:textId="083D3A46" w:rsidR="00526FE9"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TEMA 1. Puntos de Interconexión</w:t>
      </w:r>
    </w:p>
    <w:p w14:paraId="3E432838" w14:textId="26519C42" w:rsidR="00526FE9" w:rsidRPr="008762D1" w:rsidRDefault="00526FE9" w:rsidP="000F0B9F">
      <w:pPr>
        <w:autoSpaceDE w:val="0"/>
        <w:autoSpaceDN w:val="0"/>
        <w:adjustRightInd w:val="0"/>
        <w:spacing w:before="240" w:line="276" w:lineRule="auto"/>
        <w:ind w:left="425"/>
        <w:jc w:val="both"/>
        <w:rPr>
          <w:rFonts w:ascii="ITC Avant Garde" w:hAnsi="ITC Avant Garde" w:cs="Arial"/>
          <w:color w:val="000000" w:themeColor="text1"/>
        </w:rPr>
      </w:pPr>
      <w:r w:rsidRPr="008762D1">
        <w:rPr>
          <w:rFonts w:ascii="ITC Avant Garde" w:hAnsi="ITC Avant Garde" w:cs="Arial"/>
          <w:color w:val="000000" w:themeColor="text1"/>
        </w:rPr>
        <w:t xml:space="preserve">Telmex entrega en el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A-1 los Puntos de Interconexión IP, en donde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pueda interconectar su Red Pública de Telecomunicaciones en protocolo SIP. Los Puntos de Interconexión deberán ser capaces de atender a todas las regiones de México. </w:t>
      </w:r>
    </w:p>
    <w:p w14:paraId="316AC031" w14:textId="77777777" w:rsidR="00526FE9" w:rsidRPr="008762D1" w:rsidRDefault="00526FE9" w:rsidP="000F0B9F">
      <w:pPr>
        <w:adjustRightInd w:val="0"/>
        <w:spacing w:before="240" w:line="276" w:lineRule="auto"/>
        <w:ind w:left="426"/>
        <w:jc w:val="both"/>
        <w:rPr>
          <w:rFonts w:ascii="ITC Avant Garde" w:hAnsi="ITC Avant Garde" w:cs="Arial"/>
          <w:color w:val="000000" w:themeColor="text1"/>
        </w:rPr>
      </w:pPr>
      <w:r w:rsidRPr="008762D1">
        <w:rPr>
          <w:rFonts w:ascii="ITC Avant Garde" w:hAnsi="ITC Avant Garde" w:cs="Arial"/>
          <w:color w:val="000000" w:themeColor="text1"/>
        </w:rPr>
        <w:t xml:space="preserve">Los Puntos de Interconexión IP de la red pública de telecomunicaciones de Telmex para intercambiar tráfico de cualquier origen o destino del territorio nacional mediante el protocolo de internet (IP), correspondientes a los servicios de telecomunicaciones fijos estarán ubicados en las ciudades indicadas en el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A-1.</w:t>
      </w:r>
    </w:p>
    <w:p w14:paraId="675BD517" w14:textId="16EAC9C8" w:rsidR="00526FE9" w:rsidRPr="008762D1" w:rsidRDefault="00526FE9" w:rsidP="000F0B9F">
      <w:pPr>
        <w:adjustRightInd w:val="0"/>
        <w:spacing w:before="240" w:line="276" w:lineRule="auto"/>
        <w:ind w:left="426"/>
        <w:jc w:val="both"/>
        <w:rPr>
          <w:rFonts w:ascii="ITC Avant Garde" w:hAnsi="ITC Avant Garde" w:cs="Arial"/>
          <w:color w:val="000000" w:themeColor="text1"/>
          <w:lang w:val="es-ES"/>
        </w:rPr>
      </w:pPr>
      <w:r w:rsidRPr="008762D1">
        <w:rPr>
          <w:rFonts w:ascii="ITC Avant Garde" w:hAnsi="ITC Avant Garde" w:cs="Arial"/>
          <w:color w:val="000000" w:themeColor="text1"/>
        </w:rPr>
        <w:t xml:space="preserve">Telmex deberá interconectar a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en los puntos de interconexión definidos en el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A-1 y en los plazos establecidos en las disposiciones que resulten aplicables.</w:t>
      </w:r>
    </w:p>
    <w:p w14:paraId="2EB614D3" w14:textId="77777777" w:rsidR="000F0B9F" w:rsidRPr="008762D1" w:rsidRDefault="00526FE9" w:rsidP="000F0B9F">
      <w:pPr>
        <w:adjustRightInd w:val="0"/>
        <w:spacing w:before="240" w:line="276" w:lineRule="auto"/>
        <w:ind w:left="426"/>
        <w:jc w:val="both"/>
        <w:rPr>
          <w:rFonts w:ascii="ITC Avant Garde" w:hAnsi="ITC Avant Garde" w:cs="Arial"/>
          <w:color w:val="000000" w:themeColor="text1"/>
        </w:rPr>
      </w:pPr>
      <w:r w:rsidRPr="008762D1">
        <w:rPr>
          <w:rFonts w:ascii="ITC Avant Garde" w:hAnsi="ITC Avant Garde" w:cs="Arial"/>
          <w:color w:val="000000" w:themeColor="text1"/>
        </w:rPr>
        <w:t xml:space="preserve">La interconexión lógica para el intercambio de tráfico de interconexión IP se establecerá empleando una topología SBC-SBC mediante un modelo peer-to-peer privado, esto es mediante el establecimiento de enlaces punto a punto </w:t>
      </w:r>
      <w:r w:rsidRPr="008762D1">
        <w:rPr>
          <w:rFonts w:ascii="ITC Avant Garde" w:hAnsi="ITC Avant Garde" w:cs="Arial"/>
          <w:color w:val="000000" w:themeColor="text1"/>
        </w:rPr>
        <w:lastRenderedPageBreak/>
        <w:t>entre los concesionarios que intercambian tráfico.  Sin embargo, en función de la necesidad de redundancia, cada una de las partes tendrá libertad de involucrar uno o varios SBC.</w:t>
      </w:r>
    </w:p>
    <w:p w14:paraId="1550534F"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TEMA 2. Señalización</w:t>
      </w:r>
    </w:p>
    <w:p w14:paraId="3435867B" w14:textId="1A499E73" w:rsidR="00526FE9"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 xml:space="preserve">INCISO 2.1 Protocolo de señalización </w:t>
      </w:r>
    </w:p>
    <w:p w14:paraId="0474E66B" w14:textId="77777777" w:rsidR="00526FE9" w:rsidRPr="008762D1" w:rsidRDefault="00526FE9" w:rsidP="000F0B9F">
      <w:pPr>
        <w:autoSpaceDE w:val="0"/>
        <w:autoSpaceDN w:val="0"/>
        <w:adjustRightInd w:val="0"/>
        <w:spacing w:before="240" w:line="276" w:lineRule="auto"/>
        <w:ind w:left="425"/>
        <w:jc w:val="both"/>
        <w:rPr>
          <w:rFonts w:ascii="ITC Avant Garde" w:hAnsi="ITC Avant Garde" w:cs="Arial"/>
          <w:color w:val="000000" w:themeColor="text1"/>
        </w:rPr>
      </w:pPr>
      <w:r w:rsidRPr="008762D1">
        <w:rPr>
          <w:rFonts w:ascii="ITC Avant Garde" w:hAnsi="ITC Avant Garde" w:cs="Arial"/>
          <w:color w:val="000000" w:themeColor="text1"/>
        </w:rPr>
        <w:t>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 identificador de llamada y transferencia de llamadas.</w:t>
      </w:r>
    </w:p>
    <w:p w14:paraId="13B84029" w14:textId="77777777" w:rsidR="00526FE9" w:rsidRPr="008762D1" w:rsidRDefault="00526FE9" w:rsidP="000F0B9F">
      <w:pPr>
        <w:autoSpaceDE w:val="0"/>
        <w:autoSpaceDN w:val="0"/>
        <w:adjustRightInd w:val="0"/>
        <w:spacing w:before="240" w:line="276" w:lineRule="auto"/>
        <w:ind w:left="425"/>
        <w:jc w:val="both"/>
        <w:rPr>
          <w:rFonts w:ascii="ITC Avant Garde" w:hAnsi="ITC Avant Garde" w:cs="Arial"/>
          <w:color w:val="000000" w:themeColor="text1"/>
        </w:rPr>
      </w:pPr>
      <w:r w:rsidRPr="008762D1">
        <w:rPr>
          <w:rFonts w:ascii="ITC Avant Garde" w:hAnsi="ITC Avant Garde" w:cs="Arial"/>
          <w:color w:val="000000" w:themeColor="text1"/>
        </w:rPr>
        <w:t xml:space="preserve">En la interconexión IP se utilizará el protocolo de señalización SIP 2.0, en este sentido, las Partes deberán implementar dicho protocolo conforme a las recomendaciones del Internet </w:t>
      </w:r>
      <w:proofErr w:type="spellStart"/>
      <w:r w:rsidRPr="008762D1">
        <w:rPr>
          <w:rFonts w:ascii="ITC Avant Garde" w:hAnsi="ITC Avant Garde" w:cs="Arial"/>
          <w:color w:val="000000" w:themeColor="text1"/>
        </w:rPr>
        <w:t>Engineering</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Task</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Force</w:t>
      </w:r>
      <w:proofErr w:type="spellEnd"/>
      <w:r w:rsidRPr="008762D1">
        <w:rPr>
          <w:rFonts w:ascii="ITC Avant Garde" w:hAnsi="ITC Avant Garde" w:cs="Arial"/>
          <w:color w:val="000000" w:themeColor="text1"/>
        </w:rPr>
        <w:t xml:space="preserve"> (IETF, por sus siglas en inglés) y la Norma Técnica que emita el Instituto. Su función es similar al Sistema de Señalización 7 (SS7) en la telefonía tradicional.</w:t>
      </w:r>
    </w:p>
    <w:p w14:paraId="1E821B98" w14:textId="77777777" w:rsidR="00526FE9" w:rsidRPr="008762D1" w:rsidRDefault="00526FE9" w:rsidP="000F0B9F">
      <w:pPr>
        <w:autoSpaceDE w:val="0"/>
        <w:autoSpaceDN w:val="0"/>
        <w:adjustRightInd w:val="0"/>
        <w:spacing w:before="240" w:line="276" w:lineRule="auto"/>
        <w:ind w:left="425"/>
        <w:jc w:val="both"/>
        <w:rPr>
          <w:rFonts w:ascii="ITC Avant Garde" w:hAnsi="ITC Avant Garde" w:cs="Arial"/>
          <w:bCs/>
          <w:color w:val="000000" w:themeColor="text1"/>
        </w:rPr>
      </w:pPr>
      <w:r w:rsidRPr="008762D1">
        <w:rPr>
          <w:rFonts w:ascii="ITC Avant Garde" w:hAnsi="ITC Avant Garde" w:cs="Arial"/>
          <w:color w:val="000000" w:themeColor="text1"/>
        </w:rPr>
        <w:t xml:space="preserve">Este sistema de señalización se utilizará para todas aquellas comunicaciones que requieran de la creación y administración de sesiones a través de protocolo IP. Se </w:t>
      </w:r>
      <w:r w:rsidRPr="008762D1">
        <w:rPr>
          <w:rFonts w:ascii="ITC Avant Garde" w:hAnsi="ITC Avant Garde" w:cs="Arial"/>
          <w:bCs/>
          <w:color w:val="000000" w:themeColor="text1"/>
        </w:rPr>
        <w:t>utilizará en el intercambio de tráfico telefónico y en el futuro, podrá ser ampliada y modificada para otros tipos de tráfico.</w:t>
      </w:r>
    </w:p>
    <w:p w14:paraId="006960A0" w14:textId="77777777" w:rsidR="00526FE9" w:rsidRPr="008762D1" w:rsidRDefault="00526FE9" w:rsidP="000F0B9F">
      <w:pPr>
        <w:autoSpaceDE w:val="0"/>
        <w:autoSpaceDN w:val="0"/>
        <w:adjustRightInd w:val="0"/>
        <w:spacing w:before="240" w:line="276" w:lineRule="auto"/>
        <w:ind w:left="425"/>
        <w:jc w:val="both"/>
        <w:rPr>
          <w:rFonts w:ascii="ITC Avant Garde" w:hAnsi="ITC Avant Garde" w:cs="Arial"/>
          <w:bCs/>
          <w:color w:val="000000" w:themeColor="text1"/>
        </w:rPr>
      </w:pPr>
      <w:r w:rsidRPr="008762D1">
        <w:rPr>
          <w:rFonts w:ascii="ITC Avant Garde" w:hAnsi="ITC Avant Garde" w:cs="Arial"/>
          <w:bCs/>
          <w:color w:val="000000" w:themeColor="text1"/>
        </w:rPr>
        <w:t xml:space="preserve">Ambos Concesionarios aceptan utilizar la señalización SIP 2.0, según las recomendaciones de la RFC 3261. </w:t>
      </w:r>
    </w:p>
    <w:p w14:paraId="65AC9BC3" w14:textId="77777777" w:rsidR="00526FE9" w:rsidRPr="008762D1" w:rsidRDefault="00526FE9" w:rsidP="000F0B9F">
      <w:pPr>
        <w:autoSpaceDE w:val="0"/>
        <w:autoSpaceDN w:val="0"/>
        <w:adjustRightInd w:val="0"/>
        <w:spacing w:before="240" w:line="276" w:lineRule="auto"/>
        <w:ind w:left="425"/>
        <w:jc w:val="both"/>
        <w:rPr>
          <w:rFonts w:ascii="ITC Avant Garde" w:hAnsi="ITC Avant Garde" w:cs="Arial"/>
          <w:color w:val="000000" w:themeColor="text1"/>
        </w:rPr>
      </w:pPr>
      <w:r w:rsidRPr="008762D1">
        <w:rPr>
          <w:rFonts w:ascii="ITC Avant Garde" w:hAnsi="ITC Avant Garde" w:cs="Arial"/>
          <w:color w:val="000000" w:themeColor="text1"/>
        </w:rPr>
        <w:t>Adicionalmente se utilizan las siguientes normas:</w:t>
      </w:r>
    </w:p>
    <w:p w14:paraId="29E0662D" w14:textId="77777777" w:rsidR="00526FE9" w:rsidRPr="008762D1" w:rsidRDefault="00526FE9" w:rsidP="000F0B9F">
      <w:pPr>
        <w:numPr>
          <w:ilvl w:val="1"/>
          <w:numId w:val="42"/>
        </w:numPr>
        <w:tabs>
          <w:tab w:val="num" w:pos="993"/>
        </w:tabs>
        <w:autoSpaceDE w:val="0"/>
        <w:autoSpaceDN w:val="0"/>
        <w:adjustRightInd w:val="0"/>
        <w:spacing w:before="240"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La utilización del protocolo UDP (RFC 768)</w:t>
      </w:r>
    </w:p>
    <w:p w14:paraId="20BCA883" w14:textId="77777777" w:rsidR="00526FE9" w:rsidRPr="008762D1" w:rsidRDefault="00526FE9" w:rsidP="006359EB">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 xml:space="preserve">Real-time </w:t>
      </w:r>
      <w:proofErr w:type="spellStart"/>
      <w:r w:rsidRPr="008762D1">
        <w:rPr>
          <w:rFonts w:ascii="ITC Avant Garde" w:hAnsi="ITC Avant Garde" w:cs="Arial"/>
          <w:color w:val="000000" w:themeColor="text1"/>
        </w:rPr>
        <w:t>Transport</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Protocol</w:t>
      </w:r>
      <w:proofErr w:type="spellEnd"/>
      <w:r w:rsidRPr="008762D1">
        <w:rPr>
          <w:rFonts w:ascii="ITC Avant Garde" w:hAnsi="ITC Avant Garde" w:cs="Arial"/>
          <w:color w:val="000000" w:themeColor="text1"/>
        </w:rPr>
        <w:t xml:space="preserve"> (RTP) (RFC 1889) para transportar datos en tiempo real y proveer calidad de servicio (</w:t>
      </w:r>
      <w:proofErr w:type="spellStart"/>
      <w:r w:rsidRPr="008762D1">
        <w:rPr>
          <w:rFonts w:ascii="ITC Avant Garde" w:hAnsi="ITC Avant Garde" w:cs="Arial"/>
          <w:color w:val="000000" w:themeColor="text1"/>
        </w:rPr>
        <w:t>QoS</w:t>
      </w:r>
      <w:proofErr w:type="spellEnd"/>
      <w:r w:rsidRPr="008762D1">
        <w:rPr>
          <w:rFonts w:ascii="ITC Avant Garde" w:hAnsi="ITC Avant Garde" w:cs="Arial"/>
          <w:color w:val="000000" w:themeColor="text1"/>
        </w:rPr>
        <w:t>)</w:t>
      </w:r>
    </w:p>
    <w:p w14:paraId="0E30B8C1" w14:textId="77777777" w:rsidR="000F0B9F" w:rsidRPr="008762D1" w:rsidRDefault="00526FE9" w:rsidP="006359EB">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proofErr w:type="spellStart"/>
      <w:r w:rsidRPr="008762D1">
        <w:rPr>
          <w:rFonts w:ascii="ITC Avant Garde" w:hAnsi="ITC Avant Garde" w:cs="Arial"/>
          <w:color w:val="000000" w:themeColor="text1"/>
        </w:rPr>
        <w:t>Session</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Description</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Protocol</w:t>
      </w:r>
      <w:proofErr w:type="spellEnd"/>
      <w:r w:rsidRPr="008762D1">
        <w:rPr>
          <w:rFonts w:ascii="ITC Avant Garde" w:hAnsi="ITC Avant Garde" w:cs="Arial"/>
          <w:color w:val="000000" w:themeColor="text1"/>
        </w:rPr>
        <w:t xml:space="preserve"> (SDP) (RFC 4566) para describir las sesiones multimedios.</w:t>
      </w:r>
    </w:p>
    <w:p w14:paraId="0D81302C" w14:textId="77777777" w:rsidR="000F0B9F" w:rsidRPr="008762D1" w:rsidRDefault="00526FE9" w:rsidP="000F0B9F">
      <w:pPr>
        <w:autoSpaceDE w:val="0"/>
        <w:autoSpaceDN w:val="0"/>
        <w:adjustRightInd w:val="0"/>
        <w:spacing w:before="240" w:line="276" w:lineRule="auto"/>
        <w:ind w:left="426"/>
        <w:jc w:val="both"/>
        <w:rPr>
          <w:rFonts w:ascii="ITC Avant Garde" w:hAnsi="ITC Avant Garde" w:cs="Arial"/>
          <w:color w:val="000000" w:themeColor="text1"/>
        </w:rPr>
      </w:pPr>
      <w:r w:rsidRPr="008762D1">
        <w:rPr>
          <w:rFonts w:ascii="ITC Avant Garde" w:hAnsi="ITC Avant Garde" w:cs="Arial"/>
          <w:color w:val="000000" w:themeColor="text1"/>
        </w:rPr>
        <w:t>Las características específicas que se utilizarán en este protocolo son:</w:t>
      </w:r>
    </w:p>
    <w:p w14:paraId="1C9C8773" w14:textId="77777777" w:rsidR="000F0B9F" w:rsidRPr="008762D1" w:rsidRDefault="00526FE9" w:rsidP="000F0B9F">
      <w:pPr>
        <w:numPr>
          <w:ilvl w:val="1"/>
          <w:numId w:val="42"/>
        </w:numPr>
        <w:tabs>
          <w:tab w:val="num" w:pos="993"/>
        </w:tabs>
        <w:autoSpaceDE w:val="0"/>
        <w:autoSpaceDN w:val="0"/>
        <w:adjustRightInd w:val="0"/>
        <w:spacing w:before="240"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Se utilizará IPv4 y/o el IPv6 de común acuerdo entre las partes.</w:t>
      </w:r>
    </w:p>
    <w:p w14:paraId="0BD0EC5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Dentro de la negociación inicial SDP, se deberán enviar los perfiles de codificación y compresión de voz:</w:t>
      </w:r>
    </w:p>
    <w:p w14:paraId="0F3FFC40" w14:textId="036ACEB4" w:rsidR="00526FE9" w:rsidRPr="008762D1" w:rsidRDefault="00526FE9" w:rsidP="00F031E8">
      <w:pPr>
        <w:numPr>
          <w:ilvl w:val="0"/>
          <w:numId w:val="49"/>
        </w:numPr>
        <w:tabs>
          <w:tab w:val="clear" w:pos="1069"/>
        </w:tabs>
        <w:autoSpaceDE w:val="0"/>
        <w:autoSpaceDN w:val="0"/>
        <w:adjustRightInd w:val="0"/>
        <w:spacing w:before="240" w:after="0" w:line="276" w:lineRule="auto"/>
        <w:ind w:left="1134" w:hanging="425"/>
        <w:jc w:val="both"/>
        <w:rPr>
          <w:rFonts w:ascii="ITC Avant Garde" w:hAnsi="ITC Avant Garde" w:cs="Arial"/>
          <w:color w:val="000000" w:themeColor="text1"/>
        </w:rPr>
      </w:pPr>
      <w:r w:rsidRPr="008762D1">
        <w:rPr>
          <w:rFonts w:ascii="ITC Avant Garde" w:hAnsi="ITC Avant Garde" w:cs="Arial"/>
          <w:color w:val="000000" w:themeColor="text1"/>
        </w:rPr>
        <w:t xml:space="preserve">G.729 </w:t>
      </w:r>
      <w:proofErr w:type="spellStart"/>
      <w:r w:rsidRPr="008762D1">
        <w:rPr>
          <w:rFonts w:ascii="ITC Avant Garde" w:hAnsi="ITC Avant Garde" w:cs="Arial"/>
          <w:color w:val="000000" w:themeColor="text1"/>
        </w:rPr>
        <w:t>Payload</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Type</w:t>
      </w:r>
      <w:proofErr w:type="spellEnd"/>
      <w:r w:rsidRPr="008762D1">
        <w:rPr>
          <w:rFonts w:ascii="ITC Avant Garde" w:hAnsi="ITC Avant Garde" w:cs="Arial"/>
          <w:color w:val="000000" w:themeColor="text1"/>
        </w:rPr>
        <w:t xml:space="preserve">: 18 </w:t>
      </w:r>
      <w:proofErr w:type="spellStart"/>
      <w:r w:rsidRPr="008762D1">
        <w:rPr>
          <w:rFonts w:ascii="ITC Avant Garde" w:hAnsi="ITC Avant Garde" w:cs="Arial"/>
          <w:color w:val="000000" w:themeColor="text1"/>
          <w:lang w:val="en-US"/>
        </w:rPr>
        <w:t>annexb</w:t>
      </w:r>
      <w:proofErr w:type="spellEnd"/>
      <w:r w:rsidRPr="008762D1">
        <w:rPr>
          <w:rFonts w:ascii="ITC Avant Garde" w:hAnsi="ITC Avant Garde" w:cs="Arial"/>
          <w:color w:val="000000" w:themeColor="text1"/>
          <w:lang w:val="en-US"/>
        </w:rPr>
        <w:t>=no</w:t>
      </w:r>
    </w:p>
    <w:p w14:paraId="24BCD3E1" w14:textId="33887156" w:rsidR="00526FE9" w:rsidRPr="008762D1" w:rsidRDefault="00526FE9" w:rsidP="006359EB">
      <w:pPr>
        <w:numPr>
          <w:ilvl w:val="0"/>
          <w:numId w:val="49"/>
        </w:numPr>
        <w:autoSpaceDE w:val="0"/>
        <w:autoSpaceDN w:val="0"/>
        <w:adjustRightInd w:val="0"/>
        <w:spacing w:after="0" w:line="276" w:lineRule="auto"/>
        <w:jc w:val="both"/>
        <w:rPr>
          <w:rFonts w:ascii="ITC Avant Garde" w:hAnsi="ITC Avant Garde" w:cs="Arial"/>
          <w:color w:val="000000" w:themeColor="text1"/>
          <w:lang w:val="en-US"/>
        </w:rPr>
      </w:pPr>
      <w:r w:rsidRPr="008762D1">
        <w:rPr>
          <w:rFonts w:ascii="ITC Avant Garde" w:hAnsi="ITC Avant Garde" w:cs="Arial"/>
          <w:color w:val="000000" w:themeColor="text1"/>
          <w:lang w:val="en-US"/>
        </w:rPr>
        <w:t xml:space="preserve">G.729b Payload Type: 18 </w:t>
      </w:r>
      <w:proofErr w:type="spellStart"/>
      <w:r w:rsidRPr="008762D1">
        <w:rPr>
          <w:rFonts w:ascii="ITC Avant Garde" w:hAnsi="ITC Avant Garde" w:cs="Arial"/>
          <w:color w:val="000000" w:themeColor="text1"/>
          <w:lang w:val="en-US"/>
        </w:rPr>
        <w:t>annexb</w:t>
      </w:r>
      <w:proofErr w:type="spellEnd"/>
      <w:r w:rsidRPr="008762D1">
        <w:rPr>
          <w:rFonts w:ascii="ITC Avant Garde" w:hAnsi="ITC Avant Garde" w:cs="Arial"/>
          <w:color w:val="000000" w:themeColor="text1"/>
          <w:lang w:val="en-US"/>
        </w:rPr>
        <w:t>=yes</w:t>
      </w:r>
    </w:p>
    <w:p w14:paraId="7B193427" w14:textId="743843A3" w:rsidR="00526FE9" w:rsidRPr="008762D1" w:rsidRDefault="00526FE9" w:rsidP="006359EB">
      <w:pPr>
        <w:numPr>
          <w:ilvl w:val="0"/>
          <w:numId w:val="49"/>
        </w:numPr>
        <w:autoSpaceDE w:val="0"/>
        <w:autoSpaceDN w:val="0"/>
        <w:adjustRightInd w:val="0"/>
        <w:spacing w:after="0" w:line="276" w:lineRule="auto"/>
        <w:jc w:val="both"/>
        <w:rPr>
          <w:rFonts w:ascii="ITC Avant Garde" w:hAnsi="ITC Avant Garde" w:cs="Times New Roman"/>
          <w:color w:val="000000" w:themeColor="text1"/>
          <w:lang w:val="en-US"/>
        </w:rPr>
      </w:pPr>
      <w:r w:rsidRPr="008762D1">
        <w:rPr>
          <w:rFonts w:ascii="ITC Avant Garde" w:hAnsi="ITC Avant Garde"/>
          <w:color w:val="000000" w:themeColor="text1"/>
          <w:lang w:val="en-US"/>
        </w:rPr>
        <w:t>G.711 Ley A</w:t>
      </w:r>
      <w:r w:rsidRPr="008762D1">
        <w:rPr>
          <w:rFonts w:ascii="ITC Avant Garde" w:hAnsi="ITC Avant Garde" w:cs="Arial"/>
          <w:color w:val="000000" w:themeColor="text1"/>
          <w:lang w:val="en-US"/>
        </w:rPr>
        <w:t xml:space="preserve"> </w:t>
      </w:r>
      <w:r w:rsidR="00F031E8">
        <w:rPr>
          <w:rFonts w:ascii="ITC Avant Garde" w:hAnsi="ITC Avant Garde" w:cs="Arial"/>
          <w:color w:val="000000" w:themeColor="text1"/>
          <w:lang w:val="en-US"/>
        </w:rPr>
        <w:t xml:space="preserve"> </w:t>
      </w:r>
      <w:r w:rsidRPr="008762D1">
        <w:rPr>
          <w:rFonts w:ascii="ITC Avant Garde" w:hAnsi="ITC Avant Garde" w:cs="Arial"/>
          <w:color w:val="000000" w:themeColor="text1"/>
          <w:lang w:val="en-US"/>
        </w:rPr>
        <w:t>Payload Type: 8</w:t>
      </w:r>
    </w:p>
    <w:p w14:paraId="10F2BF12" w14:textId="5C2E9DDB" w:rsidR="00526FE9" w:rsidRPr="008762D1" w:rsidRDefault="00526FE9" w:rsidP="006359EB">
      <w:pPr>
        <w:numPr>
          <w:ilvl w:val="0"/>
          <w:numId w:val="49"/>
        </w:numPr>
        <w:autoSpaceDE w:val="0"/>
        <w:autoSpaceDN w:val="0"/>
        <w:adjustRightInd w:val="0"/>
        <w:spacing w:after="0" w:line="276" w:lineRule="auto"/>
        <w:jc w:val="both"/>
        <w:rPr>
          <w:rFonts w:ascii="ITC Avant Garde" w:hAnsi="ITC Avant Garde" w:cs="Arial"/>
          <w:color w:val="000000" w:themeColor="text1"/>
          <w:lang w:val="es-ES"/>
        </w:rPr>
      </w:pPr>
      <w:r w:rsidRPr="008762D1">
        <w:rPr>
          <w:rFonts w:ascii="ITC Avant Garde" w:hAnsi="ITC Avant Garde" w:cs="Arial"/>
          <w:color w:val="000000" w:themeColor="text1"/>
        </w:rPr>
        <w:t xml:space="preserve">AMR-NB </w:t>
      </w:r>
      <w:proofErr w:type="spellStart"/>
      <w:r w:rsidRPr="008762D1">
        <w:rPr>
          <w:rFonts w:ascii="ITC Avant Garde" w:hAnsi="ITC Avant Garde" w:cs="Arial"/>
          <w:color w:val="000000" w:themeColor="text1"/>
        </w:rPr>
        <w:t>Payload</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Type</w:t>
      </w:r>
      <w:proofErr w:type="spellEnd"/>
      <w:r w:rsidRPr="008762D1">
        <w:rPr>
          <w:rFonts w:ascii="ITC Avant Garde" w:hAnsi="ITC Avant Garde" w:cs="Arial"/>
          <w:color w:val="000000" w:themeColor="text1"/>
        </w:rPr>
        <w:t>: 96-127</w:t>
      </w:r>
    </w:p>
    <w:p w14:paraId="4B98D59A" w14:textId="3E68F93E" w:rsidR="00526FE9" w:rsidRPr="008762D1" w:rsidRDefault="00F031E8" w:rsidP="006359EB">
      <w:pPr>
        <w:numPr>
          <w:ilvl w:val="0"/>
          <w:numId w:val="49"/>
        </w:numPr>
        <w:autoSpaceDE w:val="0"/>
        <w:autoSpaceDN w:val="0"/>
        <w:adjustRightInd w:val="0"/>
        <w:spacing w:after="0" w:line="276" w:lineRule="auto"/>
        <w:jc w:val="both"/>
        <w:rPr>
          <w:rFonts w:ascii="ITC Avant Garde" w:hAnsi="ITC Avant Garde" w:cs="Arial"/>
          <w:color w:val="000000" w:themeColor="text1"/>
        </w:rPr>
      </w:pPr>
      <w:r>
        <w:rPr>
          <w:rFonts w:ascii="ITC Avant Garde" w:hAnsi="ITC Avant Garde" w:cs="Arial"/>
          <w:color w:val="000000" w:themeColor="text1"/>
        </w:rPr>
        <w:t xml:space="preserve">AMR-WB </w:t>
      </w:r>
      <w:proofErr w:type="spellStart"/>
      <w:r w:rsidR="00526FE9" w:rsidRPr="008762D1">
        <w:rPr>
          <w:rFonts w:ascii="ITC Avant Garde" w:hAnsi="ITC Avant Garde" w:cs="Arial"/>
          <w:color w:val="000000" w:themeColor="text1"/>
        </w:rPr>
        <w:t>Payload</w:t>
      </w:r>
      <w:proofErr w:type="spellEnd"/>
      <w:r w:rsidR="00526FE9" w:rsidRPr="008762D1">
        <w:rPr>
          <w:rFonts w:ascii="ITC Avant Garde" w:hAnsi="ITC Avant Garde" w:cs="Arial"/>
          <w:color w:val="000000" w:themeColor="text1"/>
        </w:rPr>
        <w:t xml:space="preserve"> Type:98</w:t>
      </w:r>
    </w:p>
    <w:p w14:paraId="41475A66" w14:textId="77777777" w:rsidR="00526FE9" w:rsidRPr="008762D1" w:rsidRDefault="00526FE9" w:rsidP="006359EB">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 xml:space="preserve">Las direcciones utilizarán </w:t>
      </w:r>
      <w:proofErr w:type="spellStart"/>
      <w:r w:rsidRPr="008762D1">
        <w:rPr>
          <w:rFonts w:ascii="ITC Avant Garde" w:hAnsi="ITC Avant Garde" w:cs="Arial"/>
          <w:color w:val="000000" w:themeColor="text1"/>
        </w:rPr>
        <w:t>tel</w:t>
      </w:r>
      <w:proofErr w:type="spellEnd"/>
      <w:r w:rsidRPr="008762D1">
        <w:rPr>
          <w:rFonts w:ascii="ITC Avant Garde" w:hAnsi="ITC Avant Garde" w:cs="Arial"/>
          <w:color w:val="000000" w:themeColor="text1"/>
        </w:rPr>
        <w:t xml:space="preserve"> URL (RFC 3966).</w:t>
      </w:r>
    </w:p>
    <w:p w14:paraId="6963D2A5" w14:textId="77777777" w:rsidR="00526FE9" w:rsidRPr="008762D1" w:rsidRDefault="00526FE9" w:rsidP="006359EB">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Se utilizará un tamaño de 20ms para el muestreo y encapsulamiento de la voz.</w:t>
      </w:r>
    </w:p>
    <w:p w14:paraId="3594EABE" w14:textId="77777777" w:rsidR="00526FE9" w:rsidRPr="008762D1" w:rsidRDefault="00526FE9" w:rsidP="006359EB">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Se utilizara un tamaño de hasta 1500 bytes sin fragmentar para los paquetes de señalización.</w:t>
      </w:r>
    </w:p>
    <w:p w14:paraId="576500E1" w14:textId="77777777" w:rsidR="000F0B9F" w:rsidRPr="008762D1" w:rsidRDefault="00526FE9" w:rsidP="006359EB">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Se trasportará SIP a través de paquetes UDP.</w:t>
      </w:r>
    </w:p>
    <w:p w14:paraId="3B895E40" w14:textId="69074813" w:rsidR="000F0B9F"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En el modelo de oferta/contestación la red origen propondrá la preferencia en el uso de los </w:t>
      </w:r>
      <w:proofErr w:type="spellStart"/>
      <w:r w:rsidRPr="008762D1">
        <w:rPr>
          <w:rFonts w:ascii="ITC Avant Garde" w:hAnsi="ITC Avant Garde" w:cs="Arial"/>
          <w:color w:val="000000" w:themeColor="text1"/>
        </w:rPr>
        <w:t>códecs</w:t>
      </w:r>
      <w:proofErr w:type="spellEnd"/>
      <w:r w:rsidRPr="008762D1">
        <w:rPr>
          <w:rFonts w:ascii="ITC Avant Garde" w:hAnsi="ITC Avant Garde" w:cs="Arial"/>
          <w:color w:val="000000" w:themeColor="text1"/>
        </w:rPr>
        <w:t xml:space="preserve"> y la red destino determinará el códec a utilizar.</w:t>
      </w:r>
    </w:p>
    <w:p w14:paraId="0EA088AC" w14:textId="77777777" w:rsidR="000F0B9F"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Si la red origen y destino utilizan señalización IP, la red de tránsito no realizará ningún proceso de </w:t>
      </w:r>
      <w:proofErr w:type="spellStart"/>
      <w:r w:rsidRPr="008762D1">
        <w:rPr>
          <w:rFonts w:ascii="ITC Avant Garde" w:hAnsi="ITC Avant Garde" w:cs="Arial"/>
          <w:color w:val="000000" w:themeColor="text1"/>
        </w:rPr>
        <w:t>transcodificación</w:t>
      </w:r>
      <w:proofErr w:type="spellEnd"/>
      <w:r w:rsidRPr="008762D1">
        <w:rPr>
          <w:rFonts w:ascii="ITC Avant Garde" w:hAnsi="ITC Avant Garde" w:cs="Arial"/>
          <w:color w:val="000000" w:themeColor="text1"/>
        </w:rPr>
        <w:t xml:space="preserve"> permitiendo fluir los paquetes de voz, tal como las redes de origen y destino lo hayan negociado.</w:t>
      </w:r>
    </w:p>
    <w:p w14:paraId="5C9E8D94" w14:textId="25B13537"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Si la red origen y la red de destino están interconectadas a la red de tránsito mediante tecnologías diferentes, Telmex en su calidad de red de tránsito deberá realizar la conversión entre protocolos de señalización SS7 y SIP, a fin de permitir la int</w:t>
      </w:r>
      <w:r w:rsidR="00F031E8">
        <w:rPr>
          <w:rFonts w:ascii="ITC Avant Garde" w:hAnsi="ITC Avant Garde" w:cs="Arial"/>
          <w:color w:val="000000" w:themeColor="text1"/>
        </w:rPr>
        <w:t>eroperabilidad entre las redes.</w:t>
      </w:r>
    </w:p>
    <w:p w14:paraId="15451C67" w14:textId="77777777" w:rsidR="000F0B9F"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La utilización del Anexo B para el </w:t>
      </w:r>
      <w:proofErr w:type="spellStart"/>
      <w:r w:rsidRPr="008762D1">
        <w:rPr>
          <w:rFonts w:ascii="ITC Avant Garde" w:hAnsi="ITC Avant Garde" w:cs="Arial"/>
          <w:color w:val="000000" w:themeColor="text1"/>
        </w:rPr>
        <w:t>Codec</w:t>
      </w:r>
      <w:proofErr w:type="spellEnd"/>
      <w:r w:rsidRPr="008762D1">
        <w:rPr>
          <w:rFonts w:ascii="ITC Avant Garde" w:hAnsi="ITC Avant Garde" w:cs="Arial"/>
          <w:color w:val="000000" w:themeColor="text1"/>
        </w:rPr>
        <w:t xml:space="preserve"> G729 se guiará  bajo la siguiente tabla:</w:t>
      </w:r>
    </w:p>
    <w:tbl>
      <w:tblPr>
        <w:tblStyle w:val="Cuadrculadetablaclara"/>
        <w:tblW w:w="5949" w:type="dxa"/>
        <w:jc w:val="center"/>
        <w:tblLook w:val="04A0" w:firstRow="1" w:lastRow="0" w:firstColumn="1" w:lastColumn="0" w:noHBand="0" w:noVBand="1"/>
        <w:tblCaption w:val="Tabla"/>
        <w:tblDescription w:val="Anexo B para el Codec G729 "/>
      </w:tblPr>
      <w:tblGrid>
        <w:gridCol w:w="1940"/>
        <w:gridCol w:w="1520"/>
        <w:gridCol w:w="2489"/>
      </w:tblGrid>
      <w:tr w:rsidR="008762D1" w:rsidRPr="008762D1" w14:paraId="6BCD1AAE" w14:textId="77777777" w:rsidTr="00036A6A">
        <w:trPr>
          <w:trHeight w:val="300"/>
          <w:tblHeader/>
          <w:jc w:val="center"/>
        </w:trPr>
        <w:tc>
          <w:tcPr>
            <w:tcW w:w="1940" w:type="dxa"/>
            <w:noWrap/>
            <w:hideMark/>
          </w:tcPr>
          <w:p w14:paraId="7189D7EB"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Oferta</w:t>
            </w:r>
          </w:p>
        </w:tc>
        <w:tc>
          <w:tcPr>
            <w:tcW w:w="1520" w:type="dxa"/>
            <w:noWrap/>
            <w:hideMark/>
          </w:tcPr>
          <w:p w14:paraId="502D3E58"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Respuesta</w:t>
            </w:r>
          </w:p>
        </w:tc>
        <w:tc>
          <w:tcPr>
            <w:tcW w:w="2489" w:type="dxa"/>
            <w:noWrap/>
            <w:hideMark/>
          </w:tcPr>
          <w:p w14:paraId="72BD8610"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Utilizar</w:t>
            </w:r>
          </w:p>
        </w:tc>
      </w:tr>
      <w:tr w:rsidR="008762D1" w:rsidRPr="008762D1" w14:paraId="44808BB2" w14:textId="77777777" w:rsidTr="00036A6A">
        <w:trPr>
          <w:trHeight w:val="300"/>
          <w:jc w:val="center"/>
        </w:trPr>
        <w:tc>
          <w:tcPr>
            <w:tcW w:w="1940" w:type="dxa"/>
            <w:noWrap/>
            <w:hideMark/>
          </w:tcPr>
          <w:p w14:paraId="3685839E"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B=yes</w:t>
            </w:r>
          </w:p>
        </w:tc>
        <w:tc>
          <w:tcPr>
            <w:tcW w:w="1520" w:type="dxa"/>
            <w:noWrap/>
            <w:hideMark/>
          </w:tcPr>
          <w:p w14:paraId="3B17085C"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B=yes</w:t>
            </w:r>
          </w:p>
        </w:tc>
        <w:tc>
          <w:tcPr>
            <w:tcW w:w="2489" w:type="dxa"/>
            <w:noWrap/>
            <w:hideMark/>
          </w:tcPr>
          <w:p w14:paraId="7DA88197"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B=yes</w:t>
            </w:r>
          </w:p>
        </w:tc>
      </w:tr>
      <w:tr w:rsidR="008762D1" w:rsidRPr="008762D1" w14:paraId="2AF8AF4E" w14:textId="77777777" w:rsidTr="00036A6A">
        <w:trPr>
          <w:trHeight w:val="300"/>
          <w:jc w:val="center"/>
        </w:trPr>
        <w:tc>
          <w:tcPr>
            <w:tcW w:w="1940" w:type="dxa"/>
            <w:noWrap/>
            <w:hideMark/>
          </w:tcPr>
          <w:p w14:paraId="127BFFA9"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B=yes</w:t>
            </w:r>
          </w:p>
        </w:tc>
        <w:tc>
          <w:tcPr>
            <w:tcW w:w="1520" w:type="dxa"/>
            <w:noWrap/>
            <w:hideMark/>
          </w:tcPr>
          <w:p w14:paraId="3A0BC1A0"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B=no</w:t>
            </w:r>
          </w:p>
        </w:tc>
        <w:tc>
          <w:tcPr>
            <w:tcW w:w="2489" w:type="dxa"/>
            <w:noWrap/>
            <w:hideMark/>
          </w:tcPr>
          <w:p w14:paraId="700FD8AF"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B=no</w:t>
            </w:r>
          </w:p>
        </w:tc>
      </w:tr>
      <w:tr w:rsidR="008762D1" w:rsidRPr="008762D1" w14:paraId="35216078" w14:textId="77777777" w:rsidTr="00036A6A">
        <w:trPr>
          <w:trHeight w:val="300"/>
          <w:jc w:val="center"/>
        </w:trPr>
        <w:tc>
          <w:tcPr>
            <w:tcW w:w="1940" w:type="dxa"/>
            <w:noWrap/>
            <w:hideMark/>
          </w:tcPr>
          <w:p w14:paraId="216A1562"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B=no</w:t>
            </w:r>
          </w:p>
        </w:tc>
        <w:tc>
          <w:tcPr>
            <w:tcW w:w="1520" w:type="dxa"/>
            <w:noWrap/>
            <w:hideMark/>
          </w:tcPr>
          <w:p w14:paraId="7DC32677"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B=yes</w:t>
            </w:r>
          </w:p>
        </w:tc>
        <w:tc>
          <w:tcPr>
            <w:tcW w:w="2489" w:type="dxa"/>
            <w:noWrap/>
            <w:hideMark/>
          </w:tcPr>
          <w:p w14:paraId="42A7A994"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B=no</w:t>
            </w:r>
          </w:p>
        </w:tc>
      </w:tr>
      <w:tr w:rsidR="00526FE9" w:rsidRPr="008762D1" w14:paraId="2A680C77" w14:textId="77777777" w:rsidTr="00036A6A">
        <w:trPr>
          <w:trHeight w:val="300"/>
          <w:jc w:val="center"/>
        </w:trPr>
        <w:tc>
          <w:tcPr>
            <w:tcW w:w="1940" w:type="dxa"/>
            <w:noWrap/>
            <w:hideMark/>
          </w:tcPr>
          <w:p w14:paraId="5C7E9CEE"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B=no</w:t>
            </w:r>
          </w:p>
        </w:tc>
        <w:tc>
          <w:tcPr>
            <w:tcW w:w="1520" w:type="dxa"/>
            <w:noWrap/>
            <w:hideMark/>
          </w:tcPr>
          <w:p w14:paraId="00573F4A"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B=no</w:t>
            </w:r>
          </w:p>
        </w:tc>
        <w:tc>
          <w:tcPr>
            <w:tcW w:w="2489" w:type="dxa"/>
            <w:noWrap/>
            <w:hideMark/>
          </w:tcPr>
          <w:p w14:paraId="2E23B1C8" w14:textId="77777777" w:rsidR="00526FE9" w:rsidRPr="008762D1" w:rsidRDefault="00526FE9" w:rsidP="006359EB">
            <w:pPr>
              <w:autoSpaceDE w:val="0"/>
              <w:autoSpaceDN w:val="0"/>
              <w:adjustRightInd w:val="0"/>
              <w:jc w:val="both"/>
              <w:rPr>
                <w:rFonts w:ascii="ITC Avant Garde" w:hAnsi="ITC Avant Garde" w:cs="Arial"/>
                <w:color w:val="000000" w:themeColor="text1"/>
              </w:rPr>
            </w:pPr>
            <w:r w:rsidRPr="008762D1">
              <w:rPr>
                <w:rFonts w:ascii="ITC Avant Garde" w:hAnsi="ITC Avant Garde" w:cs="Arial"/>
                <w:color w:val="000000" w:themeColor="text1"/>
              </w:rPr>
              <w:t>Anexo B=no</w:t>
            </w:r>
          </w:p>
        </w:tc>
      </w:tr>
    </w:tbl>
    <w:p w14:paraId="52FB916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Si no está presente Anexo B se considera que es soportado y la llamada se establecerá con el anexo B activado. </w:t>
      </w:r>
    </w:p>
    <w:p w14:paraId="572A2A0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 transmisión de FAX debe ser en la modalidad de MODEM/FAX donde se indica que una vez establecida una llamada de voz es prioritario establecer primero la </w:t>
      </w:r>
      <w:r w:rsidRPr="008762D1">
        <w:rPr>
          <w:rFonts w:ascii="ITC Avant Garde" w:hAnsi="ITC Avant Garde" w:cs="Arial"/>
          <w:color w:val="000000" w:themeColor="text1"/>
        </w:rPr>
        <w:lastRenderedPageBreak/>
        <w:t xml:space="preserve">sesión de </w:t>
      </w:r>
      <w:proofErr w:type="spellStart"/>
      <w:r w:rsidRPr="008762D1">
        <w:rPr>
          <w:rFonts w:ascii="ITC Avant Garde" w:hAnsi="ITC Avant Garde" w:cs="Arial"/>
          <w:color w:val="000000" w:themeColor="text1"/>
        </w:rPr>
        <w:t>MoIP</w:t>
      </w:r>
      <w:proofErr w:type="spellEnd"/>
      <w:r w:rsidRPr="008762D1">
        <w:rPr>
          <w:rFonts w:ascii="ITC Avant Garde" w:hAnsi="ITC Avant Garde" w:cs="Arial"/>
          <w:color w:val="000000" w:themeColor="text1"/>
        </w:rPr>
        <w:t xml:space="preserve"> conforme al ANEXO F de la recomendación T.38 de UIT-T y posteriormente conmutar al protocolo T.38.</w:t>
      </w:r>
    </w:p>
    <w:p w14:paraId="0C9091D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En caso de que ambas redes, origen y destino soporten T.38, se utilizará dicho </w:t>
      </w:r>
      <w:proofErr w:type="spellStart"/>
      <w:r w:rsidRPr="008762D1">
        <w:rPr>
          <w:rFonts w:ascii="ITC Avant Garde" w:hAnsi="ITC Avant Garde" w:cs="Arial"/>
          <w:color w:val="000000" w:themeColor="text1"/>
        </w:rPr>
        <w:t>Codec</w:t>
      </w:r>
      <w:proofErr w:type="spellEnd"/>
      <w:r w:rsidRPr="008762D1">
        <w:rPr>
          <w:rFonts w:ascii="ITC Avant Garde" w:hAnsi="ITC Avant Garde" w:cs="Arial"/>
          <w:color w:val="000000" w:themeColor="text1"/>
        </w:rPr>
        <w:t xml:space="preserve"> para gestionar la sesión de Fax/modem, pero en caso contrario, la red origen indicará un cambio de CODEC a G.711A  y deshabilitará la  cancelación de Eco y Detección de actividad de voz (VAD).</w:t>
      </w:r>
    </w:p>
    <w:p w14:paraId="5B78268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Las direcciones utilizarán  el formato “SIP URI”, de acuerdo con el RFC 2396 - </w:t>
      </w:r>
      <w:proofErr w:type="spellStart"/>
      <w:r w:rsidRPr="008762D1">
        <w:rPr>
          <w:rFonts w:ascii="ITC Avant Garde" w:hAnsi="ITC Avant Garde" w:cs="Arial"/>
          <w:color w:val="000000" w:themeColor="text1"/>
        </w:rPr>
        <w:t>Uniform</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Resource</w:t>
      </w:r>
      <w:proofErr w:type="spellEnd"/>
      <w:r w:rsidRPr="008762D1">
        <w:rPr>
          <w:rFonts w:ascii="ITC Avant Garde" w:hAnsi="ITC Avant Garde" w:cs="Arial"/>
          <w:color w:val="000000" w:themeColor="text1"/>
        </w:rPr>
        <w:t xml:space="preserve"> </w:t>
      </w:r>
      <w:proofErr w:type="spellStart"/>
      <w:r w:rsidRPr="008762D1">
        <w:rPr>
          <w:rFonts w:ascii="ITC Avant Garde" w:hAnsi="ITC Avant Garde" w:cs="Arial"/>
          <w:color w:val="000000" w:themeColor="text1"/>
        </w:rPr>
        <w:t>Identifiers</w:t>
      </w:r>
      <w:proofErr w:type="spellEnd"/>
      <w:r w:rsidRPr="008762D1">
        <w:rPr>
          <w:rFonts w:ascii="ITC Avant Garde" w:hAnsi="ITC Avant Garde" w:cs="Arial"/>
          <w:color w:val="000000" w:themeColor="text1"/>
        </w:rPr>
        <w:t xml:space="preserve"> (URI), e incluyeran el parámetro “</w:t>
      </w:r>
      <w:proofErr w:type="spellStart"/>
      <w:r w:rsidRPr="008762D1">
        <w:rPr>
          <w:rFonts w:ascii="ITC Avant Garde" w:hAnsi="ITC Avant Garde" w:cs="Arial"/>
          <w:color w:val="000000" w:themeColor="text1"/>
        </w:rPr>
        <w:t>user</w:t>
      </w:r>
      <w:proofErr w:type="spellEnd"/>
      <w:r w:rsidRPr="008762D1">
        <w:rPr>
          <w:rFonts w:ascii="ITC Avant Garde" w:hAnsi="ITC Avant Garde" w:cs="Arial"/>
          <w:color w:val="000000" w:themeColor="text1"/>
        </w:rPr>
        <w:t>=</w:t>
      </w:r>
      <w:proofErr w:type="spellStart"/>
      <w:r w:rsidRPr="008762D1">
        <w:rPr>
          <w:rFonts w:ascii="ITC Avant Garde" w:hAnsi="ITC Avant Garde" w:cs="Arial"/>
          <w:color w:val="000000" w:themeColor="text1"/>
        </w:rPr>
        <w:t>phone</w:t>
      </w:r>
      <w:proofErr w:type="spellEnd"/>
      <w:r w:rsidRPr="008762D1">
        <w:rPr>
          <w:rFonts w:ascii="ITC Avant Garde" w:hAnsi="ITC Avant Garde" w:cs="Arial"/>
          <w:color w:val="000000" w:themeColor="text1"/>
        </w:rPr>
        <w:t>” y RFC 3261</w:t>
      </w:r>
    </w:p>
    <w:p w14:paraId="2BA063D2" w14:textId="09B16BD9"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color w:val="000000" w:themeColor="text1"/>
        </w:rPr>
        <w:t>sip:nnnnn@host:5060;user=</w:t>
      </w:r>
      <w:proofErr w:type="spellStart"/>
      <w:r w:rsidRPr="008762D1">
        <w:rPr>
          <w:color w:val="000000" w:themeColor="text1"/>
        </w:rPr>
        <w:t>phone</w:t>
      </w:r>
      <w:proofErr w:type="spellEnd"/>
    </w:p>
    <w:p w14:paraId="1032042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El parámetro “</w:t>
      </w:r>
      <w:proofErr w:type="spellStart"/>
      <w:r w:rsidRPr="008762D1">
        <w:rPr>
          <w:rFonts w:ascii="ITC Avant Garde" w:hAnsi="ITC Avant Garde" w:cs="Arial"/>
          <w:color w:val="000000" w:themeColor="text1"/>
        </w:rPr>
        <w:t>user</w:t>
      </w:r>
      <w:proofErr w:type="spellEnd"/>
      <w:r w:rsidRPr="008762D1">
        <w:rPr>
          <w:rFonts w:ascii="ITC Avant Garde" w:hAnsi="ITC Avant Garde" w:cs="Arial"/>
          <w:color w:val="000000" w:themeColor="text1"/>
        </w:rPr>
        <w:t>=</w:t>
      </w:r>
      <w:proofErr w:type="spellStart"/>
      <w:r w:rsidRPr="008762D1">
        <w:rPr>
          <w:rFonts w:ascii="ITC Avant Garde" w:hAnsi="ITC Avant Garde" w:cs="Arial"/>
          <w:color w:val="000000" w:themeColor="text1"/>
        </w:rPr>
        <w:t>phone</w:t>
      </w:r>
      <w:proofErr w:type="spellEnd"/>
      <w:r w:rsidRPr="008762D1">
        <w:rPr>
          <w:rFonts w:ascii="ITC Avant Garde" w:hAnsi="ITC Avant Garde" w:cs="Arial"/>
          <w:color w:val="000000" w:themeColor="text1"/>
        </w:rPr>
        <w:t>" indica que la porción “</w:t>
      </w:r>
      <w:proofErr w:type="spellStart"/>
      <w:r w:rsidRPr="008762D1">
        <w:rPr>
          <w:rFonts w:ascii="ITC Avant Garde" w:hAnsi="ITC Avant Garde" w:cs="Arial"/>
          <w:color w:val="000000" w:themeColor="text1"/>
        </w:rPr>
        <w:t>user</w:t>
      </w:r>
      <w:proofErr w:type="spellEnd"/>
      <w:r w:rsidRPr="008762D1">
        <w:rPr>
          <w:rFonts w:ascii="ITC Avant Garde" w:hAnsi="ITC Avant Garde" w:cs="Arial"/>
          <w:color w:val="000000" w:themeColor="text1"/>
        </w:rPr>
        <w:t xml:space="preserve"> del URI” (parte izquierda del signo @) corresponde a un número telefónico.</w:t>
      </w:r>
    </w:p>
    <w:p w14:paraId="3FD85F77" w14:textId="432226A9"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Se utilizarán los siguientes mensajes de la norma RFC 3261: (M: Obligatorio, O. Opcional)</w:t>
      </w:r>
    </w:p>
    <w:tbl>
      <w:tblPr>
        <w:tblStyle w:val="Cuadrculadetablaclara"/>
        <w:tblW w:w="7366" w:type="dxa"/>
        <w:jc w:val="center"/>
        <w:tblLook w:val="04A0" w:firstRow="1" w:lastRow="0" w:firstColumn="1" w:lastColumn="0" w:noHBand="0" w:noVBand="1"/>
        <w:tblCaption w:val="Tabla"/>
        <w:tblDescription w:val="mensajes de la norma RFC 3261"/>
      </w:tblPr>
      <w:tblGrid>
        <w:gridCol w:w="634"/>
        <w:gridCol w:w="1430"/>
        <w:gridCol w:w="952"/>
        <w:gridCol w:w="1394"/>
        <w:gridCol w:w="2956"/>
      </w:tblGrid>
      <w:tr w:rsidR="008762D1" w:rsidRPr="00F031E8" w14:paraId="55596DEC" w14:textId="77777777" w:rsidTr="00F031E8">
        <w:trPr>
          <w:trHeight w:val="283"/>
          <w:tblHeader/>
          <w:jc w:val="center"/>
        </w:trPr>
        <w:tc>
          <w:tcPr>
            <w:tcW w:w="633" w:type="dxa"/>
            <w:shd w:val="clear" w:color="auto" w:fill="D9D9D9" w:themeFill="background1" w:themeFillShade="D9"/>
            <w:hideMark/>
          </w:tcPr>
          <w:p w14:paraId="42713701" w14:textId="77777777" w:rsidR="00526FE9" w:rsidRPr="00F031E8" w:rsidRDefault="00526FE9" w:rsidP="006359EB">
            <w:pPr>
              <w:pStyle w:val="TAH"/>
              <w:spacing w:line="276" w:lineRule="auto"/>
              <w:ind w:right="49"/>
              <w:rPr>
                <w:rFonts w:ascii="ITC Avant Garde" w:hAnsi="ITC Avant Garde"/>
                <w:color w:val="000000" w:themeColor="text1"/>
                <w:sz w:val="22"/>
              </w:rPr>
            </w:pPr>
            <w:r w:rsidRPr="00F031E8">
              <w:rPr>
                <w:rFonts w:ascii="ITC Avant Garde" w:hAnsi="ITC Avant Garde" w:cs="Arial"/>
                <w:color w:val="000000" w:themeColor="text1"/>
                <w:sz w:val="22"/>
              </w:rPr>
              <w:t>No.</w:t>
            </w:r>
          </w:p>
        </w:tc>
        <w:tc>
          <w:tcPr>
            <w:tcW w:w="1430" w:type="dxa"/>
            <w:shd w:val="clear" w:color="auto" w:fill="D9D9D9" w:themeFill="background1" w:themeFillShade="D9"/>
            <w:hideMark/>
          </w:tcPr>
          <w:p w14:paraId="0C580698" w14:textId="77777777" w:rsidR="00526FE9" w:rsidRPr="00F031E8" w:rsidRDefault="00526FE9" w:rsidP="006359EB">
            <w:pPr>
              <w:pStyle w:val="TAH"/>
              <w:spacing w:line="276" w:lineRule="auto"/>
              <w:ind w:right="49"/>
              <w:rPr>
                <w:rFonts w:ascii="ITC Avant Garde" w:hAnsi="ITC Avant Garde"/>
                <w:color w:val="000000" w:themeColor="text1"/>
                <w:sz w:val="22"/>
              </w:rPr>
            </w:pPr>
            <w:proofErr w:type="spellStart"/>
            <w:r w:rsidRPr="00F031E8">
              <w:rPr>
                <w:rFonts w:ascii="ITC Avant Garde" w:hAnsi="ITC Avant Garde" w:cs="Arial"/>
                <w:color w:val="000000" w:themeColor="text1"/>
                <w:sz w:val="22"/>
              </w:rPr>
              <w:t>Mensaje</w:t>
            </w:r>
            <w:proofErr w:type="spellEnd"/>
            <w:r w:rsidRPr="00F031E8">
              <w:rPr>
                <w:rFonts w:ascii="ITC Avant Garde" w:hAnsi="ITC Avant Garde" w:cs="Arial"/>
                <w:color w:val="000000" w:themeColor="text1"/>
                <w:sz w:val="22"/>
              </w:rPr>
              <w:t xml:space="preserve"> SIP</w:t>
            </w:r>
          </w:p>
        </w:tc>
        <w:tc>
          <w:tcPr>
            <w:tcW w:w="952" w:type="dxa"/>
            <w:shd w:val="clear" w:color="auto" w:fill="D9D9D9" w:themeFill="background1" w:themeFillShade="D9"/>
          </w:tcPr>
          <w:p w14:paraId="2801B7E8" w14:textId="77777777" w:rsidR="00526FE9" w:rsidRPr="00F031E8" w:rsidRDefault="00526FE9" w:rsidP="006359EB">
            <w:pPr>
              <w:pStyle w:val="TAH"/>
              <w:spacing w:line="276" w:lineRule="auto"/>
              <w:ind w:right="49"/>
              <w:rPr>
                <w:rFonts w:ascii="ITC Avant Garde" w:hAnsi="ITC Avant Garde" w:cs="Arial"/>
                <w:color w:val="000000" w:themeColor="text1"/>
                <w:sz w:val="22"/>
              </w:rPr>
            </w:pPr>
            <w:proofErr w:type="spellStart"/>
            <w:r w:rsidRPr="00F031E8">
              <w:rPr>
                <w:rFonts w:ascii="ITC Avant Garde" w:hAnsi="ITC Avant Garde" w:cs="Arial"/>
                <w:color w:val="000000" w:themeColor="text1"/>
                <w:sz w:val="22"/>
              </w:rPr>
              <w:t>Envío</w:t>
            </w:r>
            <w:proofErr w:type="spellEnd"/>
          </w:p>
          <w:p w14:paraId="64F90C15" w14:textId="77777777" w:rsidR="00526FE9" w:rsidRPr="00F031E8" w:rsidRDefault="00526FE9" w:rsidP="006359EB">
            <w:pPr>
              <w:pStyle w:val="TAH"/>
              <w:spacing w:line="276" w:lineRule="auto"/>
              <w:ind w:right="49"/>
              <w:rPr>
                <w:rFonts w:ascii="ITC Avant Garde" w:hAnsi="ITC Avant Garde"/>
                <w:color w:val="000000" w:themeColor="text1"/>
                <w:sz w:val="22"/>
              </w:rPr>
            </w:pPr>
          </w:p>
        </w:tc>
        <w:tc>
          <w:tcPr>
            <w:tcW w:w="1393" w:type="dxa"/>
            <w:shd w:val="clear" w:color="auto" w:fill="D9D9D9" w:themeFill="background1" w:themeFillShade="D9"/>
            <w:hideMark/>
          </w:tcPr>
          <w:p w14:paraId="41516270" w14:textId="77777777" w:rsidR="00526FE9" w:rsidRPr="00F031E8" w:rsidRDefault="00526FE9" w:rsidP="006359EB">
            <w:pPr>
              <w:autoSpaceDE w:val="0"/>
              <w:autoSpaceDN w:val="0"/>
              <w:adjustRightInd w:val="0"/>
              <w:spacing w:after="20" w:line="276" w:lineRule="auto"/>
              <w:jc w:val="both"/>
              <w:rPr>
                <w:rFonts w:ascii="ITC Avant Garde" w:hAnsi="ITC Avant Garde" w:cs="Arial"/>
                <w:b/>
                <w:color w:val="000000" w:themeColor="text1"/>
              </w:rPr>
            </w:pPr>
            <w:proofErr w:type="spellStart"/>
            <w:r w:rsidRPr="00F031E8">
              <w:rPr>
                <w:rFonts w:ascii="ITC Avant Garde" w:eastAsia="Batang" w:hAnsi="ITC Avant Garde" w:cs="Arial"/>
                <w:b/>
                <w:color w:val="000000" w:themeColor="text1"/>
                <w:szCs w:val="20"/>
                <w:lang w:val="en-GB"/>
              </w:rPr>
              <w:t>Recepción</w:t>
            </w:r>
            <w:proofErr w:type="spellEnd"/>
          </w:p>
        </w:tc>
        <w:tc>
          <w:tcPr>
            <w:tcW w:w="2958" w:type="dxa"/>
            <w:shd w:val="clear" w:color="auto" w:fill="D9D9D9" w:themeFill="background1" w:themeFillShade="D9"/>
            <w:hideMark/>
          </w:tcPr>
          <w:p w14:paraId="6A3A303C" w14:textId="77777777" w:rsidR="00526FE9" w:rsidRPr="00F031E8" w:rsidRDefault="00526FE9" w:rsidP="006359EB">
            <w:pPr>
              <w:pStyle w:val="TAH"/>
              <w:spacing w:line="276" w:lineRule="auto"/>
              <w:ind w:right="49"/>
              <w:rPr>
                <w:rFonts w:ascii="ITC Avant Garde" w:hAnsi="ITC Avant Garde"/>
                <w:color w:val="000000" w:themeColor="text1"/>
                <w:sz w:val="22"/>
              </w:rPr>
            </w:pPr>
            <w:proofErr w:type="spellStart"/>
            <w:r w:rsidRPr="00F031E8">
              <w:rPr>
                <w:rFonts w:ascii="ITC Avant Garde" w:hAnsi="ITC Avant Garde"/>
                <w:color w:val="000000" w:themeColor="text1"/>
                <w:sz w:val="22"/>
              </w:rPr>
              <w:t>Referencia</w:t>
            </w:r>
            <w:proofErr w:type="spellEnd"/>
          </w:p>
        </w:tc>
      </w:tr>
      <w:tr w:rsidR="008762D1" w:rsidRPr="008762D1" w14:paraId="594C2268" w14:textId="77777777" w:rsidTr="00F031E8">
        <w:trPr>
          <w:trHeight w:val="283"/>
          <w:jc w:val="center"/>
        </w:trPr>
        <w:tc>
          <w:tcPr>
            <w:tcW w:w="633" w:type="dxa"/>
            <w:hideMark/>
          </w:tcPr>
          <w:p w14:paraId="62DAE7CD"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1</w:t>
            </w:r>
          </w:p>
        </w:tc>
        <w:tc>
          <w:tcPr>
            <w:tcW w:w="1430" w:type="dxa"/>
            <w:hideMark/>
          </w:tcPr>
          <w:p w14:paraId="02FB80FD"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ACK</w:t>
            </w:r>
          </w:p>
        </w:tc>
        <w:tc>
          <w:tcPr>
            <w:tcW w:w="952" w:type="dxa"/>
            <w:hideMark/>
          </w:tcPr>
          <w:p w14:paraId="05901167"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M</w:t>
            </w:r>
          </w:p>
        </w:tc>
        <w:tc>
          <w:tcPr>
            <w:tcW w:w="1393" w:type="dxa"/>
            <w:hideMark/>
          </w:tcPr>
          <w:p w14:paraId="02F84556"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M</w:t>
            </w:r>
          </w:p>
        </w:tc>
        <w:tc>
          <w:tcPr>
            <w:tcW w:w="2958" w:type="dxa"/>
            <w:hideMark/>
          </w:tcPr>
          <w:p w14:paraId="09889F18"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 xml:space="preserve">De </w:t>
            </w:r>
            <w:proofErr w:type="spellStart"/>
            <w:r w:rsidRPr="008762D1">
              <w:rPr>
                <w:rFonts w:ascii="ITC Avant Garde" w:hAnsi="ITC Avant Garde"/>
                <w:b w:val="0"/>
                <w:color w:val="000000" w:themeColor="text1"/>
                <w:sz w:val="22"/>
              </w:rPr>
              <w:t>acuerdo</w:t>
            </w:r>
            <w:proofErr w:type="spellEnd"/>
            <w:r w:rsidRPr="008762D1">
              <w:rPr>
                <w:rFonts w:ascii="ITC Avant Garde" w:hAnsi="ITC Avant Garde"/>
                <w:b w:val="0"/>
                <w:color w:val="000000" w:themeColor="text1"/>
                <w:sz w:val="22"/>
              </w:rPr>
              <w:t xml:space="preserve"> a RFC 3261</w:t>
            </w:r>
          </w:p>
        </w:tc>
      </w:tr>
      <w:tr w:rsidR="008762D1" w:rsidRPr="008762D1" w14:paraId="5BB8BD7B" w14:textId="77777777" w:rsidTr="00F031E8">
        <w:trPr>
          <w:trHeight w:val="196"/>
          <w:jc w:val="center"/>
        </w:trPr>
        <w:tc>
          <w:tcPr>
            <w:tcW w:w="633" w:type="dxa"/>
            <w:hideMark/>
          </w:tcPr>
          <w:p w14:paraId="58D0CCAC"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2</w:t>
            </w:r>
          </w:p>
        </w:tc>
        <w:tc>
          <w:tcPr>
            <w:tcW w:w="1430" w:type="dxa"/>
            <w:hideMark/>
          </w:tcPr>
          <w:p w14:paraId="5D48CD2E"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BYE</w:t>
            </w:r>
          </w:p>
        </w:tc>
        <w:tc>
          <w:tcPr>
            <w:tcW w:w="952" w:type="dxa"/>
            <w:hideMark/>
          </w:tcPr>
          <w:p w14:paraId="4CF450BA"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M</w:t>
            </w:r>
          </w:p>
        </w:tc>
        <w:tc>
          <w:tcPr>
            <w:tcW w:w="1393" w:type="dxa"/>
            <w:hideMark/>
          </w:tcPr>
          <w:p w14:paraId="53C9C271"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M</w:t>
            </w:r>
          </w:p>
        </w:tc>
        <w:tc>
          <w:tcPr>
            <w:tcW w:w="2958" w:type="dxa"/>
            <w:hideMark/>
          </w:tcPr>
          <w:p w14:paraId="7E353ED7"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 xml:space="preserve">De </w:t>
            </w:r>
            <w:proofErr w:type="spellStart"/>
            <w:r w:rsidRPr="008762D1">
              <w:rPr>
                <w:rFonts w:ascii="ITC Avant Garde" w:hAnsi="ITC Avant Garde"/>
                <w:b w:val="0"/>
                <w:color w:val="000000" w:themeColor="text1"/>
                <w:sz w:val="22"/>
              </w:rPr>
              <w:t>acuerdo</w:t>
            </w:r>
            <w:proofErr w:type="spellEnd"/>
            <w:r w:rsidRPr="008762D1">
              <w:rPr>
                <w:rFonts w:ascii="ITC Avant Garde" w:hAnsi="ITC Avant Garde"/>
                <w:b w:val="0"/>
                <w:color w:val="000000" w:themeColor="text1"/>
                <w:sz w:val="22"/>
              </w:rPr>
              <w:t xml:space="preserve"> a RFC 3261</w:t>
            </w:r>
          </w:p>
        </w:tc>
      </w:tr>
      <w:tr w:rsidR="008762D1" w:rsidRPr="008762D1" w14:paraId="44A48C43" w14:textId="77777777" w:rsidTr="00F031E8">
        <w:trPr>
          <w:trHeight w:val="283"/>
          <w:jc w:val="center"/>
        </w:trPr>
        <w:tc>
          <w:tcPr>
            <w:tcW w:w="633" w:type="dxa"/>
            <w:hideMark/>
          </w:tcPr>
          <w:p w14:paraId="594A0FCB"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3</w:t>
            </w:r>
          </w:p>
        </w:tc>
        <w:tc>
          <w:tcPr>
            <w:tcW w:w="1430" w:type="dxa"/>
            <w:hideMark/>
          </w:tcPr>
          <w:p w14:paraId="094CBF1C"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CANCEL</w:t>
            </w:r>
          </w:p>
        </w:tc>
        <w:tc>
          <w:tcPr>
            <w:tcW w:w="952" w:type="dxa"/>
            <w:hideMark/>
          </w:tcPr>
          <w:p w14:paraId="604C38E9"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M</w:t>
            </w:r>
          </w:p>
        </w:tc>
        <w:tc>
          <w:tcPr>
            <w:tcW w:w="1393" w:type="dxa"/>
            <w:hideMark/>
          </w:tcPr>
          <w:p w14:paraId="67303522"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M</w:t>
            </w:r>
          </w:p>
        </w:tc>
        <w:tc>
          <w:tcPr>
            <w:tcW w:w="2958" w:type="dxa"/>
            <w:hideMark/>
          </w:tcPr>
          <w:p w14:paraId="3F73482C"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 xml:space="preserve">De </w:t>
            </w:r>
            <w:proofErr w:type="spellStart"/>
            <w:r w:rsidRPr="008762D1">
              <w:rPr>
                <w:rFonts w:ascii="ITC Avant Garde" w:hAnsi="ITC Avant Garde"/>
                <w:b w:val="0"/>
                <w:color w:val="000000" w:themeColor="text1"/>
                <w:sz w:val="22"/>
              </w:rPr>
              <w:t>acuerdo</w:t>
            </w:r>
            <w:proofErr w:type="spellEnd"/>
            <w:r w:rsidRPr="008762D1">
              <w:rPr>
                <w:rFonts w:ascii="ITC Avant Garde" w:hAnsi="ITC Avant Garde"/>
                <w:b w:val="0"/>
                <w:color w:val="000000" w:themeColor="text1"/>
                <w:sz w:val="22"/>
              </w:rPr>
              <w:t xml:space="preserve"> a RFC 3261</w:t>
            </w:r>
          </w:p>
        </w:tc>
      </w:tr>
      <w:tr w:rsidR="008762D1" w:rsidRPr="008762D1" w14:paraId="25D4A1E5" w14:textId="77777777" w:rsidTr="00F031E8">
        <w:trPr>
          <w:trHeight w:val="283"/>
          <w:jc w:val="center"/>
        </w:trPr>
        <w:tc>
          <w:tcPr>
            <w:tcW w:w="633" w:type="dxa"/>
            <w:hideMark/>
          </w:tcPr>
          <w:p w14:paraId="77A5BCBB"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4</w:t>
            </w:r>
          </w:p>
        </w:tc>
        <w:tc>
          <w:tcPr>
            <w:tcW w:w="1430" w:type="dxa"/>
            <w:hideMark/>
          </w:tcPr>
          <w:p w14:paraId="2C463C55"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INVITE</w:t>
            </w:r>
          </w:p>
        </w:tc>
        <w:tc>
          <w:tcPr>
            <w:tcW w:w="952" w:type="dxa"/>
            <w:hideMark/>
          </w:tcPr>
          <w:p w14:paraId="1D856006"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M</w:t>
            </w:r>
          </w:p>
        </w:tc>
        <w:tc>
          <w:tcPr>
            <w:tcW w:w="1393" w:type="dxa"/>
            <w:hideMark/>
          </w:tcPr>
          <w:p w14:paraId="20C1832C"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M</w:t>
            </w:r>
          </w:p>
        </w:tc>
        <w:tc>
          <w:tcPr>
            <w:tcW w:w="2958" w:type="dxa"/>
            <w:hideMark/>
          </w:tcPr>
          <w:p w14:paraId="3AD20348"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 xml:space="preserve">De </w:t>
            </w:r>
            <w:proofErr w:type="spellStart"/>
            <w:r w:rsidRPr="008762D1">
              <w:rPr>
                <w:rFonts w:ascii="ITC Avant Garde" w:hAnsi="ITC Avant Garde"/>
                <w:b w:val="0"/>
                <w:color w:val="000000" w:themeColor="text1"/>
                <w:sz w:val="22"/>
              </w:rPr>
              <w:t>acuerdo</w:t>
            </w:r>
            <w:proofErr w:type="spellEnd"/>
            <w:r w:rsidRPr="008762D1">
              <w:rPr>
                <w:rFonts w:ascii="ITC Avant Garde" w:hAnsi="ITC Avant Garde"/>
                <w:b w:val="0"/>
                <w:color w:val="000000" w:themeColor="text1"/>
                <w:sz w:val="22"/>
              </w:rPr>
              <w:t xml:space="preserve"> a RFC 3261</w:t>
            </w:r>
          </w:p>
        </w:tc>
      </w:tr>
      <w:tr w:rsidR="008762D1" w:rsidRPr="008762D1" w14:paraId="7FDC0767" w14:textId="77777777" w:rsidTr="00F031E8">
        <w:trPr>
          <w:trHeight w:val="283"/>
          <w:jc w:val="center"/>
        </w:trPr>
        <w:tc>
          <w:tcPr>
            <w:tcW w:w="633" w:type="dxa"/>
            <w:hideMark/>
          </w:tcPr>
          <w:p w14:paraId="6953A5A1"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5</w:t>
            </w:r>
          </w:p>
        </w:tc>
        <w:tc>
          <w:tcPr>
            <w:tcW w:w="1430" w:type="dxa"/>
            <w:hideMark/>
          </w:tcPr>
          <w:p w14:paraId="490610B7"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UPDATE</w:t>
            </w:r>
          </w:p>
        </w:tc>
        <w:tc>
          <w:tcPr>
            <w:tcW w:w="952" w:type="dxa"/>
            <w:hideMark/>
          </w:tcPr>
          <w:p w14:paraId="08BC26A8"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M</w:t>
            </w:r>
          </w:p>
        </w:tc>
        <w:tc>
          <w:tcPr>
            <w:tcW w:w="1393" w:type="dxa"/>
            <w:hideMark/>
          </w:tcPr>
          <w:p w14:paraId="3523BD45"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M</w:t>
            </w:r>
          </w:p>
        </w:tc>
        <w:tc>
          <w:tcPr>
            <w:tcW w:w="2958" w:type="dxa"/>
            <w:hideMark/>
          </w:tcPr>
          <w:p w14:paraId="3720C96C"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 xml:space="preserve">De </w:t>
            </w:r>
            <w:proofErr w:type="spellStart"/>
            <w:r w:rsidRPr="008762D1">
              <w:rPr>
                <w:rFonts w:ascii="ITC Avant Garde" w:hAnsi="ITC Avant Garde"/>
                <w:b w:val="0"/>
                <w:color w:val="000000" w:themeColor="text1"/>
                <w:sz w:val="22"/>
              </w:rPr>
              <w:t>acuerdo</w:t>
            </w:r>
            <w:proofErr w:type="spellEnd"/>
            <w:r w:rsidRPr="008762D1">
              <w:rPr>
                <w:rFonts w:ascii="ITC Avant Garde" w:hAnsi="ITC Avant Garde"/>
                <w:b w:val="0"/>
                <w:color w:val="000000" w:themeColor="text1"/>
                <w:sz w:val="22"/>
              </w:rPr>
              <w:t xml:space="preserve"> a RFC 3311</w:t>
            </w:r>
          </w:p>
        </w:tc>
      </w:tr>
      <w:tr w:rsidR="008762D1" w:rsidRPr="008762D1" w14:paraId="2408E1BA" w14:textId="77777777" w:rsidTr="00F031E8">
        <w:trPr>
          <w:trHeight w:val="283"/>
          <w:jc w:val="center"/>
        </w:trPr>
        <w:tc>
          <w:tcPr>
            <w:tcW w:w="633" w:type="dxa"/>
            <w:hideMark/>
          </w:tcPr>
          <w:p w14:paraId="3714EC16"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6</w:t>
            </w:r>
          </w:p>
        </w:tc>
        <w:tc>
          <w:tcPr>
            <w:tcW w:w="1430" w:type="dxa"/>
            <w:hideMark/>
          </w:tcPr>
          <w:p w14:paraId="38B1D099"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PRACK</w:t>
            </w:r>
          </w:p>
        </w:tc>
        <w:tc>
          <w:tcPr>
            <w:tcW w:w="952" w:type="dxa"/>
            <w:hideMark/>
          </w:tcPr>
          <w:p w14:paraId="189C57CC"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M</w:t>
            </w:r>
          </w:p>
        </w:tc>
        <w:tc>
          <w:tcPr>
            <w:tcW w:w="1393" w:type="dxa"/>
            <w:hideMark/>
          </w:tcPr>
          <w:p w14:paraId="40E0FB43"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M</w:t>
            </w:r>
          </w:p>
        </w:tc>
        <w:tc>
          <w:tcPr>
            <w:tcW w:w="2958" w:type="dxa"/>
            <w:hideMark/>
          </w:tcPr>
          <w:p w14:paraId="1213FE21" w14:textId="77777777" w:rsidR="00526FE9" w:rsidRPr="008762D1" w:rsidRDefault="00526FE9" w:rsidP="006359EB">
            <w:pPr>
              <w:pStyle w:val="TAH"/>
              <w:spacing w:line="276" w:lineRule="auto"/>
              <w:ind w:right="49"/>
              <w:rPr>
                <w:rFonts w:ascii="ITC Avant Garde" w:hAnsi="ITC Avant Garde"/>
                <w:b w:val="0"/>
                <w:color w:val="000000" w:themeColor="text1"/>
                <w:sz w:val="22"/>
              </w:rPr>
            </w:pPr>
            <w:r w:rsidRPr="008762D1">
              <w:rPr>
                <w:rFonts w:ascii="ITC Avant Garde" w:hAnsi="ITC Avant Garde"/>
                <w:b w:val="0"/>
                <w:color w:val="000000" w:themeColor="text1"/>
                <w:sz w:val="22"/>
              </w:rPr>
              <w:t xml:space="preserve">De </w:t>
            </w:r>
            <w:proofErr w:type="spellStart"/>
            <w:r w:rsidRPr="008762D1">
              <w:rPr>
                <w:rFonts w:ascii="ITC Avant Garde" w:hAnsi="ITC Avant Garde"/>
                <w:b w:val="0"/>
                <w:color w:val="000000" w:themeColor="text1"/>
                <w:sz w:val="22"/>
              </w:rPr>
              <w:t>acuerdo</w:t>
            </w:r>
            <w:proofErr w:type="spellEnd"/>
            <w:r w:rsidRPr="008762D1">
              <w:rPr>
                <w:rFonts w:ascii="ITC Avant Garde" w:hAnsi="ITC Avant Garde"/>
                <w:b w:val="0"/>
                <w:color w:val="000000" w:themeColor="text1"/>
                <w:sz w:val="22"/>
              </w:rPr>
              <w:t xml:space="preserve"> a RFC 3262</w:t>
            </w:r>
          </w:p>
        </w:tc>
      </w:tr>
      <w:tr w:rsidR="008762D1" w:rsidRPr="008762D1" w14:paraId="184F02A9" w14:textId="77777777" w:rsidTr="00F031E8">
        <w:trPr>
          <w:trHeight w:val="283"/>
          <w:jc w:val="center"/>
        </w:trPr>
        <w:tc>
          <w:tcPr>
            <w:tcW w:w="633" w:type="dxa"/>
            <w:hideMark/>
          </w:tcPr>
          <w:p w14:paraId="03C856B8"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7</w:t>
            </w:r>
          </w:p>
        </w:tc>
        <w:tc>
          <w:tcPr>
            <w:tcW w:w="1430" w:type="dxa"/>
            <w:hideMark/>
          </w:tcPr>
          <w:p w14:paraId="37B38286"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OPTIONS*</w:t>
            </w:r>
          </w:p>
        </w:tc>
        <w:tc>
          <w:tcPr>
            <w:tcW w:w="952" w:type="dxa"/>
            <w:hideMark/>
          </w:tcPr>
          <w:p w14:paraId="7CA31290"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M</w:t>
            </w:r>
          </w:p>
        </w:tc>
        <w:tc>
          <w:tcPr>
            <w:tcW w:w="1393" w:type="dxa"/>
            <w:hideMark/>
          </w:tcPr>
          <w:p w14:paraId="170C0DE2" w14:textId="77777777" w:rsidR="00526FE9" w:rsidRPr="008762D1" w:rsidRDefault="00526FE9" w:rsidP="006359EB">
            <w:pPr>
              <w:pStyle w:val="TAH"/>
              <w:spacing w:line="276" w:lineRule="auto"/>
              <w:ind w:right="49"/>
              <w:rPr>
                <w:rFonts w:ascii="ITC Avant Garde" w:hAnsi="ITC Avant Garde" w:cs="Arial"/>
                <w:color w:val="000000" w:themeColor="text1"/>
                <w:sz w:val="22"/>
              </w:rPr>
            </w:pPr>
            <w:r w:rsidRPr="008762D1">
              <w:rPr>
                <w:rFonts w:ascii="ITC Avant Garde" w:hAnsi="ITC Avant Garde"/>
                <w:b w:val="0"/>
                <w:color w:val="000000" w:themeColor="text1"/>
                <w:sz w:val="22"/>
              </w:rPr>
              <w:t>M</w:t>
            </w:r>
          </w:p>
        </w:tc>
        <w:tc>
          <w:tcPr>
            <w:tcW w:w="2958" w:type="dxa"/>
            <w:hideMark/>
          </w:tcPr>
          <w:p w14:paraId="447D5C69" w14:textId="77777777" w:rsidR="00526FE9" w:rsidRPr="008762D1" w:rsidRDefault="00526FE9" w:rsidP="006359EB">
            <w:pPr>
              <w:pStyle w:val="TAH"/>
              <w:spacing w:line="276" w:lineRule="auto"/>
              <w:ind w:right="49"/>
              <w:rPr>
                <w:rFonts w:ascii="ITC Avant Garde" w:hAnsi="ITC Avant Garde"/>
                <w:color w:val="000000" w:themeColor="text1"/>
                <w:sz w:val="22"/>
              </w:rPr>
            </w:pPr>
            <w:r w:rsidRPr="008762D1">
              <w:rPr>
                <w:rFonts w:ascii="ITC Avant Garde" w:hAnsi="ITC Avant Garde"/>
                <w:b w:val="0"/>
                <w:color w:val="000000" w:themeColor="text1"/>
                <w:sz w:val="22"/>
              </w:rPr>
              <w:t xml:space="preserve">De </w:t>
            </w:r>
            <w:proofErr w:type="spellStart"/>
            <w:r w:rsidRPr="008762D1">
              <w:rPr>
                <w:rFonts w:ascii="ITC Avant Garde" w:hAnsi="ITC Avant Garde"/>
                <w:b w:val="0"/>
                <w:color w:val="000000" w:themeColor="text1"/>
                <w:sz w:val="22"/>
              </w:rPr>
              <w:t>acuerdo</w:t>
            </w:r>
            <w:proofErr w:type="spellEnd"/>
            <w:r w:rsidRPr="008762D1">
              <w:rPr>
                <w:rFonts w:ascii="ITC Avant Garde" w:hAnsi="ITC Avant Garde"/>
                <w:b w:val="0"/>
                <w:color w:val="000000" w:themeColor="text1"/>
                <w:sz w:val="22"/>
              </w:rPr>
              <w:t xml:space="preserve"> a RFC 3261</w:t>
            </w:r>
          </w:p>
        </w:tc>
      </w:tr>
    </w:tbl>
    <w:p w14:paraId="2A25D10E" w14:textId="5389A68D" w:rsidR="00526FE9" w:rsidRPr="008762D1" w:rsidRDefault="00526FE9" w:rsidP="00F031E8">
      <w:pPr>
        <w:autoSpaceDE w:val="0"/>
        <w:autoSpaceDN w:val="0"/>
        <w:adjustRightInd w:val="0"/>
        <w:spacing w:before="240" w:line="276" w:lineRule="auto"/>
        <w:ind w:left="709"/>
        <w:jc w:val="both"/>
        <w:rPr>
          <w:rFonts w:ascii="ITC Avant Garde" w:hAnsi="ITC Avant Garde" w:cs="Arial"/>
          <w:color w:val="000000" w:themeColor="text1"/>
          <w:sz w:val="18"/>
          <w:lang w:val="es-ES" w:eastAsia="es-ES"/>
        </w:rPr>
      </w:pPr>
      <w:r w:rsidRPr="008762D1">
        <w:rPr>
          <w:rFonts w:ascii="ITC Avant Garde" w:hAnsi="ITC Avant Garde" w:cs="Arial"/>
          <w:color w:val="000000" w:themeColor="text1"/>
          <w:sz w:val="18"/>
        </w:rPr>
        <w:t>[*] Con Max-Forwards=0, para verificar que el objetivo es alcanzable</w:t>
      </w:r>
    </w:p>
    <w:p w14:paraId="540D53F9" w14:textId="77777777" w:rsidR="000F0B9F" w:rsidRPr="008762D1" w:rsidRDefault="00526FE9" w:rsidP="000F0B9F">
      <w:pPr>
        <w:widowControl w:val="0"/>
        <w:autoSpaceDE w:val="0"/>
        <w:autoSpaceDN w:val="0"/>
        <w:adjustRightInd w:val="0"/>
        <w:spacing w:before="240"/>
        <w:ind w:left="119" w:right="56"/>
        <w:jc w:val="both"/>
        <w:rPr>
          <w:rFonts w:ascii="ITC Avant Garde" w:hAnsi="ITC Avant Garde" w:cs="Times New Roman"/>
          <w:color w:val="000000" w:themeColor="text1"/>
        </w:rPr>
      </w:pPr>
      <w:r w:rsidRPr="008762D1">
        <w:rPr>
          <w:rFonts w:ascii="ITC Avant Garde" w:hAnsi="ITC Avant Garde"/>
          <w:color w:val="000000" w:themeColor="text1"/>
        </w:rPr>
        <w:t>El método OPTIONS será utilizado para generar un “</w:t>
      </w:r>
      <w:proofErr w:type="spellStart"/>
      <w:r w:rsidRPr="008762D1">
        <w:rPr>
          <w:rFonts w:ascii="ITC Avant Garde" w:hAnsi="ITC Avant Garde"/>
          <w:color w:val="000000" w:themeColor="text1"/>
        </w:rPr>
        <w:t>keep</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alive</w:t>
      </w:r>
      <w:proofErr w:type="spellEnd"/>
      <w:r w:rsidRPr="008762D1">
        <w:rPr>
          <w:rFonts w:ascii="ITC Avant Garde" w:hAnsi="ITC Avant Garde"/>
          <w:color w:val="000000" w:themeColor="text1"/>
        </w:rPr>
        <w:t>”, de la siguiente manera: El nodo A envía de manera periódica el mensaje OPTIONS al nodo B, y el nodo B responde con un “200 OK”. Si el nodo B deja de responder entonces el nodo A bloquea la ruta pero continúa enviando el mensaje. En el momento que el nodo B vuelve a responder se reactiva la ruta.</w:t>
      </w:r>
    </w:p>
    <w:p w14:paraId="2F7BAB98" w14:textId="77777777" w:rsidR="000F0B9F" w:rsidRPr="008762D1" w:rsidRDefault="00526FE9" w:rsidP="000F0B9F">
      <w:pPr>
        <w:widowControl w:val="0"/>
        <w:autoSpaceDE w:val="0"/>
        <w:autoSpaceDN w:val="0"/>
        <w:adjustRightInd w:val="0"/>
        <w:spacing w:before="240"/>
        <w:ind w:left="119" w:right="56"/>
        <w:jc w:val="both"/>
        <w:rPr>
          <w:rFonts w:ascii="ITC Avant Garde" w:hAnsi="ITC Avant Garde" w:cs="Times New Roman"/>
          <w:color w:val="000000" w:themeColor="text1"/>
        </w:rPr>
      </w:pPr>
      <w:r w:rsidRPr="008762D1">
        <w:rPr>
          <w:rFonts w:ascii="ITC Avant Garde" w:hAnsi="ITC Avant Garde"/>
          <w:color w:val="000000" w:themeColor="text1"/>
        </w:rPr>
        <w:t xml:space="preserve">Se utilizará el método INVITE para iniciar el establecimiento de la llamada,  y podrá utilizarse las respuestas temporales 1xx,  y en función de la dinámica de la llamada podrá haber envío de “medio prematuro para envío de anuncios o ring-back </w:t>
      </w:r>
      <w:proofErr w:type="spellStart"/>
      <w:r w:rsidRPr="008762D1">
        <w:rPr>
          <w:rFonts w:ascii="ITC Avant Garde" w:hAnsi="ITC Avant Garde"/>
          <w:color w:val="000000" w:themeColor="text1"/>
        </w:rPr>
        <w:t>tone</w:t>
      </w:r>
      <w:proofErr w:type="spellEnd"/>
      <w:r w:rsidRPr="008762D1">
        <w:rPr>
          <w:rFonts w:ascii="ITC Avant Garde" w:hAnsi="ITC Avant Garde"/>
          <w:color w:val="000000" w:themeColor="text1"/>
        </w:rPr>
        <w:t xml:space="preserve"> por la red terminante”, pero NO será sino hasta que haya una respuesta permanente: 200 OK (invite), cuando se considere que la llamada se ha establecido y proceda cobro alguno.</w:t>
      </w:r>
    </w:p>
    <w:p w14:paraId="69A6A37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 xml:space="preserve"> La liberación de la llamada podrá presentarse en tres diferentes etapas:</w:t>
      </w:r>
    </w:p>
    <w:p w14:paraId="387F371A" w14:textId="77777777" w:rsidR="000F0B9F" w:rsidRPr="008762D1" w:rsidRDefault="00526FE9" w:rsidP="000F0B9F">
      <w:pPr>
        <w:numPr>
          <w:ilvl w:val="0"/>
          <w:numId w:val="50"/>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Cuando la llamada sea rechazada, se utilizará la una respuesta tipo 4xx, 5x o 6xx, y se podrá agregar el valor de causa en el encabezado “</w:t>
      </w:r>
      <w:proofErr w:type="spellStart"/>
      <w:r w:rsidRPr="008762D1">
        <w:rPr>
          <w:rFonts w:ascii="ITC Avant Garde" w:hAnsi="ITC Avant Garde" w:cs="Arial"/>
          <w:color w:val="000000" w:themeColor="text1"/>
        </w:rPr>
        <w:t>Reason</w:t>
      </w:r>
      <w:proofErr w:type="spellEnd"/>
      <w:r w:rsidRPr="008762D1">
        <w:rPr>
          <w:rFonts w:ascii="ITC Avant Garde" w:hAnsi="ITC Avant Garde" w:cs="Arial"/>
          <w:color w:val="000000" w:themeColor="text1"/>
        </w:rPr>
        <w:t>”, bajo la especificación Q.850.</w:t>
      </w:r>
    </w:p>
    <w:p w14:paraId="3B1BAA2D" w14:textId="77777777" w:rsidR="000F0B9F" w:rsidRPr="008762D1" w:rsidRDefault="00526FE9" w:rsidP="000F0B9F">
      <w:pPr>
        <w:numPr>
          <w:ilvl w:val="0"/>
          <w:numId w:val="50"/>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Cuando la llamada se encuentra en proceso de establecimiento, se utilizará el método CANCEL,  </w:t>
      </w:r>
    </w:p>
    <w:p w14:paraId="066CA48F" w14:textId="77777777" w:rsidR="000F0B9F" w:rsidRPr="008762D1" w:rsidRDefault="00526FE9" w:rsidP="000F0B9F">
      <w:pPr>
        <w:numPr>
          <w:ilvl w:val="0"/>
          <w:numId w:val="50"/>
        </w:numPr>
        <w:autoSpaceDE w:val="0"/>
        <w:autoSpaceDN w:val="0"/>
        <w:adjustRightInd w:val="0"/>
        <w:spacing w:before="240" w:after="0" w:line="240" w:lineRule="auto"/>
        <w:jc w:val="both"/>
        <w:rPr>
          <w:rFonts w:ascii="ITC Avant Garde" w:hAnsi="ITC Avant Garde" w:cs="Arial"/>
          <w:color w:val="000000" w:themeColor="text1"/>
        </w:rPr>
      </w:pPr>
      <w:r w:rsidRPr="008762D1">
        <w:rPr>
          <w:rFonts w:ascii="ITC Avant Garde" w:hAnsi="ITC Avant Garde" w:cs="Arial"/>
          <w:color w:val="000000" w:themeColor="text1"/>
        </w:rPr>
        <w:t>Cuando se requiera terminar una llamada que se ha establecido exitosamente, se considerará con el mensaje de liberación (BYE). La recepción de BYE indica el fin de la tasación de la llamada.</w:t>
      </w:r>
    </w:p>
    <w:p w14:paraId="2528987E" w14:textId="77777777" w:rsidR="000F0B9F" w:rsidRPr="008762D1" w:rsidRDefault="00526FE9" w:rsidP="000F0B9F">
      <w:pPr>
        <w:autoSpaceDE w:val="0"/>
        <w:autoSpaceDN w:val="0"/>
        <w:adjustRightInd w:val="0"/>
        <w:spacing w:before="240"/>
        <w:jc w:val="both"/>
        <w:rPr>
          <w:rFonts w:ascii="ITC Avant Garde" w:hAnsi="ITC Avant Garde" w:cs="Times New Roman"/>
          <w:color w:val="000000" w:themeColor="text1"/>
        </w:rPr>
      </w:pPr>
      <w:r w:rsidRPr="008762D1">
        <w:rPr>
          <w:rFonts w:ascii="ITC Avant Garde" w:hAnsi="ITC Avant Garde"/>
          <w:color w:val="000000" w:themeColor="text1"/>
        </w:rPr>
        <w:t>Los valores de los números Origen (A) y destino (B), se enviarán en método SIP  INVITE como sigue:</w:t>
      </w:r>
    </w:p>
    <w:p w14:paraId="37D82778" w14:textId="29D42425" w:rsidR="000F0B9F" w:rsidRPr="008762D1" w:rsidRDefault="00526FE9" w:rsidP="000F0B9F">
      <w:pPr>
        <w:autoSpaceDE w:val="0"/>
        <w:autoSpaceDN w:val="0"/>
        <w:adjustRightInd w:val="0"/>
        <w:spacing w:before="240"/>
        <w:jc w:val="both"/>
        <w:rPr>
          <w:rFonts w:ascii="ITC Avant Garde" w:hAnsi="ITC Avant Garde" w:cs="Times New Roman"/>
          <w:color w:val="000000" w:themeColor="text1"/>
        </w:rPr>
      </w:pPr>
      <w:r w:rsidRPr="008762D1">
        <w:rPr>
          <w:rFonts w:ascii="ITC Avant Garde" w:hAnsi="ITC Avant Garde"/>
          <w:color w:val="000000" w:themeColor="text1"/>
        </w:rPr>
        <w:t>Origen: Parámetro “</w:t>
      </w:r>
      <w:proofErr w:type="spellStart"/>
      <w:r w:rsidRPr="008762D1">
        <w:rPr>
          <w:rFonts w:ascii="ITC Avant Garde" w:hAnsi="ITC Avant Garde"/>
          <w:color w:val="000000" w:themeColor="text1"/>
        </w:rPr>
        <w:t>user</w:t>
      </w:r>
      <w:proofErr w:type="spellEnd"/>
      <w:r w:rsidRPr="008762D1">
        <w:rPr>
          <w:rFonts w:ascii="ITC Avant Garde" w:hAnsi="ITC Avant Garde"/>
          <w:color w:val="000000" w:themeColor="text1"/>
        </w:rPr>
        <w:t xml:space="preserve">” contenido en el </w:t>
      </w:r>
      <w:proofErr w:type="spellStart"/>
      <w:r w:rsidRPr="008762D1">
        <w:rPr>
          <w:rFonts w:ascii="ITC Avant Garde" w:hAnsi="ITC Avant Garde"/>
          <w:color w:val="000000" w:themeColor="text1"/>
        </w:rPr>
        <w:t>header</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From</w:t>
      </w:r>
      <w:proofErr w:type="spellEnd"/>
      <w:r w:rsidRPr="008762D1">
        <w:rPr>
          <w:rFonts w:ascii="ITC Avant Garde" w:hAnsi="ITC Avant Garde"/>
          <w:color w:val="000000" w:themeColor="text1"/>
        </w:rPr>
        <w:t xml:space="preserve"> y </w:t>
      </w:r>
      <w:proofErr w:type="spellStart"/>
      <w:r w:rsidRPr="008762D1">
        <w:rPr>
          <w:rFonts w:ascii="ITC Avant Garde" w:hAnsi="ITC Avant Garde"/>
          <w:color w:val="000000" w:themeColor="text1"/>
        </w:rPr>
        <w:t>header</w:t>
      </w:r>
      <w:proofErr w:type="spellEnd"/>
      <w:r w:rsidRPr="008762D1">
        <w:rPr>
          <w:rFonts w:ascii="ITC Avant Garde" w:hAnsi="ITC Avant Garde"/>
          <w:color w:val="000000" w:themeColor="text1"/>
        </w:rPr>
        <w:t xml:space="preserve"> P-</w:t>
      </w:r>
      <w:proofErr w:type="spellStart"/>
      <w:r w:rsidRPr="008762D1">
        <w:rPr>
          <w:rFonts w:ascii="ITC Avant Garde" w:hAnsi="ITC Avant Garde"/>
          <w:color w:val="000000" w:themeColor="text1"/>
        </w:rPr>
        <w:t>Asserted</w:t>
      </w:r>
      <w:proofErr w:type="spellEnd"/>
      <w:r w:rsidRPr="008762D1">
        <w:rPr>
          <w:rFonts w:ascii="ITC Avant Garde" w:hAnsi="ITC Avant Garde"/>
          <w:color w:val="000000" w:themeColor="text1"/>
        </w:rPr>
        <w:t xml:space="preserve">-Id y para los casos de uso del encabezado </w:t>
      </w:r>
      <w:proofErr w:type="spellStart"/>
      <w:r w:rsidRPr="008762D1">
        <w:rPr>
          <w:rFonts w:ascii="ITC Avant Garde" w:hAnsi="ITC Avant Garde"/>
          <w:color w:val="000000" w:themeColor="text1"/>
        </w:rPr>
        <w:t>Privacy</w:t>
      </w:r>
      <w:proofErr w:type="spellEnd"/>
      <w:r w:rsidRPr="008762D1">
        <w:rPr>
          <w:rFonts w:ascii="ITC Avant Garde" w:hAnsi="ITC Avant Garde"/>
          <w:color w:val="000000" w:themeColor="text1"/>
        </w:rPr>
        <w:t xml:space="preserve"> se utilizará el </w:t>
      </w:r>
      <w:proofErr w:type="spellStart"/>
      <w:r w:rsidRPr="008762D1">
        <w:rPr>
          <w:rFonts w:ascii="ITC Avant Garde" w:hAnsi="ITC Avant Garde"/>
          <w:color w:val="000000" w:themeColor="text1"/>
        </w:rPr>
        <w:t>header</w:t>
      </w:r>
      <w:proofErr w:type="spellEnd"/>
      <w:r w:rsidRPr="008762D1">
        <w:rPr>
          <w:rFonts w:ascii="ITC Avant Garde" w:hAnsi="ITC Avant Garde"/>
          <w:color w:val="000000" w:themeColor="text1"/>
        </w:rPr>
        <w:t xml:space="preserve"> P-</w:t>
      </w:r>
      <w:proofErr w:type="spellStart"/>
      <w:r w:rsidRPr="008762D1">
        <w:rPr>
          <w:rFonts w:ascii="ITC Avant Garde" w:hAnsi="ITC Avant Garde"/>
          <w:color w:val="000000" w:themeColor="text1"/>
        </w:rPr>
        <w:t>Aserted</w:t>
      </w:r>
      <w:proofErr w:type="spellEnd"/>
      <w:r w:rsidRPr="008762D1">
        <w:rPr>
          <w:rFonts w:ascii="ITC Avant Garde" w:hAnsi="ITC Avant Garde"/>
          <w:color w:val="000000" w:themeColor="text1"/>
        </w:rPr>
        <w:t>-Id. En caso de discrepancia entre ellos, se utilizará el P-</w:t>
      </w:r>
      <w:proofErr w:type="spellStart"/>
      <w:r w:rsidRPr="008762D1">
        <w:rPr>
          <w:rFonts w:ascii="ITC Avant Garde" w:hAnsi="ITC Avant Garde"/>
          <w:color w:val="000000" w:themeColor="text1"/>
        </w:rPr>
        <w:t>Asserted</w:t>
      </w:r>
      <w:proofErr w:type="spellEnd"/>
      <w:r w:rsidRPr="008762D1">
        <w:rPr>
          <w:rFonts w:ascii="ITC Avant Garde" w:hAnsi="ITC Avant Garde"/>
          <w:color w:val="000000" w:themeColor="text1"/>
        </w:rPr>
        <w:t>-Id</w:t>
      </w:r>
      <w:r w:rsidRPr="008762D1">
        <w:rPr>
          <w:rFonts w:ascii="ITC Avant Garde" w:hAnsi="ITC Avant Garde"/>
          <w:b/>
          <w:color w:val="000000" w:themeColor="text1"/>
        </w:rPr>
        <w:t xml:space="preserve"> </w:t>
      </w:r>
      <w:r w:rsidRPr="008762D1">
        <w:rPr>
          <w:rFonts w:ascii="ITC Avant Garde" w:hAnsi="ITC Avant Garde"/>
          <w:color w:val="000000" w:themeColor="text1"/>
        </w:rPr>
        <w:t xml:space="preserve">para facturación. </w:t>
      </w:r>
      <w:r w:rsidRPr="008762D1">
        <w:rPr>
          <w:rFonts w:ascii="ITC Avant Garde" w:hAnsi="ITC Avant Garde" w:cs="Arial"/>
          <w:color w:val="000000" w:themeColor="text1"/>
        </w:rPr>
        <w:t xml:space="preserve">Solo para el intercambio de tráfico entre Telmex y </w:t>
      </w:r>
      <w:r w:rsidR="00F031E8" w:rsidRPr="00F031E8">
        <w:rPr>
          <w:rFonts w:ascii="ITC Avant Garde" w:hAnsi="ITC Avant Garde" w:cs="Arial"/>
          <w:b/>
          <w:color w:val="0000FF"/>
        </w:rPr>
        <w:t>(…)</w:t>
      </w:r>
      <w:r w:rsidRPr="008762D1">
        <w:rPr>
          <w:rFonts w:ascii="ITC Avant Garde" w:hAnsi="ITC Avant Garde" w:cs="Arial"/>
          <w:color w:val="000000" w:themeColor="text1"/>
        </w:rPr>
        <w:t xml:space="preserve">, Telmex no es responsable del formato que utilicen otras redes que hagan tránsito hacia </w:t>
      </w:r>
      <w:r w:rsidR="00F031E8" w:rsidRPr="00F031E8">
        <w:rPr>
          <w:rFonts w:ascii="ITC Avant Garde" w:hAnsi="ITC Avant Garde" w:cs="Arial"/>
          <w:b/>
          <w:color w:val="0000FF"/>
        </w:rPr>
        <w:t>(…)</w:t>
      </w:r>
      <w:r w:rsidRPr="008762D1">
        <w:rPr>
          <w:rFonts w:ascii="ITC Avant Garde" w:hAnsi="ITC Avant Garde" w:cs="Arial"/>
          <w:color w:val="000000" w:themeColor="text1"/>
        </w:rPr>
        <w:t>.</w:t>
      </w:r>
    </w:p>
    <w:p w14:paraId="0C2ED981" w14:textId="77777777" w:rsidR="000F0B9F" w:rsidRPr="008762D1" w:rsidRDefault="00526FE9" w:rsidP="000F0B9F">
      <w:pPr>
        <w:autoSpaceDE w:val="0"/>
        <w:autoSpaceDN w:val="0"/>
        <w:adjustRightInd w:val="0"/>
        <w:spacing w:before="240"/>
        <w:jc w:val="both"/>
        <w:rPr>
          <w:rFonts w:ascii="ITC Avant Garde" w:hAnsi="ITC Avant Garde"/>
          <w:color w:val="000000" w:themeColor="text1"/>
        </w:rPr>
      </w:pPr>
      <w:r w:rsidRPr="008762D1">
        <w:rPr>
          <w:rFonts w:ascii="ITC Avant Garde" w:hAnsi="ITC Avant Garde"/>
          <w:color w:val="000000" w:themeColor="text1"/>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16" w:history="1">
        <w:r w:rsidRPr="008762D1">
          <w:rPr>
            <w:rStyle w:val="Hipervnculo"/>
            <w:color w:val="000000" w:themeColor="text1"/>
          </w:rPr>
          <w:t>unknown@unknown.invalid</w:t>
        </w:r>
      </w:hyperlink>
      <w:r w:rsidRPr="008762D1">
        <w:rPr>
          <w:rFonts w:ascii="ITC Avant Garde" w:hAnsi="ITC Avant Garde"/>
          <w:color w:val="000000" w:themeColor="text1"/>
        </w:rPr>
        <w:t>.</w:t>
      </w:r>
    </w:p>
    <w:p w14:paraId="45B91AF7" w14:textId="77777777" w:rsidR="000F0B9F" w:rsidRPr="008762D1" w:rsidRDefault="00526FE9" w:rsidP="000F0B9F">
      <w:pPr>
        <w:autoSpaceDE w:val="0"/>
        <w:autoSpaceDN w:val="0"/>
        <w:adjustRightInd w:val="0"/>
        <w:spacing w:before="240"/>
        <w:jc w:val="both"/>
        <w:rPr>
          <w:rFonts w:ascii="ITC Avant Garde" w:hAnsi="ITC Avant Garde"/>
          <w:color w:val="000000" w:themeColor="text1"/>
        </w:rPr>
      </w:pPr>
      <w:r w:rsidRPr="008762D1">
        <w:rPr>
          <w:rFonts w:ascii="ITC Avant Garde" w:hAnsi="ITC Avant Garde"/>
          <w:color w:val="000000" w:themeColor="text1"/>
        </w:rPr>
        <w:t>Destino: Parámetro “</w:t>
      </w:r>
      <w:proofErr w:type="spellStart"/>
      <w:r w:rsidRPr="008762D1">
        <w:rPr>
          <w:rFonts w:ascii="ITC Avant Garde" w:hAnsi="ITC Avant Garde"/>
          <w:color w:val="000000" w:themeColor="text1"/>
        </w:rPr>
        <w:t>user</w:t>
      </w:r>
      <w:proofErr w:type="spellEnd"/>
      <w:r w:rsidRPr="008762D1">
        <w:rPr>
          <w:rFonts w:ascii="ITC Avant Garde" w:hAnsi="ITC Avant Garde"/>
          <w:color w:val="000000" w:themeColor="text1"/>
        </w:rPr>
        <w:t xml:space="preserve">” contenido en el </w:t>
      </w:r>
      <w:proofErr w:type="spellStart"/>
      <w:r w:rsidRPr="008762D1">
        <w:rPr>
          <w:rFonts w:ascii="ITC Avant Garde" w:hAnsi="ITC Avant Garde"/>
          <w:color w:val="000000" w:themeColor="text1"/>
        </w:rPr>
        <w:t>header</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Request</w:t>
      </w:r>
      <w:proofErr w:type="spellEnd"/>
      <w:r w:rsidRPr="008762D1">
        <w:rPr>
          <w:rFonts w:ascii="ITC Avant Garde" w:hAnsi="ITC Avant Garde"/>
          <w:color w:val="000000" w:themeColor="text1"/>
        </w:rPr>
        <w:t xml:space="preserve"> URI.</w:t>
      </w:r>
    </w:p>
    <w:p w14:paraId="3110D4A4" w14:textId="77777777" w:rsidR="000F0B9F" w:rsidRPr="008762D1" w:rsidRDefault="00526FE9" w:rsidP="000F0B9F">
      <w:pPr>
        <w:widowControl w:val="0"/>
        <w:autoSpaceDE w:val="0"/>
        <w:autoSpaceDN w:val="0"/>
        <w:adjustRightInd w:val="0"/>
        <w:spacing w:before="240"/>
        <w:ind w:right="56"/>
        <w:jc w:val="both"/>
        <w:rPr>
          <w:rFonts w:ascii="ITC Avant Garde" w:hAnsi="ITC Avant Garde"/>
          <w:color w:val="000000" w:themeColor="text1"/>
        </w:rPr>
      </w:pPr>
      <w:r w:rsidRPr="008762D1">
        <w:rPr>
          <w:rFonts w:ascii="ITC Avant Garde" w:hAnsi="ITC Avant Garde"/>
          <w:color w:val="000000" w:themeColor="text1"/>
        </w:rPr>
        <w:t>El mensaje PRACK se utilizara cuando se requiera la transmisión confiable de respuestas SIP provisionales SIP</w:t>
      </w:r>
      <w:proofErr w:type="gramStart"/>
      <w:r w:rsidRPr="008762D1">
        <w:rPr>
          <w:rFonts w:ascii="ITC Avant Garde" w:hAnsi="ITC Avant Garde"/>
          <w:color w:val="000000" w:themeColor="text1"/>
        </w:rPr>
        <w:t>.(</w:t>
      </w:r>
      <w:proofErr w:type="gramEnd"/>
      <w:r w:rsidRPr="008762D1">
        <w:rPr>
          <w:rFonts w:ascii="ITC Avant Garde" w:hAnsi="ITC Avant Garde"/>
          <w:color w:val="000000" w:themeColor="text1"/>
        </w:rPr>
        <w:t>101-199)</w:t>
      </w:r>
    </w:p>
    <w:p w14:paraId="23843438" w14:textId="77777777" w:rsidR="000F0B9F" w:rsidRPr="008762D1" w:rsidRDefault="00526FE9" w:rsidP="000F0B9F">
      <w:pPr>
        <w:widowControl w:val="0"/>
        <w:autoSpaceDE w:val="0"/>
        <w:autoSpaceDN w:val="0"/>
        <w:adjustRightInd w:val="0"/>
        <w:spacing w:before="240"/>
        <w:ind w:right="56"/>
        <w:jc w:val="both"/>
        <w:rPr>
          <w:rFonts w:ascii="ITC Avant Garde" w:hAnsi="ITC Avant Garde"/>
          <w:color w:val="000000" w:themeColor="text1"/>
        </w:rPr>
      </w:pPr>
      <w:r w:rsidRPr="008762D1">
        <w:rPr>
          <w:rFonts w:ascii="ITC Avant Garde" w:hAnsi="ITC Avant Garde"/>
          <w:color w:val="000000" w:themeColor="text1"/>
        </w:rPr>
        <w:t>El mensaje UPDATE se utilizará para modificar el estado de la sesión sin cambiar el estado del diálogo o para la actualización de la sesión establecida (</w:t>
      </w:r>
      <w:proofErr w:type="spellStart"/>
      <w:r w:rsidRPr="008762D1">
        <w:rPr>
          <w:rFonts w:ascii="ITC Avant Garde" w:hAnsi="ITC Avant Garde"/>
          <w:color w:val="000000" w:themeColor="text1"/>
        </w:rPr>
        <w:t>refresh</w:t>
      </w:r>
      <w:proofErr w:type="spellEnd"/>
      <w:r w:rsidRPr="008762D1">
        <w:rPr>
          <w:rFonts w:ascii="ITC Avant Garde" w:hAnsi="ITC Avant Garde"/>
          <w:color w:val="000000" w:themeColor="text1"/>
        </w:rPr>
        <w:t>)</w:t>
      </w:r>
      <w:r w:rsidRPr="008762D1">
        <w:rPr>
          <w:rFonts w:ascii="ITC Avant Garde" w:hAnsi="ITC Avant Garde" w:cs="Arial"/>
          <w:color w:val="000000" w:themeColor="text1"/>
        </w:rPr>
        <w:t>.</w:t>
      </w:r>
    </w:p>
    <w:p w14:paraId="41A14795" w14:textId="77777777" w:rsidR="000F0B9F" w:rsidRPr="008762D1" w:rsidRDefault="00526FE9" w:rsidP="000F0B9F">
      <w:pPr>
        <w:adjustRightInd w:val="0"/>
        <w:spacing w:before="240"/>
        <w:jc w:val="both"/>
        <w:rPr>
          <w:rFonts w:ascii="ITC Avant Garde" w:hAnsi="ITC Avant Garde" w:cs="Arial"/>
          <w:b/>
          <w:color w:val="000000" w:themeColor="text1"/>
        </w:rPr>
      </w:pPr>
      <w:bookmarkStart w:id="4" w:name="_Toc387239942"/>
      <w:bookmarkStart w:id="5" w:name="_Toc425761347"/>
      <w:r w:rsidRPr="008762D1">
        <w:rPr>
          <w:rFonts w:ascii="ITC Avant Garde" w:hAnsi="ITC Avant Garde" w:cs="Arial"/>
          <w:b/>
          <w:color w:val="000000" w:themeColor="text1"/>
        </w:rPr>
        <w:t>Envío de Medio prematuro para el Tono de Llamada Normal</w:t>
      </w:r>
      <w:bookmarkEnd w:id="4"/>
      <w:r w:rsidRPr="008762D1">
        <w:rPr>
          <w:rFonts w:ascii="ITC Avant Garde" w:hAnsi="ITC Avant Garde" w:cs="Arial"/>
          <w:b/>
          <w:color w:val="000000" w:themeColor="text1"/>
        </w:rPr>
        <w:t xml:space="preserve">  y Anuncios</w:t>
      </w:r>
      <w:bookmarkEnd w:id="5"/>
    </w:p>
    <w:p w14:paraId="40ECBCB0" w14:textId="77777777" w:rsidR="000F0B9F" w:rsidRPr="008762D1" w:rsidRDefault="00526FE9" w:rsidP="000F0B9F">
      <w:pPr>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El medio temprano hacia atrás le permite a la red terminante proporcionar información a la parte llamante estrictamente para propósitos de progreso de la llamada y no involucra intercambio de datos entre los usuarios terminales.</w:t>
      </w:r>
    </w:p>
    <w:p w14:paraId="51D93A74" w14:textId="77777777" w:rsidR="000F0B9F" w:rsidRPr="008762D1" w:rsidRDefault="00526FE9" w:rsidP="000F0B9F">
      <w:pPr>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Para propósitos de autorización de medio temprano se podrá utilizar el encabezado P-</w:t>
      </w:r>
      <w:proofErr w:type="spellStart"/>
      <w:r w:rsidRPr="008762D1">
        <w:rPr>
          <w:rFonts w:ascii="ITC Avant Garde" w:hAnsi="ITC Avant Garde" w:cs="Arial"/>
          <w:color w:val="000000" w:themeColor="text1"/>
        </w:rPr>
        <w:t>Early</w:t>
      </w:r>
      <w:proofErr w:type="spellEnd"/>
      <w:r w:rsidRPr="008762D1">
        <w:rPr>
          <w:rFonts w:ascii="ITC Avant Garde" w:hAnsi="ITC Avant Garde" w:cs="Arial"/>
          <w:color w:val="000000" w:themeColor="text1"/>
        </w:rPr>
        <w:t xml:space="preserve">-Media (con valor </w:t>
      </w:r>
      <w:proofErr w:type="spellStart"/>
      <w:r w:rsidRPr="008762D1">
        <w:rPr>
          <w:rFonts w:ascii="ITC Avant Garde" w:hAnsi="ITC Avant Garde" w:cs="Arial"/>
          <w:color w:val="000000" w:themeColor="text1"/>
        </w:rPr>
        <w:t>sendonly</w:t>
      </w:r>
      <w:proofErr w:type="spellEnd"/>
      <w:r w:rsidRPr="008762D1">
        <w:rPr>
          <w:rFonts w:ascii="ITC Avant Garde" w:hAnsi="ITC Avant Garde" w:cs="Arial"/>
          <w:color w:val="000000" w:themeColor="text1"/>
        </w:rPr>
        <w:t xml:space="preserve">) y </w:t>
      </w:r>
      <w:proofErr w:type="spellStart"/>
      <w:r w:rsidRPr="008762D1">
        <w:rPr>
          <w:rFonts w:ascii="ITC Avant Garde" w:hAnsi="ITC Avant Garde" w:cs="Arial"/>
          <w:color w:val="000000" w:themeColor="text1"/>
        </w:rPr>
        <w:t>Require</w:t>
      </w:r>
      <w:proofErr w:type="spellEnd"/>
      <w:r w:rsidRPr="008762D1">
        <w:rPr>
          <w:rFonts w:ascii="ITC Avant Garde" w:hAnsi="ITC Avant Garde" w:cs="Arial"/>
          <w:color w:val="000000" w:themeColor="text1"/>
        </w:rPr>
        <w:t xml:space="preserve">: 100 </w:t>
      </w:r>
      <w:proofErr w:type="spellStart"/>
      <w:r w:rsidRPr="008762D1">
        <w:rPr>
          <w:rFonts w:ascii="ITC Avant Garde" w:hAnsi="ITC Avant Garde" w:cs="Arial"/>
          <w:color w:val="000000" w:themeColor="text1"/>
        </w:rPr>
        <w:t>rel</w:t>
      </w:r>
      <w:proofErr w:type="spellEnd"/>
      <w:r w:rsidRPr="008762D1">
        <w:rPr>
          <w:rFonts w:ascii="ITC Avant Garde" w:hAnsi="ITC Avant Garde" w:cs="Arial"/>
          <w:color w:val="000000" w:themeColor="text1"/>
        </w:rPr>
        <w:t xml:space="preserve"> en una respuesta 18x hacia la red </w:t>
      </w:r>
      <w:proofErr w:type="spellStart"/>
      <w:r w:rsidRPr="008762D1">
        <w:rPr>
          <w:rFonts w:ascii="ITC Avant Garde" w:hAnsi="ITC Avant Garde" w:cs="Arial"/>
          <w:color w:val="000000" w:themeColor="text1"/>
        </w:rPr>
        <w:t>originante</w:t>
      </w:r>
      <w:proofErr w:type="spellEnd"/>
      <w:r w:rsidRPr="008762D1">
        <w:rPr>
          <w:rFonts w:ascii="ITC Avant Garde" w:hAnsi="ITC Avant Garde" w:cs="Arial"/>
          <w:color w:val="000000" w:themeColor="text1"/>
        </w:rPr>
        <w:t>.</w:t>
      </w:r>
    </w:p>
    <w:p w14:paraId="5B1F8A0D" w14:textId="77777777" w:rsidR="000F0B9F" w:rsidRPr="008762D1" w:rsidRDefault="00526FE9" w:rsidP="000F0B9F">
      <w:pPr>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 xml:space="preserve">Cuando existe interacción con la RTPC, el medio temprano hacia atrás enviado por la RTPC comprende típicamente el envío del Tono de Llamada Normal (“ring-back”). </w:t>
      </w:r>
    </w:p>
    <w:p w14:paraId="711E860E" w14:textId="77777777" w:rsidR="000F0B9F" w:rsidRPr="008762D1" w:rsidRDefault="00526FE9" w:rsidP="000F0B9F">
      <w:pPr>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 recepción de la respuesta PRACK al mensaje 18x permitirá a la red Terminante el envío del medio temprano. </w:t>
      </w:r>
    </w:p>
    <w:p w14:paraId="7C8C091D" w14:textId="77777777" w:rsidR="000F0B9F" w:rsidRPr="008762D1" w:rsidRDefault="00526FE9" w:rsidP="000F0B9F">
      <w:pPr>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Se podrá utilizar la Respuesta SIP 183 (</w:t>
      </w:r>
      <w:proofErr w:type="spellStart"/>
      <w:r w:rsidRPr="008762D1">
        <w:rPr>
          <w:rFonts w:ascii="ITC Avant Garde" w:hAnsi="ITC Avant Garde" w:cs="Arial"/>
          <w:color w:val="000000" w:themeColor="text1"/>
        </w:rPr>
        <w:t>Progress</w:t>
      </w:r>
      <w:proofErr w:type="spellEnd"/>
      <w:r w:rsidRPr="008762D1">
        <w:rPr>
          <w:rFonts w:ascii="ITC Avant Garde" w:hAnsi="ITC Avant Garde" w:cs="Arial"/>
          <w:color w:val="000000" w:themeColor="text1"/>
        </w:rPr>
        <w:t>), incluyendo “</w:t>
      </w:r>
      <w:proofErr w:type="spellStart"/>
      <w:r w:rsidRPr="008762D1">
        <w:rPr>
          <w:rFonts w:ascii="ITC Avant Garde" w:hAnsi="ITC Avant Garde" w:cs="Arial"/>
          <w:color w:val="000000" w:themeColor="text1"/>
        </w:rPr>
        <w:t>SDP”</w:t>
      </w:r>
      <w:proofErr w:type="gramStart"/>
      <w:r w:rsidRPr="008762D1">
        <w:rPr>
          <w:rFonts w:ascii="ITC Avant Garde" w:hAnsi="ITC Avant Garde" w:cs="Arial"/>
          <w:color w:val="000000" w:themeColor="text1"/>
        </w:rPr>
        <w:t>,de</w:t>
      </w:r>
      <w:proofErr w:type="spellEnd"/>
      <w:proofErr w:type="gramEnd"/>
      <w:r w:rsidRPr="008762D1">
        <w:rPr>
          <w:rFonts w:ascii="ITC Avant Garde" w:hAnsi="ITC Avant Garde" w:cs="Arial"/>
          <w:color w:val="000000" w:themeColor="text1"/>
        </w:rPr>
        <w:t xml:space="preserve"> tal manera que la Red </w:t>
      </w:r>
      <w:proofErr w:type="spellStart"/>
      <w:r w:rsidRPr="008762D1">
        <w:rPr>
          <w:rFonts w:ascii="ITC Avant Garde" w:hAnsi="ITC Avant Garde" w:cs="Arial"/>
          <w:color w:val="000000" w:themeColor="text1"/>
        </w:rPr>
        <w:t>originante</w:t>
      </w:r>
      <w:proofErr w:type="spellEnd"/>
      <w:r w:rsidRPr="008762D1">
        <w:rPr>
          <w:rFonts w:ascii="ITC Avant Garde" w:hAnsi="ITC Avant Garde" w:cs="Arial"/>
          <w:color w:val="000000" w:themeColor="text1"/>
        </w:rPr>
        <w:t xml:space="preserve"> que reciba este mensaje abrirá el canal de audio para la reproducción del medio temprano.</w:t>
      </w:r>
    </w:p>
    <w:p w14:paraId="657D603B" w14:textId="77777777" w:rsidR="000F0B9F" w:rsidRPr="008762D1" w:rsidRDefault="00526FE9" w:rsidP="000F0B9F">
      <w:pPr>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Cuando no exista medio temprano la recepción de la respuesta 180 permitirá a la red </w:t>
      </w:r>
      <w:proofErr w:type="spellStart"/>
      <w:r w:rsidRPr="008762D1">
        <w:rPr>
          <w:rFonts w:ascii="ITC Avant Garde" w:hAnsi="ITC Avant Garde" w:cs="Arial"/>
          <w:color w:val="000000" w:themeColor="text1"/>
        </w:rPr>
        <w:t>Originante</w:t>
      </w:r>
      <w:proofErr w:type="spellEnd"/>
      <w:r w:rsidRPr="008762D1">
        <w:rPr>
          <w:rFonts w:ascii="ITC Avant Garde" w:hAnsi="ITC Avant Garde" w:cs="Arial"/>
          <w:color w:val="000000" w:themeColor="text1"/>
        </w:rPr>
        <w:t xml:space="preserve"> la reproducción de tono de llamada normal localmente conforme a la RFC 3960.</w:t>
      </w:r>
    </w:p>
    <w:p w14:paraId="0EE45EAD" w14:textId="77777777" w:rsidR="000F0B9F" w:rsidRPr="008762D1" w:rsidRDefault="00526FE9" w:rsidP="000F0B9F">
      <w:pPr>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No obstante lo anterior y tomando en cuenta el rápido desarrollo tecnológico, innovación y dinamismo de las telecomunicaciones, las  especificaciones y recomendaciones técnicas antes mencionadas podrán ser modificadas, sustituidas o actualizadas, de acuerdo a la evolución de las Recomendaciones de los organismos internacionales o de la norma o disposición técnica que en su momento emita el Instituto Federal de Telecomunicaciones.</w:t>
      </w:r>
    </w:p>
    <w:p w14:paraId="20B5ED2B" w14:textId="15E1B4DE" w:rsidR="00526FE9" w:rsidRPr="008762D1" w:rsidRDefault="00526FE9" w:rsidP="000F0B9F">
      <w:pPr>
        <w:spacing w:before="240" w:line="276" w:lineRule="auto"/>
        <w:ind w:right="49"/>
        <w:rPr>
          <w:rFonts w:ascii="ITC Avant Garde" w:hAnsi="ITC Avant Garde" w:cs="Times New Roman"/>
          <w:color w:val="000000" w:themeColor="text1"/>
          <w:szCs w:val="24"/>
        </w:rPr>
      </w:pPr>
      <w:r w:rsidRPr="008762D1">
        <w:rPr>
          <w:rFonts w:ascii="ITC Avant Garde" w:hAnsi="ITC Avant Garde"/>
          <w:color w:val="000000" w:themeColor="text1"/>
        </w:rPr>
        <w:t xml:space="preserve">Adicionalmente, se considerarán los siguientes encabezados:  </w:t>
      </w:r>
    </w:p>
    <w:p w14:paraId="205E9249" w14:textId="77777777" w:rsidR="000F0B9F" w:rsidRPr="008762D1" w:rsidRDefault="00526FE9" w:rsidP="000F0B9F">
      <w:pPr>
        <w:spacing w:before="240" w:line="276" w:lineRule="auto"/>
        <w:ind w:right="49"/>
        <w:rPr>
          <w:rFonts w:ascii="ITC Avant Garde" w:hAnsi="ITC Avant Garde"/>
          <w:color w:val="000000" w:themeColor="text1"/>
        </w:rPr>
      </w:pPr>
      <w:proofErr w:type="spellStart"/>
      <w:r w:rsidRPr="008762D1">
        <w:rPr>
          <w:rFonts w:ascii="ITC Avant Garde" w:hAnsi="ITC Avant Garde"/>
          <w:color w:val="000000" w:themeColor="text1"/>
        </w:rPr>
        <w:t>Privacy</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Reason</w:t>
      </w:r>
      <w:proofErr w:type="spellEnd"/>
      <w:r w:rsidRPr="008762D1">
        <w:rPr>
          <w:rFonts w:ascii="ITC Avant Garde" w:hAnsi="ITC Avant Garde"/>
          <w:color w:val="000000" w:themeColor="text1"/>
        </w:rPr>
        <w:t xml:space="preserve"> (en una respuesta), P-</w:t>
      </w:r>
      <w:proofErr w:type="spellStart"/>
      <w:r w:rsidRPr="008762D1">
        <w:rPr>
          <w:rFonts w:ascii="ITC Avant Garde" w:hAnsi="ITC Avant Garde"/>
          <w:color w:val="000000" w:themeColor="text1"/>
        </w:rPr>
        <w:t>Asserted</w:t>
      </w:r>
      <w:proofErr w:type="spellEnd"/>
      <w:r w:rsidRPr="008762D1">
        <w:rPr>
          <w:rFonts w:ascii="ITC Avant Garde" w:hAnsi="ITC Avant Garde"/>
          <w:color w:val="000000" w:themeColor="text1"/>
        </w:rPr>
        <w:t>-</w:t>
      </w:r>
      <w:proofErr w:type="spellStart"/>
      <w:r w:rsidRPr="008762D1">
        <w:rPr>
          <w:rFonts w:ascii="ITC Avant Garde" w:hAnsi="ITC Avant Garde"/>
          <w:color w:val="000000" w:themeColor="text1"/>
        </w:rPr>
        <w:t>Identity</w:t>
      </w:r>
      <w:proofErr w:type="spellEnd"/>
      <w:r w:rsidRPr="008762D1">
        <w:rPr>
          <w:rFonts w:ascii="ITC Avant Garde" w:hAnsi="ITC Avant Garde"/>
          <w:color w:val="000000" w:themeColor="text1"/>
        </w:rPr>
        <w:t xml:space="preserve"> y </w:t>
      </w:r>
      <w:proofErr w:type="spellStart"/>
      <w:r w:rsidRPr="008762D1">
        <w:rPr>
          <w:rFonts w:ascii="ITC Avant Garde" w:hAnsi="ITC Avant Garde"/>
          <w:color w:val="000000" w:themeColor="text1"/>
        </w:rPr>
        <w:t>From</w:t>
      </w:r>
      <w:proofErr w:type="spellEnd"/>
      <w:r w:rsidRPr="008762D1">
        <w:rPr>
          <w:rFonts w:ascii="ITC Avant Garde" w:hAnsi="ITC Avant Garde"/>
          <w:color w:val="000000" w:themeColor="text1"/>
        </w:rPr>
        <w:t>.</w:t>
      </w:r>
    </w:p>
    <w:p w14:paraId="42398CA2" w14:textId="77777777" w:rsidR="000F0B9F" w:rsidRPr="008762D1" w:rsidRDefault="00526FE9" w:rsidP="000F0B9F">
      <w:pPr>
        <w:spacing w:before="240" w:line="276" w:lineRule="auto"/>
        <w:ind w:right="49"/>
        <w:rPr>
          <w:rFonts w:ascii="ITC Avant Garde" w:hAnsi="ITC Avant Garde"/>
          <w:color w:val="000000" w:themeColor="text1"/>
        </w:rPr>
      </w:pPr>
      <w:r w:rsidRPr="008762D1">
        <w:rPr>
          <w:rFonts w:ascii="ITC Avant Garde" w:hAnsi="ITC Avant Garde"/>
          <w:color w:val="000000" w:themeColor="text1"/>
        </w:rPr>
        <w:t>De forma opcional se podrá utilizar el encabezado P-</w:t>
      </w:r>
      <w:proofErr w:type="spellStart"/>
      <w:r w:rsidRPr="008762D1">
        <w:rPr>
          <w:rFonts w:ascii="ITC Avant Garde" w:hAnsi="ITC Avant Garde"/>
          <w:color w:val="000000" w:themeColor="text1"/>
        </w:rPr>
        <w:t>Early</w:t>
      </w:r>
      <w:proofErr w:type="spellEnd"/>
      <w:r w:rsidRPr="008762D1">
        <w:rPr>
          <w:rFonts w:ascii="ITC Avant Garde" w:hAnsi="ITC Avant Garde"/>
          <w:color w:val="000000" w:themeColor="text1"/>
        </w:rPr>
        <w:t>-Media.</w:t>
      </w:r>
    </w:p>
    <w:p w14:paraId="332E936B" w14:textId="175F6886" w:rsidR="000F0B9F" w:rsidRPr="008762D1" w:rsidRDefault="00526FE9" w:rsidP="000F0B9F">
      <w:pPr>
        <w:spacing w:before="240" w:line="276" w:lineRule="auto"/>
        <w:ind w:right="49"/>
        <w:jc w:val="both"/>
        <w:rPr>
          <w:rFonts w:ascii="ITC Avant Garde" w:hAnsi="ITC Avant Garde"/>
          <w:b/>
          <w:color w:val="000000" w:themeColor="text1"/>
        </w:rPr>
      </w:pPr>
      <w:r w:rsidRPr="008762D1">
        <w:rPr>
          <w:rFonts w:ascii="ITC Avant Garde" w:hAnsi="ITC Avant Garde"/>
          <w:b/>
          <w:color w:val="000000" w:themeColor="text1"/>
        </w:rPr>
        <w:t>Oferta del SDP (</w:t>
      </w:r>
      <w:proofErr w:type="spellStart"/>
      <w:r w:rsidRPr="008762D1">
        <w:rPr>
          <w:rFonts w:ascii="ITC Avant Garde" w:hAnsi="ITC Avant Garde"/>
          <w:b/>
          <w:color w:val="000000" w:themeColor="text1"/>
        </w:rPr>
        <w:t>Session</w:t>
      </w:r>
      <w:proofErr w:type="spellEnd"/>
      <w:r w:rsidRPr="008762D1">
        <w:rPr>
          <w:rFonts w:ascii="ITC Avant Garde" w:hAnsi="ITC Avant Garde"/>
          <w:b/>
          <w:color w:val="000000" w:themeColor="text1"/>
        </w:rPr>
        <w:t xml:space="preserve"> </w:t>
      </w:r>
      <w:proofErr w:type="spellStart"/>
      <w:r w:rsidRPr="008762D1">
        <w:rPr>
          <w:rFonts w:ascii="ITC Avant Garde" w:hAnsi="ITC Avant Garde"/>
          <w:b/>
          <w:color w:val="000000" w:themeColor="text1"/>
        </w:rPr>
        <w:t>Description</w:t>
      </w:r>
      <w:proofErr w:type="spellEnd"/>
      <w:r w:rsidRPr="008762D1">
        <w:rPr>
          <w:rFonts w:ascii="ITC Avant Garde" w:hAnsi="ITC Avant Garde"/>
          <w:b/>
          <w:color w:val="000000" w:themeColor="text1"/>
        </w:rPr>
        <w:t xml:space="preserve"> </w:t>
      </w:r>
      <w:proofErr w:type="spellStart"/>
      <w:r w:rsidRPr="008762D1">
        <w:rPr>
          <w:rFonts w:ascii="ITC Avant Garde" w:hAnsi="ITC Avant Garde"/>
          <w:b/>
          <w:color w:val="000000" w:themeColor="text1"/>
        </w:rPr>
        <w:t>Protocol</w:t>
      </w:r>
      <w:proofErr w:type="spellEnd"/>
      <w:r w:rsidRPr="008762D1">
        <w:rPr>
          <w:rFonts w:ascii="ITC Avant Garde" w:hAnsi="ITC Avant Garde"/>
          <w:b/>
          <w:color w:val="000000" w:themeColor="text1"/>
        </w:rPr>
        <w:t>) para la Retención de Llamada</w:t>
      </w:r>
    </w:p>
    <w:p w14:paraId="7AE37876" w14:textId="77777777" w:rsidR="000F0B9F" w:rsidRPr="008762D1" w:rsidRDefault="00526FE9" w:rsidP="000F0B9F">
      <w:pPr>
        <w:spacing w:before="240" w:line="276" w:lineRule="auto"/>
        <w:ind w:right="49"/>
        <w:jc w:val="both"/>
        <w:rPr>
          <w:rFonts w:ascii="ITC Avant Garde" w:hAnsi="ITC Avant Garde"/>
          <w:color w:val="000000" w:themeColor="text1"/>
        </w:rPr>
      </w:pPr>
      <w:r w:rsidRPr="008762D1">
        <w:rPr>
          <w:rFonts w:ascii="ITC Avant Garde" w:hAnsi="ITC Avant Garde"/>
          <w:color w:val="000000" w:themeColor="text1"/>
        </w:rPr>
        <w:t>Un flujo de medios se coloca “en retención” separadamente en cada dirección. Cada flujo se coloca “en retención” independientemente. De acuerdo al RFC 3264.</w:t>
      </w:r>
    </w:p>
    <w:p w14:paraId="40AD105F" w14:textId="1CDA39AE" w:rsidR="00526FE9" w:rsidRPr="008762D1" w:rsidRDefault="00526FE9" w:rsidP="000F0B9F">
      <w:pPr>
        <w:spacing w:before="240" w:line="276" w:lineRule="auto"/>
        <w:ind w:right="49"/>
        <w:jc w:val="both"/>
        <w:rPr>
          <w:rFonts w:ascii="ITC Avant Garde" w:hAnsi="ITC Avant Garde"/>
          <w:color w:val="000000" w:themeColor="text1"/>
        </w:rPr>
      </w:pPr>
      <w:r w:rsidRPr="008762D1">
        <w:rPr>
          <w:rFonts w:ascii="ITC Avant Garde" w:hAnsi="ITC Avant Garde"/>
          <w:color w:val="000000" w:themeColor="text1"/>
        </w:rPr>
        <w:t>Para cada flujo de medios que se desea retener, la oferta SDP debe contener:</w:t>
      </w:r>
    </w:p>
    <w:p w14:paraId="4A59DC76" w14:textId="77777777" w:rsidR="00526FE9" w:rsidRPr="008762D1" w:rsidRDefault="00526FE9" w:rsidP="000F0B9F">
      <w:pPr>
        <w:tabs>
          <w:tab w:val="left" w:pos="993"/>
        </w:tabs>
        <w:spacing w:before="240" w:line="276" w:lineRule="auto"/>
        <w:ind w:left="993" w:right="49" w:hanging="284"/>
        <w:jc w:val="both"/>
        <w:rPr>
          <w:rFonts w:ascii="ITC Avant Garde" w:hAnsi="ITC Avant Garde"/>
          <w:color w:val="000000" w:themeColor="text1"/>
        </w:rPr>
      </w:pPr>
      <w:r w:rsidRPr="008762D1">
        <w:rPr>
          <w:rFonts w:ascii="Cambria Math" w:hAnsi="Cambria Math"/>
          <w:color w:val="000000" w:themeColor="text1"/>
        </w:rPr>
        <w:t>⁻</w:t>
      </w:r>
      <w:r w:rsidRPr="008762D1">
        <w:rPr>
          <w:rFonts w:ascii="ITC Avant Garde" w:hAnsi="ITC Avant Garde"/>
          <w:color w:val="000000" w:themeColor="text1"/>
        </w:rPr>
        <w:tab/>
        <w:t>Un atributo SDP “</w:t>
      </w:r>
      <w:proofErr w:type="spellStart"/>
      <w:r w:rsidRPr="008762D1">
        <w:rPr>
          <w:rFonts w:ascii="ITC Avant Garde" w:hAnsi="ITC Avant Garde"/>
          <w:b/>
          <w:color w:val="000000" w:themeColor="text1"/>
        </w:rPr>
        <w:t>sendonly</w:t>
      </w:r>
      <w:proofErr w:type="spellEnd"/>
      <w:r w:rsidRPr="008762D1">
        <w:rPr>
          <w:rFonts w:ascii="ITC Avant Garde" w:hAnsi="ITC Avant Garde"/>
          <w:color w:val="000000" w:themeColor="text1"/>
        </w:rPr>
        <w:t>” si el flujo de medio se encontraba previamente establecido a “</w:t>
      </w:r>
      <w:proofErr w:type="spellStart"/>
      <w:r w:rsidRPr="008762D1">
        <w:rPr>
          <w:rFonts w:ascii="ITC Avant Garde" w:hAnsi="ITC Avant Garde"/>
          <w:b/>
          <w:color w:val="000000" w:themeColor="text1"/>
        </w:rPr>
        <w:t>sendrecv</w:t>
      </w:r>
      <w:proofErr w:type="spellEnd"/>
      <w:r w:rsidRPr="008762D1">
        <w:rPr>
          <w:rFonts w:ascii="ITC Avant Garde" w:hAnsi="ITC Avant Garde"/>
          <w:color w:val="000000" w:themeColor="text1"/>
        </w:rPr>
        <w:t xml:space="preserve">”. </w:t>
      </w:r>
    </w:p>
    <w:p w14:paraId="773DD0D6" w14:textId="77777777" w:rsidR="000F0B9F" w:rsidRPr="008762D1" w:rsidRDefault="00526FE9" w:rsidP="000F0B9F">
      <w:pPr>
        <w:tabs>
          <w:tab w:val="left" w:pos="993"/>
        </w:tabs>
        <w:spacing w:before="240" w:line="276" w:lineRule="auto"/>
        <w:ind w:left="993" w:right="49" w:hanging="284"/>
        <w:jc w:val="both"/>
        <w:rPr>
          <w:rFonts w:ascii="ITC Avant Garde" w:hAnsi="ITC Avant Garde"/>
          <w:color w:val="000000" w:themeColor="text1"/>
        </w:rPr>
      </w:pPr>
      <w:r w:rsidRPr="008762D1">
        <w:rPr>
          <w:rFonts w:ascii="Cambria Math" w:hAnsi="Cambria Math"/>
          <w:color w:val="000000" w:themeColor="text1"/>
        </w:rPr>
        <w:t>⁻</w:t>
      </w:r>
      <w:r w:rsidRPr="008762D1">
        <w:rPr>
          <w:rFonts w:ascii="ITC Avant Garde" w:hAnsi="ITC Avant Garde"/>
          <w:color w:val="000000" w:themeColor="text1"/>
        </w:rPr>
        <w:tab/>
        <w:t>Un atributo SDP “</w:t>
      </w:r>
      <w:r w:rsidRPr="008762D1">
        <w:rPr>
          <w:rFonts w:ascii="ITC Avant Garde" w:hAnsi="ITC Avant Garde"/>
          <w:b/>
          <w:color w:val="000000" w:themeColor="text1"/>
        </w:rPr>
        <w:t>inactive</w:t>
      </w:r>
      <w:r w:rsidRPr="008762D1">
        <w:rPr>
          <w:rFonts w:ascii="ITC Avant Garde" w:hAnsi="ITC Avant Garde"/>
          <w:color w:val="000000" w:themeColor="text1"/>
        </w:rPr>
        <w:t>” si el flujo de medio se encontraba previamente establecido a “</w:t>
      </w:r>
      <w:proofErr w:type="spellStart"/>
      <w:r w:rsidRPr="008762D1">
        <w:rPr>
          <w:rFonts w:ascii="ITC Avant Garde" w:hAnsi="ITC Avant Garde"/>
          <w:b/>
          <w:color w:val="000000" w:themeColor="text1"/>
        </w:rPr>
        <w:t>recvonly</w:t>
      </w:r>
      <w:proofErr w:type="spellEnd"/>
      <w:r w:rsidRPr="008762D1">
        <w:rPr>
          <w:rFonts w:ascii="ITC Avant Garde" w:hAnsi="ITC Avant Garde"/>
          <w:color w:val="000000" w:themeColor="text1"/>
        </w:rPr>
        <w:t xml:space="preserve">”. </w:t>
      </w:r>
    </w:p>
    <w:p w14:paraId="1A125690" w14:textId="77777777" w:rsidR="000F0B9F" w:rsidRPr="008762D1" w:rsidRDefault="00526FE9" w:rsidP="000F0B9F">
      <w:pPr>
        <w:spacing w:before="240" w:line="276" w:lineRule="auto"/>
        <w:ind w:right="49"/>
        <w:jc w:val="both"/>
        <w:rPr>
          <w:rFonts w:ascii="ITC Avant Garde" w:hAnsi="ITC Avant Garde"/>
          <w:color w:val="000000" w:themeColor="text1"/>
        </w:rPr>
      </w:pPr>
      <w:r w:rsidRPr="008762D1">
        <w:rPr>
          <w:rFonts w:ascii="ITC Avant Garde" w:hAnsi="ITC Avant Garde"/>
          <w:color w:val="000000" w:themeColor="text1"/>
        </w:rPr>
        <w:t xml:space="preserve">Nota: Si la </w:t>
      </w:r>
      <w:proofErr w:type="spellStart"/>
      <w:r w:rsidRPr="008762D1">
        <w:rPr>
          <w:rFonts w:ascii="ITC Avant Garde" w:hAnsi="ITC Avant Garde"/>
          <w:color w:val="000000" w:themeColor="text1"/>
        </w:rPr>
        <w:t>direccionalidd</w:t>
      </w:r>
      <w:proofErr w:type="spellEnd"/>
      <w:r w:rsidRPr="008762D1">
        <w:rPr>
          <w:rFonts w:ascii="ITC Avant Garde" w:hAnsi="ITC Avant Garde"/>
          <w:color w:val="000000" w:themeColor="text1"/>
        </w:rPr>
        <w:t xml:space="preserve"> del atributo del medio actualmente se encuentra como “</w:t>
      </w:r>
      <w:proofErr w:type="spellStart"/>
      <w:r w:rsidRPr="008762D1">
        <w:rPr>
          <w:rFonts w:ascii="ITC Avant Garde" w:hAnsi="ITC Avant Garde"/>
          <w:color w:val="000000" w:themeColor="text1"/>
        </w:rPr>
        <w:t>sendonly</w:t>
      </w:r>
      <w:proofErr w:type="spellEnd"/>
      <w:r w:rsidRPr="008762D1">
        <w:rPr>
          <w:rFonts w:ascii="ITC Avant Garde" w:hAnsi="ITC Avant Garde"/>
          <w:color w:val="000000" w:themeColor="text1"/>
        </w:rPr>
        <w:t xml:space="preserve">” o “inactive”, entonces aquel flujo de medios no se pone en retención, </w:t>
      </w:r>
      <w:r w:rsidRPr="008762D1">
        <w:rPr>
          <w:rFonts w:ascii="ITC Avant Garde" w:hAnsi="ITC Avant Garde"/>
          <w:color w:val="000000" w:themeColor="text1"/>
        </w:rPr>
        <w:lastRenderedPageBreak/>
        <w:t>en la oferta SDP, la direccionalidad para aquel flujo de medios permanece sin cambio.</w:t>
      </w:r>
    </w:p>
    <w:p w14:paraId="3C783891" w14:textId="19818D31" w:rsidR="00526FE9" w:rsidRPr="008762D1" w:rsidRDefault="00526FE9" w:rsidP="000F0B9F">
      <w:pPr>
        <w:spacing w:before="240" w:line="276" w:lineRule="auto"/>
        <w:ind w:right="49"/>
        <w:jc w:val="both"/>
        <w:rPr>
          <w:rFonts w:ascii="ITC Avant Garde" w:hAnsi="ITC Avant Garde"/>
          <w:color w:val="000000" w:themeColor="text1"/>
        </w:rPr>
      </w:pPr>
      <w:r w:rsidRPr="008762D1">
        <w:rPr>
          <w:rFonts w:ascii="ITC Avant Garde" w:hAnsi="ITC Avant Garde"/>
          <w:color w:val="000000" w:themeColor="text1"/>
        </w:rPr>
        <w:t>Para cada flujo de medio retenido que será reanudado, la oferta SDP debe contener:</w:t>
      </w:r>
    </w:p>
    <w:p w14:paraId="6B1EE2EC" w14:textId="77777777" w:rsidR="00526FE9" w:rsidRPr="008762D1" w:rsidRDefault="00526FE9" w:rsidP="000F0B9F">
      <w:pPr>
        <w:tabs>
          <w:tab w:val="left" w:pos="993"/>
        </w:tabs>
        <w:spacing w:before="240" w:line="276" w:lineRule="auto"/>
        <w:ind w:left="993" w:right="49" w:hanging="284"/>
        <w:jc w:val="both"/>
        <w:rPr>
          <w:rFonts w:ascii="ITC Avant Garde" w:hAnsi="ITC Avant Garde"/>
          <w:color w:val="000000" w:themeColor="text1"/>
        </w:rPr>
      </w:pPr>
      <w:r w:rsidRPr="008762D1">
        <w:rPr>
          <w:rFonts w:ascii="Cambria Math" w:hAnsi="Cambria Math"/>
          <w:color w:val="000000" w:themeColor="text1"/>
        </w:rPr>
        <w:t>⁻</w:t>
      </w:r>
      <w:r w:rsidRPr="008762D1">
        <w:rPr>
          <w:rFonts w:ascii="ITC Avant Garde" w:hAnsi="ITC Avant Garde"/>
          <w:color w:val="000000" w:themeColor="text1"/>
        </w:rPr>
        <w:tab/>
        <w:t>Un atributo SDP “</w:t>
      </w:r>
      <w:proofErr w:type="spellStart"/>
      <w:r w:rsidRPr="008762D1">
        <w:rPr>
          <w:rFonts w:ascii="ITC Avant Garde" w:hAnsi="ITC Avant Garde"/>
          <w:b/>
          <w:color w:val="000000" w:themeColor="text1"/>
        </w:rPr>
        <w:t>recvonly</w:t>
      </w:r>
      <w:proofErr w:type="spellEnd"/>
      <w:r w:rsidRPr="008762D1">
        <w:rPr>
          <w:rFonts w:ascii="ITC Avant Garde" w:hAnsi="ITC Avant Garde"/>
          <w:color w:val="000000" w:themeColor="text1"/>
        </w:rPr>
        <w:t>” si el flujo de medio se encontraba previamente establecido como “</w:t>
      </w:r>
      <w:r w:rsidRPr="008762D1">
        <w:rPr>
          <w:rFonts w:ascii="ITC Avant Garde" w:hAnsi="ITC Avant Garde"/>
          <w:b/>
          <w:color w:val="000000" w:themeColor="text1"/>
        </w:rPr>
        <w:t>inactive</w:t>
      </w:r>
      <w:r w:rsidRPr="008762D1">
        <w:rPr>
          <w:rFonts w:ascii="ITC Avant Garde" w:hAnsi="ITC Avant Garde"/>
          <w:color w:val="000000" w:themeColor="text1"/>
        </w:rPr>
        <w:t xml:space="preserve">”. </w:t>
      </w:r>
    </w:p>
    <w:p w14:paraId="39AA80F1" w14:textId="77777777" w:rsidR="000F0B9F" w:rsidRPr="008762D1" w:rsidRDefault="00526FE9" w:rsidP="000F0B9F">
      <w:pPr>
        <w:tabs>
          <w:tab w:val="left" w:pos="993"/>
        </w:tabs>
        <w:spacing w:before="240" w:line="276" w:lineRule="auto"/>
        <w:ind w:left="993" w:right="49" w:hanging="284"/>
        <w:jc w:val="both"/>
        <w:rPr>
          <w:rFonts w:ascii="ITC Avant Garde" w:hAnsi="ITC Avant Garde"/>
          <w:color w:val="000000" w:themeColor="text1"/>
        </w:rPr>
      </w:pPr>
      <w:r w:rsidRPr="008762D1">
        <w:rPr>
          <w:rFonts w:ascii="Cambria Math" w:hAnsi="Cambria Math"/>
          <w:color w:val="000000" w:themeColor="text1"/>
        </w:rPr>
        <w:t>⁻</w:t>
      </w:r>
      <w:r w:rsidRPr="008762D1">
        <w:rPr>
          <w:rFonts w:ascii="ITC Avant Garde" w:hAnsi="ITC Avant Garde"/>
          <w:color w:val="000000" w:themeColor="text1"/>
        </w:rPr>
        <w:tab/>
        <w:t>Un atributo SDP “</w:t>
      </w:r>
      <w:proofErr w:type="spellStart"/>
      <w:r w:rsidRPr="008762D1">
        <w:rPr>
          <w:rFonts w:ascii="ITC Avant Garde" w:hAnsi="ITC Avant Garde"/>
          <w:b/>
          <w:color w:val="000000" w:themeColor="text1"/>
        </w:rPr>
        <w:t>sendrecv</w:t>
      </w:r>
      <w:proofErr w:type="spellEnd"/>
      <w:r w:rsidRPr="008762D1">
        <w:rPr>
          <w:rFonts w:ascii="ITC Avant Garde" w:hAnsi="ITC Avant Garde"/>
          <w:color w:val="000000" w:themeColor="text1"/>
        </w:rPr>
        <w:t>” si el flujo de medio se encontraba previamente establecido a “</w:t>
      </w:r>
      <w:proofErr w:type="spellStart"/>
      <w:r w:rsidRPr="008762D1">
        <w:rPr>
          <w:rFonts w:ascii="ITC Avant Garde" w:hAnsi="ITC Avant Garde"/>
          <w:b/>
          <w:color w:val="000000" w:themeColor="text1"/>
        </w:rPr>
        <w:t>sendonly</w:t>
      </w:r>
      <w:proofErr w:type="spellEnd"/>
      <w:r w:rsidRPr="008762D1">
        <w:rPr>
          <w:rFonts w:ascii="ITC Avant Garde" w:hAnsi="ITC Avant Garde"/>
          <w:color w:val="000000" w:themeColor="text1"/>
        </w:rPr>
        <w:t>”.</w:t>
      </w:r>
    </w:p>
    <w:p w14:paraId="6863E3B2"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2.2 Pruebas previas del protocolo de señalización</w:t>
      </w:r>
    </w:p>
    <w:p w14:paraId="6BBF88DD" w14:textId="77777777" w:rsidR="000F0B9F" w:rsidRPr="008762D1" w:rsidRDefault="00526FE9" w:rsidP="000F0B9F">
      <w:pPr>
        <w:autoSpaceDE w:val="0"/>
        <w:autoSpaceDN w:val="0"/>
        <w:adjustRightInd w:val="0"/>
        <w:spacing w:before="240" w:line="276" w:lineRule="auto"/>
        <w:ind w:left="567"/>
        <w:jc w:val="both"/>
        <w:rPr>
          <w:rFonts w:ascii="ITC Avant Garde" w:hAnsi="ITC Avant Garde" w:cs="Arial"/>
          <w:color w:val="000000" w:themeColor="text1"/>
        </w:rPr>
      </w:pPr>
      <w:r w:rsidRPr="008762D1">
        <w:rPr>
          <w:rFonts w:ascii="ITC Avant Garde" w:hAnsi="ITC Avant Garde" w:cs="Arial"/>
          <w:color w:val="000000" w:themeColor="text1"/>
        </w:rPr>
        <w:t>Los Concesionarios aceptan los protocolos de señalización de acuerdo a la Norma o Disposición Técnica que para tal efecto emita el Instituto y/o que acuerden entre ellos.</w:t>
      </w:r>
    </w:p>
    <w:p w14:paraId="4B5DA3BF" w14:textId="77777777" w:rsidR="000F0B9F" w:rsidRPr="008762D1" w:rsidRDefault="00526FE9" w:rsidP="000F0B9F">
      <w:pPr>
        <w:autoSpaceDE w:val="0"/>
        <w:autoSpaceDN w:val="0"/>
        <w:adjustRightInd w:val="0"/>
        <w:spacing w:before="240"/>
        <w:ind w:left="567"/>
        <w:jc w:val="both"/>
        <w:rPr>
          <w:rFonts w:ascii="ITC Avant Garde" w:hAnsi="ITC Avant Garde" w:cs="Arial"/>
          <w:color w:val="000000" w:themeColor="text1"/>
        </w:rPr>
      </w:pPr>
      <w:r w:rsidRPr="008762D1">
        <w:rPr>
          <w:rFonts w:ascii="ITC Avant Garde" w:hAnsi="ITC Avant Garde" w:cs="Arial"/>
          <w:color w:val="000000" w:themeColor="text1"/>
        </w:rPr>
        <w:t>Previamente a cada nueva interconexión directa que se lleve a cabo en SIP, ambas Partes realizarán pruebas de interoperabilidad entre las redes conforme al calendario que ambas acuerden para ello, que en ningún caso podrán demorar más de 90 (noventa) días naturales.</w:t>
      </w:r>
    </w:p>
    <w:p w14:paraId="0D098676" w14:textId="77777777" w:rsidR="000F0B9F" w:rsidRPr="008762D1" w:rsidRDefault="00526FE9" w:rsidP="000F0B9F">
      <w:pPr>
        <w:autoSpaceDE w:val="0"/>
        <w:autoSpaceDN w:val="0"/>
        <w:adjustRightInd w:val="0"/>
        <w:spacing w:before="240" w:line="276" w:lineRule="auto"/>
        <w:ind w:left="567"/>
        <w:jc w:val="both"/>
        <w:rPr>
          <w:rFonts w:ascii="ITC Avant Garde" w:hAnsi="ITC Avant Garde" w:cs="Arial"/>
          <w:color w:val="000000" w:themeColor="text1"/>
        </w:rPr>
      </w:pPr>
      <w:r w:rsidRPr="008762D1">
        <w:rPr>
          <w:rFonts w:ascii="ITC Avant Garde" w:hAnsi="ITC Avant Garde" w:cs="Arial"/>
          <w:color w:val="000000" w:themeColor="text1"/>
        </w:rPr>
        <w:t>Las partes informarán las direcciones IP de cada Punto de Interconexión IP.</w:t>
      </w:r>
    </w:p>
    <w:p w14:paraId="34D8BFFF"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2.3 Intercambio de Dígitos</w:t>
      </w:r>
    </w:p>
    <w:p w14:paraId="29B0F374" w14:textId="7DEE5091" w:rsidR="00526FE9" w:rsidRPr="00F031E8" w:rsidRDefault="00526FE9" w:rsidP="00F031E8">
      <w:pPr>
        <w:autoSpaceDE w:val="0"/>
        <w:autoSpaceDN w:val="0"/>
        <w:adjustRightInd w:val="0"/>
        <w:spacing w:before="240" w:line="276" w:lineRule="auto"/>
        <w:ind w:left="426"/>
        <w:jc w:val="both"/>
        <w:rPr>
          <w:rFonts w:ascii="ITC Avant Garde" w:hAnsi="ITC Avant Garde" w:cs="Arial"/>
          <w:color w:val="000000" w:themeColor="text1"/>
        </w:rPr>
      </w:pPr>
      <w:r w:rsidRPr="008762D1">
        <w:rPr>
          <w:rFonts w:ascii="ITC Avant Garde" w:hAnsi="ITC Avant Garde" w:cs="Arial"/>
          <w:color w:val="000000" w:themeColor="text1"/>
        </w:rPr>
        <w:t>A continuación se definen los dígitos que deberá enviar el concesionario origen al conce</w:t>
      </w:r>
      <w:r w:rsidR="00F031E8">
        <w:rPr>
          <w:rFonts w:ascii="ITC Avant Garde" w:hAnsi="ITC Avant Garde" w:cs="Arial"/>
          <w:color w:val="000000" w:themeColor="text1"/>
        </w:rPr>
        <w:t>sionario destino de la llamada.</w:t>
      </w:r>
    </w:p>
    <w:tbl>
      <w:tblPr>
        <w:tblStyle w:val="Cuadrculadetablaclara"/>
        <w:tblW w:w="5000" w:type="pct"/>
        <w:jc w:val="center"/>
        <w:tblLook w:val="00A0" w:firstRow="1" w:lastRow="0" w:firstColumn="1" w:lastColumn="0" w:noHBand="0" w:noVBand="0"/>
        <w:tblCaption w:val="Tabla"/>
        <w:tblDescription w:val="Intercambio de Dígitos"/>
      </w:tblPr>
      <w:tblGrid>
        <w:gridCol w:w="3161"/>
        <w:gridCol w:w="1993"/>
        <w:gridCol w:w="3674"/>
      </w:tblGrid>
      <w:tr w:rsidR="008762D1" w:rsidRPr="008762D1" w14:paraId="00D85714" w14:textId="77777777" w:rsidTr="00036A6A">
        <w:trPr>
          <w:tblHeader/>
          <w:jc w:val="center"/>
        </w:trPr>
        <w:tc>
          <w:tcPr>
            <w:tcW w:w="1790" w:type="pct"/>
            <w:shd w:val="clear" w:color="auto" w:fill="D9D9D9" w:themeFill="background1" w:themeFillShade="D9"/>
            <w:hideMark/>
          </w:tcPr>
          <w:p w14:paraId="0478671C" w14:textId="77777777" w:rsidR="00526FE9" w:rsidRPr="008762D1" w:rsidRDefault="00526FE9" w:rsidP="006359EB">
            <w:pPr>
              <w:spacing w:line="276" w:lineRule="auto"/>
              <w:jc w:val="center"/>
              <w:rPr>
                <w:rFonts w:ascii="ITC Avant Garde" w:hAnsi="ITC Avant Garde" w:cs="Arial"/>
                <w:b/>
                <w:color w:val="000000" w:themeColor="text1"/>
                <w:sz w:val="18"/>
                <w:szCs w:val="18"/>
              </w:rPr>
            </w:pPr>
            <w:r w:rsidRPr="008762D1">
              <w:rPr>
                <w:rFonts w:ascii="ITC Avant Garde" w:hAnsi="ITC Avant Garde" w:cs="Arial"/>
                <w:b/>
                <w:color w:val="000000" w:themeColor="text1"/>
                <w:spacing w:val="1"/>
                <w:w w:val="74"/>
                <w:sz w:val="18"/>
                <w:szCs w:val="18"/>
              </w:rPr>
              <w:t>S</w:t>
            </w:r>
            <w:r w:rsidRPr="008762D1">
              <w:rPr>
                <w:rFonts w:ascii="ITC Avant Garde" w:hAnsi="ITC Avant Garde" w:cs="Arial"/>
                <w:b/>
                <w:color w:val="000000" w:themeColor="text1"/>
                <w:spacing w:val="1"/>
                <w:w w:val="80"/>
                <w:sz w:val="18"/>
                <w:szCs w:val="18"/>
              </w:rPr>
              <w:t>E</w:t>
            </w:r>
            <w:r w:rsidRPr="008762D1">
              <w:rPr>
                <w:rFonts w:ascii="ITC Avant Garde" w:hAnsi="ITC Avant Garde" w:cs="Arial"/>
                <w:b/>
                <w:color w:val="000000" w:themeColor="text1"/>
                <w:w w:val="83"/>
                <w:sz w:val="18"/>
                <w:szCs w:val="18"/>
              </w:rPr>
              <w:t>R</w:t>
            </w:r>
            <w:r w:rsidRPr="008762D1">
              <w:rPr>
                <w:rFonts w:ascii="ITC Avant Garde" w:hAnsi="ITC Avant Garde" w:cs="Arial"/>
                <w:b/>
                <w:color w:val="000000" w:themeColor="text1"/>
                <w:w w:val="104"/>
                <w:sz w:val="18"/>
                <w:szCs w:val="18"/>
              </w:rPr>
              <w:t>V</w:t>
            </w:r>
            <w:r w:rsidRPr="008762D1">
              <w:rPr>
                <w:rFonts w:ascii="ITC Avant Garde" w:hAnsi="ITC Avant Garde" w:cs="Arial"/>
                <w:b/>
                <w:color w:val="000000" w:themeColor="text1"/>
                <w:spacing w:val="3"/>
                <w:w w:val="80"/>
                <w:sz w:val="18"/>
                <w:szCs w:val="18"/>
              </w:rPr>
              <w:t>I</w:t>
            </w:r>
            <w:r w:rsidRPr="008762D1">
              <w:rPr>
                <w:rFonts w:ascii="ITC Avant Garde" w:hAnsi="ITC Avant Garde" w:cs="Arial"/>
                <w:b/>
                <w:color w:val="000000" w:themeColor="text1"/>
                <w:w w:val="112"/>
                <w:sz w:val="18"/>
                <w:szCs w:val="18"/>
              </w:rPr>
              <w:t>C</w:t>
            </w:r>
            <w:r w:rsidRPr="008762D1">
              <w:rPr>
                <w:rFonts w:ascii="ITC Avant Garde" w:hAnsi="ITC Avant Garde" w:cs="Arial"/>
                <w:b/>
                <w:color w:val="000000" w:themeColor="text1"/>
                <w:w w:val="103"/>
                <w:sz w:val="18"/>
                <w:szCs w:val="18"/>
              </w:rPr>
              <w:t>IO</w:t>
            </w:r>
          </w:p>
        </w:tc>
        <w:tc>
          <w:tcPr>
            <w:tcW w:w="1129" w:type="pct"/>
            <w:shd w:val="clear" w:color="auto" w:fill="D9D9D9" w:themeFill="background1" w:themeFillShade="D9"/>
            <w:hideMark/>
          </w:tcPr>
          <w:p w14:paraId="1A1858F8" w14:textId="77777777" w:rsidR="00526FE9" w:rsidRPr="008762D1" w:rsidRDefault="00526FE9" w:rsidP="006359EB">
            <w:pPr>
              <w:spacing w:line="276" w:lineRule="auto"/>
              <w:jc w:val="center"/>
              <w:rPr>
                <w:rFonts w:ascii="ITC Avant Garde" w:hAnsi="ITC Avant Garde" w:cs="Arial"/>
                <w:b/>
                <w:color w:val="000000" w:themeColor="text1"/>
                <w:sz w:val="18"/>
                <w:szCs w:val="18"/>
              </w:rPr>
            </w:pPr>
            <w:r w:rsidRPr="008762D1">
              <w:rPr>
                <w:rFonts w:ascii="ITC Avant Garde" w:hAnsi="ITC Avant Garde" w:cs="Arial"/>
                <w:b/>
                <w:color w:val="000000" w:themeColor="text1"/>
                <w:spacing w:val="2"/>
                <w:w w:val="109"/>
                <w:sz w:val="18"/>
                <w:szCs w:val="18"/>
              </w:rPr>
              <w:t>M</w:t>
            </w:r>
            <w:r w:rsidRPr="008762D1">
              <w:rPr>
                <w:rFonts w:ascii="ITC Avant Garde" w:hAnsi="ITC Avant Garde" w:cs="Arial"/>
                <w:b/>
                <w:color w:val="000000" w:themeColor="text1"/>
                <w:w w:val="107"/>
                <w:sz w:val="18"/>
                <w:szCs w:val="18"/>
              </w:rPr>
              <w:t>O</w:t>
            </w:r>
            <w:r w:rsidRPr="008762D1">
              <w:rPr>
                <w:rFonts w:ascii="ITC Avant Garde" w:hAnsi="ITC Avant Garde" w:cs="Arial"/>
                <w:b/>
                <w:color w:val="000000" w:themeColor="text1"/>
                <w:spacing w:val="3"/>
                <w:w w:val="107"/>
                <w:sz w:val="18"/>
                <w:szCs w:val="18"/>
              </w:rPr>
              <w:t>D</w:t>
            </w:r>
            <w:r w:rsidRPr="008762D1">
              <w:rPr>
                <w:rFonts w:ascii="ITC Avant Garde" w:hAnsi="ITC Avant Garde" w:cs="Arial"/>
                <w:b/>
                <w:color w:val="000000" w:themeColor="text1"/>
                <w:w w:val="110"/>
                <w:sz w:val="18"/>
                <w:szCs w:val="18"/>
              </w:rPr>
              <w:t>A</w:t>
            </w:r>
            <w:r w:rsidRPr="008762D1">
              <w:rPr>
                <w:rFonts w:ascii="ITC Avant Garde" w:hAnsi="ITC Avant Garde" w:cs="Arial"/>
                <w:b/>
                <w:color w:val="000000" w:themeColor="text1"/>
                <w:w w:val="82"/>
                <w:sz w:val="18"/>
                <w:szCs w:val="18"/>
              </w:rPr>
              <w:t>L</w:t>
            </w:r>
            <w:r w:rsidRPr="008762D1">
              <w:rPr>
                <w:rFonts w:ascii="ITC Avant Garde" w:hAnsi="ITC Avant Garde" w:cs="Arial"/>
                <w:b/>
                <w:color w:val="000000" w:themeColor="text1"/>
                <w:w w:val="96"/>
                <w:sz w:val="18"/>
                <w:szCs w:val="18"/>
              </w:rPr>
              <w:t>I</w:t>
            </w:r>
            <w:r w:rsidRPr="008762D1">
              <w:rPr>
                <w:rFonts w:ascii="ITC Avant Garde" w:hAnsi="ITC Avant Garde" w:cs="Arial"/>
                <w:b/>
                <w:color w:val="000000" w:themeColor="text1"/>
                <w:spacing w:val="3"/>
                <w:w w:val="96"/>
                <w:sz w:val="18"/>
                <w:szCs w:val="18"/>
              </w:rPr>
              <w:t>D</w:t>
            </w:r>
            <w:r w:rsidRPr="008762D1">
              <w:rPr>
                <w:rFonts w:ascii="ITC Avant Garde" w:hAnsi="ITC Avant Garde" w:cs="Arial"/>
                <w:b/>
                <w:color w:val="000000" w:themeColor="text1"/>
                <w:w w:val="110"/>
                <w:sz w:val="18"/>
                <w:szCs w:val="18"/>
              </w:rPr>
              <w:t>A</w:t>
            </w:r>
            <w:r w:rsidRPr="008762D1">
              <w:rPr>
                <w:rFonts w:ascii="ITC Avant Garde" w:hAnsi="ITC Avant Garde" w:cs="Arial"/>
                <w:b/>
                <w:color w:val="000000" w:themeColor="text1"/>
                <w:w w:val="102"/>
                <w:sz w:val="18"/>
                <w:szCs w:val="18"/>
              </w:rPr>
              <w:t>D</w:t>
            </w:r>
          </w:p>
        </w:tc>
        <w:tc>
          <w:tcPr>
            <w:tcW w:w="2081" w:type="pct"/>
            <w:shd w:val="clear" w:color="auto" w:fill="D9D9D9" w:themeFill="background1" w:themeFillShade="D9"/>
            <w:hideMark/>
          </w:tcPr>
          <w:p w14:paraId="3319D39F" w14:textId="77777777" w:rsidR="00526FE9" w:rsidRPr="008762D1" w:rsidRDefault="00526FE9" w:rsidP="006359EB">
            <w:pPr>
              <w:spacing w:line="276" w:lineRule="auto"/>
              <w:jc w:val="center"/>
              <w:rPr>
                <w:rFonts w:ascii="ITC Avant Garde" w:hAnsi="ITC Avant Garde" w:cs="Arial"/>
                <w:b/>
                <w:color w:val="000000" w:themeColor="text1"/>
                <w:sz w:val="18"/>
                <w:szCs w:val="18"/>
              </w:rPr>
            </w:pPr>
            <w:r w:rsidRPr="008762D1">
              <w:rPr>
                <w:rFonts w:ascii="ITC Avant Garde" w:hAnsi="ITC Avant Garde" w:cs="Arial"/>
                <w:b/>
                <w:color w:val="000000" w:themeColor="text1"/>
                <w:spacing w:val="1"/>
                <w:w w:val="102"/>
                <w:sz w:val="18"/>
                <w:szCs w:val="18"/>
              </w:rPr>
              <w:t>SEÑ</w:t>
            </w:r>
            <w:r w:rsidRPr="008762D1">
              <w:rPr>
                <w:rFonts w:ascii="ITC Avant Garde" w:hAnsi="ITC Avant Garde" w:cs="Arial"/>
                <w:b/>
                <w:color w:val="000000" w:themeColor="text1"/>
                <w:w w:val="110"/>
                <w:sz w:val="18"/>
                <w:szCs w:val="18"/>
              </w:rPr>
              <w:t>A</w:t>
            </w:r>
            <w:r w:rsidRPr="008762D1">
              <w:rPr>
                <w:rFonts w:ascii="ITC Avant Garde" w:hAnsi="ITC Avant Garde" w:cs="Arial"/>
                <w:b/>
                <w:color w:val="000000" w:themeColor="text1"/>
                <w:w w:val="82"/>
                <w:sz w:val="18"/>
                <w:szCs w:val="18"/>
              </w:rPr>
              <w:t>L</w:t>
            </w:r>
            <w:r w:rsidRPr="008762D1">
              <w:rPr>
                <w:rFonts w:ascii="ITC Avant Garde" w:hAnsi="ITC Avant Garde" w:cs="Arial"/>
                <w:b/>
                <w:color w:val="000000" w:themeColor="text1"/>
                <w:w w:val="79"/>
                <w:sz w:val="18"/>
                <w:szCs w:val="18"/>
              </w:rPr>
              <w:t>I</w:t>
            </w:r>
            <w:r w:rsidRPr="008762D1">
              <w:rPr>
                <w:rFonts w:ascii="ITC Avant Garde" w:hAnsi="ITC Avant Garde" w:cs="Arial"/>
                <w:b/>
                <w:color w:val="000000" w:themeColor="text1"/>
                <w:spacing w:val="3"/>
                <w:w w:val="79"/>
                <w:sz w:val="18"/>
                <w:szCs w:val="18"/>
              </w:rPr>
              <w:t>Z</w:t>
            </w:r>
            <w:r w:rsidRPr="008762D1">
              <w:rPr>
                <w:rFonts w:ascii="ITC Avant Garde" w:hAnsi="ITC Avant Garde" w:cs="Arial"/>
                <w:b/>
                <w:color w:val="000000" w:themeColor="text1"/>
                <w:spacing w:val="1"/>
                <w:w w:val="110"/>
                <w:sz w:val="18"/>
                <w:szCs w:val="18"/>
              </w:rPr>
              <w:t>A</w:t>
            </w:r>
            <w:r w:rsidRPr="008762D1">
              <w:rPr>
                <w:rFonts w:ascii="ITC Avant Garde" w:hAnsi="ITC Avant Garde" w:cs="Arial"/>
                <w:b/>
                <w:color w:val="000000" w:themeColor="text1"/>
                <w:w w:val="112"/>
                <w:sz w:val="18"/>
                <w:szCs w:val="18"/>
              </w:rPr>
              <w:t>C</w:t>
            </w:r>
            <w:r w:rsidRPr="008762D1">
              <w:rPr>
                <w:rFonts w:ascii="ITC Avant Garde" w:hAnsi="ITC Avant Garde" w:cs="Arial"/>
                <w:b/>
                <w:color w:val="000000" w:themeColor="text1"/>
                <w:w w:val="103"/>
                <w:sz w:val="18"/>
                <w:szCs w:val="18"/>
              </w:rPr>
              <w:t>I</w:t>
            </w:r>
            <w:r w:rsidRPr="008762D1">
              <w:rPr>
                <w:rFonts w:ascii="ITC Avant Garde" w:hAnsi="ITC Avant Garde" w:cs="Arial"/>
                <w:b/>
                <w:color w:val="000000" w:themeColor="text1"/>
                <w:spacing w:val="2"/>
                <w:w w:val="103"/>
                <w:sz w:val="18"/>
                <w:szCs w:val="18"/>
              </w:rPr>
              <w:t>Ó</w:t>
            </w:r>
            <w:r w:rsidRPr="008762D1">
              <w:rPr>
                <w:rFonts w:ascii="ITC Avant Garde" w:hAnsi="ITC Avant Garde" w:cs="Arial"/>
                <w:b/>
                <w:color w:val="000000" w:themeColor="text1"/>
                <w:w w:val="102"/>
                <w:sz w:val="18"/>
                <w:szCs w:val="18"/>
              </w:rPr>
              <w:t>N</w:t>
            </w:r>
          </w:p>
        </w:tc>
      </w:tr>
      <w:tr w:rsidR="008762D1" w:rsidRPr="008762D1" w14:paraId="07B027C4" w14:textId="77777777" w:rsidTr="00036A6A">
        <w:trPr>
          <w:jc w:val="center"/>
        </w:trPr>
        <w:tc>
          <w:tcPr>
            <w:tcW w:w="1790" w:type="pct"/>
            <w:hideMark/>
          </w:tcPr>
          <w:p w14:paraId="0691455A"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 xml:space="preserve">Llamada Local </w:t>
            </w:r>
          </w:p>
        </w:tc>
        <w:tc>
          <w:tcPr>
            <w:tcW w:w="1129" w:type="pct"/>
            <w:hideMark/>
          </w:tcPr>
          <w:p w14:paraId="0E1E522F"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EQLLP</w:t>
            </w:r>
          </w:p>
        </w:tc>
        <w:tc>
          <w:tcPr>
            <w:tcW w:w="2081" w:type="pct"/>
            <w:hideMark/>
          </w:tcPr>
          <w:p w14:paraId="3C4394CC"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+ 044 + NN</w:t>
            </w:r>
          </w:p>
        </w:tc>
      </w:tr>
      <w:tr w:rsidR="008762D1" w:rsidRPr="008762D1" w14:paraId="17056413" w14:textId="77777777" w:rsidTr="00036A6A">
        <w:trPr>
          <w:jc w:val="center"/>
        </w:trPr>
        <w:tc>
          <w:tcPr>
            <w:tcW w:w="1790" w:type="pct"/>
            <w:hideMark/>
          </w:tcPr>
          <w:p w14:paraId="0BF2451A"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 xml:space="preserve">Llamada Local </w:t>
            </w:r>
          </w:p>
        </w:tc>
        <w:tc>
          <w:tcPr>
            <w:tcW w:w="1129" w:type="pct"/>
            <w:hideMark/>
          </w:tcPr>
          <w:p w14:paraId="6851A114"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EQRP o FIJO</w:t>
            </w:r>
          </w:p>
        </w:tc>
        <w:tc>
          <w:tcPr>
            <w:tcW w:w="2081" w:type="pct"/>
            <w:hideMark/>
          </w:tcPr>
          <w:p w14:paraId="1E9D63AB"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r>
      <w:tr w:rsidR="008762D1" w:rsidRPr="008762D1" w14:paraId="51E7CE11" w14:textId="77777777" w:rsidTr="00036A6A">
        <w:trPr>
          <w:jc w:val="center"/>
        </w:trPr>
        <w:tc>
          <w:tcPr>
            <w:tcW w:w="1790" w:type="pct"/>
            <w:hideMark/>
          </w:tcPr>
          <w:p w14:paraId="44DCF548"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Llamada Nacional</w:t>
            </w:r>
          </w:p>
        </w:tc>
        <w:tc>
          <w:tcPr>
            <w:tcW w:w="1129" w:type="pct"/>
            <w:hideMark/>
          </w:tcPr>
          <w:p w14:paraId="6BBAB6D3"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EQLLP</w:t>
            </w:r>
          </w:p>
        </w:tc>
        <w:tc>
          <w:tcPr>
            <w:tcW w:w="2081" w:type="pct"/>
            <w:hideMark/>
          </w:tcPr>
          <w:p w14:paraId="7504BD87"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+ 045 + NN</w:t>
            </w:r>
          </w:p>
        </w:tc>
      </w:tr>
      <w:tr w:rsidR="008762D1" w:rsidRPr="008762D1" w14:paraId="342E4A1D" w14:textId="77777777" w:rsidTr="00036A6A">
        <w:trPr>
          <w:jc w:val="center"/>
        </w:trPr>
        <w:tc>
          <w:tcPr>
            <w:tcW w:w="1790" w:type="pct"/>
            <w:hideMark/>
          </w:tcPr>
          <w:p w14:paraId="44D93CEA"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Llamada Nacional</w:t>
            </w:r>
          </w:p>
        </w:tc>
        <w:tc>
          <w:tcPr>
            <w:tcW w:w="1129" w:type="pct"/>
            <w:hideMark/>
          </w:tcPr>
          <w:p w14:paraId="5D02B592"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EQRP o FIJO</w:t>
            </w:r>
          </w:p>
        </w:tc>
        <w:tc>
          <w:tcPr>
            <w:tcW w:w="2081" w:type="pct"/>
            <w:hideMark/>
          </w:tcPr>
          <w:p w14:paraId="4BFC96B4"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8762D1" w:rsidRPr="008762D1" w14:paraId="3409308E" w14:textId="77777777" w:rsidTr="00036A6A">
        <w:trPr>
          <w:jc w:val="center"/>
        </w:trPr>
        <w:tc>
          <w:tcPr>
            <w:tcW w:w="1790" w:type="pct"/>
            <w:hideMark/>
          </w:tcPr>
          <w:p w14:paraId="6EDE0264"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Llamada LD Internacional/Mundial</w:t>
            </w:r>
          </w:p>
        </w:tc>
        <w:tc>
          <w:tcPr>
            <w:tcW w:w="1129" w:type="pct"/>
            <w:hideMark/>
          </w:tcPr>
          <w:p w14:paraId="560E9796"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EQLLP</w:t>
            </w:r>
          </w:p>
        </w:tc>
        <w:tc>
          <w:tcPr>
            <w:tcW w:w="2081" w:type="pct"/>
            <w:hideMark/>
          </w:tcPr>
          <w:p w14:paraId="08DA26A5"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+ 1 + NN</w:t>
            </w:r>
          </w:p>
        </w:tc>
      </w:tr>
      <w:tr w:rsidR="008762D1" w:rsidRPr="008762D1" w14:paraId="3C8BE1A0" w14:textId="77777777" w:rsidTr="00036A6A">
        <w:trPr>
          <w:jc w:val="center"/>
        </w:trPr>
        <w:tc>
          <w:tcPr>
            <w:tcW w:w="1790" w:type="pct"/>
            <w:hideMark/>
          </w:tcPr>
          <w:p w14:paraId="5F987C4B"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Llamada LD Internacional/Mundial</w:t>
            </w:r>
          </w:p>
        </w:tc>
        <w:tc>
          <w:tcPr>
            <w:tcW w:w="1129" w:type="pct"/>
            <w:hideMark/>
          </w:tcPr>
          <w:p w14:paraId="77E538BC"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EQRP o FIJO</w:t>
            </w:r>
          </w:p>
        </w:tc>
        <w:tc>
          <w:tcPr>
            <w:tcW w:w="2081" w:type="pct"/>
            <w:hideMark/>
          </w:tcPr>
          <w:p w14:paraId="2FBE8F4A"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8762D1" w:rsidRPr="008762D1" w14:paraId="49311967" w14:textId="77777777" w:rsidTr="00036A6A">
        <w:trPr>
          <w:jc w:val="center"/>
        </w:trPr>
        <w:tc>
          <w:tcPr>
            <w:tcW w:w="1790" w:type="pct"/>
            <w:hideMark/>
          </w:tcPr>
          <w:p w14:paraId="5D5B8580"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Presuscripción Nacional</w:t>
            </w:r>
          </w:p>
        </w:tc>
        <w:tc>
          <w:tcPr>
            <w:tcW w:w="1129" w:type="pct"/>
            <w:hideMark/>
          </w:tcPr>
          <w:p w14:paraId="1B1D5931"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EQLLP</w:t>
            </w:r>
          </w:p>
        </w:tc>
        <w:tc>
          <w:tcPr>
            <w:tcW w:w="2081" w:type="pct"/>
            <w:hideMark/>
          </w:tcPr>
          <w:p w14:paraId="4FF37089"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ABC + 045 + NN</w:t>
            </w:r>
          </w:p>
        </w:tc>
      </w:tr>
      <w:tr w:rsidR="008762D1" w:rsidRPr="008762D1" w14:paraId="7253D14D" w14:textId="77777777" w:rsidTr="00036A6A">
        <w:trPr>
          <w:jc w:val="center"/>
        </w:trPr>
        <w:tc>
          <w:tcPr>
            <w:tcW w:w="1790" w:type="pct"/>
            <w:hideMark/>
          </w:tcPr>
          <w:p w14:paraId="7BA851E4"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Presuscripción Nacional</w:t>
            </w:r>
          </w:p>
        </w:tc>
        <w:tc>
          <w:tcPr>
            <w:tcW w:w="1129" w:type="pct"/>
            <w:hideMark/>
          </w:tcPr>
          <w:p w14:paraId="035A90FE"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EQRP o FIJO</w:t>
            </w:r>
          </w:p>
        </w:tc>
        <w:tc>
          <w:tcPr>
            <w:tcW w:w="2081" w:type="pct"/>
            <w:hideMark/>
          </w:tcPr>
          <w:p w14:paraId="447908CF"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ABC + NN</w:t>
            </w:r>
          </w:p>
        </w:tc>
      </w:tr>
      <w:tr w:rsidR="008762D1" w:rsidRPr="008762D1" w14:paraId="7C687F4D" w14:textId="77777777" w:rsidTr="00036A6A">
        <w:trPr>
          <w:jc w:val="center"/>
        </w:trPr>
        <w:tc>
          <w:tcPr>
            <w:tcW w:w="1790" w:type="pct"/>
            <w:hideMark/>
          </w:tcPr>
          <w:p w14:paraId="14916A97"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Llamadas de cobro revertido</w:t>
            </w:r>
          </w:p>
        </w:tc>
        <w:tc>
          <w:tcPr>
            <w:tcW w:w="1129" w:type="pct"/>
            <w:hideMark/>
          </w:tcPr>
          <w:p w14:paraId="29B2E0D3"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Núm. No Geográfico</w:t>
            </w:r>
          </w:p>
        </w:tc>
        <w:tc>
          <w:tcPr>
            <w:tcW w:w="2081" w:type="pct"/>
            <w:hideMark/>
          </w:tcPr>
          <w:p w14:paraId="4E67BA72"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01+ABC+IDO+800+7D</w:t>
            </w:r>
          </w:p>
        </w:tc>
      </w:tr>
      <w:tr w:rsidR="008762D1" w:rsidRPr="008762D1" w14:paraId="71F11C2B" w14:textId="77777777" w:rsidTr="00036A6A">
        <w:trPr>
          <w:jc w:val="center"/>
        </w:trPr>
        <w:tc>
          <w:tcPr>
            <w:tcW w:w="1790" w:type="pct"/>
            <w:hideMark/>
          </w:tcPr>
          <w:p w14:paraId="4FE8AFA6"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Llamadas a Números 900</w:t>
            </w:r>
          </w:p>
        </w:tc>
        <w:tc>
          <w:tcPr>
            <w:tcW w:w="1129" w:type="pct"/>
            <w:hideMark/>
          </w:tcPr>
          <w:p w14:paraId="2CA744C1"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Núm. No Geográfico</w:t>
            </w:r>
          </w:p>
        </w:tc>
        <w:tc>
          <w:tcPr>
            <w:tcW w:w="2081" w:type="pct"/>
            <w:hideMark/>
          </w:tcPr>
          <w:p w14:paraId="28056499"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01+ABC+IDO+900+7D</w:t>
            </w:r>
          </w:p>
        </w:tc>
      </w:tr>
      <w:tr w:rsidR="00526FE9" w:rsidRPr="008762D1" w14:paraId="2DFC8F90" w14:textId="77777777" w:rsidTr="00036A6A">
        <w:trPr>
          <w:jc w:val="center"/>
        </w:trPr>
        <w:tc>
          <w:tcPr>
            <w:tcW w:w="1790" w:type="pct"/>
            <w:hideMark/>
          </w:tcPr>
          <w:p w14:paraId="49D28E9D"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lastRenderedPageBreak/>
              <w:t xml:space="preserve">LD Internacional /Mundial presuscripción </w:t>
            </w:r>
          </w:p>
        </w:tc>
        <w:tc>
          <w:tcPr>
            <w:tcW w:w="1129" w:type="pct"/>
            <w:hideMark/>
          </w:tcPr>
          <w:p w14:paraId="2DB5F394"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FIJO</w:t>
            </w:r>
          </w:p>
        </w:tc>
        <w:tc>
          <w:tcPr>
            <w:tcW w:w="2081" w:type="pct"/>
            <w:hideMark/>
          </w:tcPr>
          <w:p w14:paraId="384E46BD" w14:textId="77777777" w:rsidR="00526FE9" w:rsidRPr="008762D1" w:rsidRDefault="00526FE9" w:rsidP="006359EB">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00+ABC+Numero Internacional/Mundial</w:t>
            </w:r>
          </w:p>
        </w:tc>
      </w:tr>
    </w:tbl>
    <w:p w14:paraId="14BB86D1" w14:textId="77777777" w:rsidR="000F0B9F"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34FF93BB" w14:textId="3732D917" w:rsidR="000F0B9F" w:rsidRPr="008762D1" w:rsidRDefault="00526FE9" w:rsidP="000F0B9F">
      <w:pPr>
        <w:autoSpaceDE w:val="0"/>
        <w:autoSpaceDN w:val="0"/>
        <w:adjustRightInd w:val="0"/>
        <w:spacing w:before="240" w:line="276" w:lineRule="auto"/>
        <w:rPr>
          <w:rFonts w:ascii="ITC Avant Garde" w:hAnsi="ITC Avant Garde" w:cs="Arial"/>
          <w:color w:val="000000" w:themeColor="text1"/>
        </w:rPr>
      </w:pPr>
      <w:r w:rsidRPr="008762D1">
        <w:rPr>
          <w:rFonts w:ascii="ITC Avant Garde" w:hAnsi="ITC Avant Garde" w:cs="Arial"/>
          <w:color w:val="000000" w:themeColor="text1"/>
        </w:rPr>
        <w:t xml:space="preserve">2)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enviará IDO=XXX y BCD=XXX. TELMEX verificará que el puerto coincida con el Operador que entrega la llamada.</w:t>
      </w:r>
    </w:p>
    <w:p w14:paraId="0465BB23" w14:textId="204A30CA" w:rsidR="00526FE9" w:rsidRPr="00F031E8"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Para escenarios de tránsito, el intercambio </w:t>
      </w:r>
      <w:r w:rsidR="00F031E8">
        <w:rPr>
          <w:rFonts w:ascii="ITC Avant Garde" w:hAnsi="ITC Avant Garde" w:cs="Arial"/>
          <w:color w:val="000000" w:themeColor="text1"/>
        </w:rPr>
        <w:t>de dígitos será:</w:t>
      </w:r>
    </w:p>
    <w:tbl>
      <w:tblPr>
        <w:tblStyle w:val="Tablaconcuadrcula"/>
        <w:tblW w:w="5723" w:type="pct"/>
        <w:tblLook w:val="00A0" w:firstRow="1" w:lastRow="0" w:firstColumn="1" w:lastColumn="0" w:noHBand="0" w:noVBand="0"/>
        <w:tblCaption w:val="Tabla"/>
        <w:tblDescription w:val="tránsito, el intercambio de dígitos "/>
      </w:tblPr>
      <w:tblGrid>
        <w:gridCol w:w="1451"/>
        <w:gridCol w:w="671"/>
        <w:gridCol w:w="274"/>
        <w:gridCol w:w="1018"/>
        <w:gridCol w:w="2230"/>
        <w:gridCol w:w="2231"/>
        <w:gridCol w:w="2230"/>
      </w:tblGrid>
      <w:tr w:rsidR="008762D1" w:rsidRPr="008762D1" w14:paraId="4D838DDC" w14:textId="77777777" w:rsidTr="00427C5C">
        <w:trPr>
          <w:tblHeader/>
        </w:trPr>
        <w:tc>
          <w:tcPr>
            <w:tcW w:w="718" w:type="pct"/>
            <w:vAlign w:val="center"/>
            <w:hideMark/>
          </w:tcPr>
          <w:p w14:paraId="4DC8E097" w14:textId="77777777" w:rsidR="00526FE9" w:rsidRPr="008762D1" w:rsidRDefault="00526FE9" w:rsidP="00427C5C">
            <w:pPr>
              <w:spacing w:line="276" w:lineRule="auto"/>
              <w:jc w:val="center"/>
              <w:rPr>
                <w:rFonts w:ascii="ITC Avant Garde" w:hAnsi="ITC Avant Garde" w:cs="Arial"/>
                <w:b/>
                <w:color w:val="000000" w:themeColor="text1"/>
                <w:spacing w:val="1"/>
                <w:w w:val="74"/>
                <w:sz w:val="18"/>
                <w:szCs w:val="18"/>
              </w:rPr>
            </w:pPr>
            <w:r w:rsidRPr="008762D1">
              <w:rPr>
                <w:rFonts w:ascii="ITC Avant Garde" w:hAnsi="ITC Avant Garde" w:cs="Arial"/>
                <w:b/>
                <w:color w:val="000000" w:themeColor="text1"/>
                <w:spacing w:val="1"/>
                <w:w w:val="74"/>
                <w:sz w:val="18"/>
                <w:szCs w:val="18"/>
              </w:rPr>
              <w:t>Origen</w:t>
            </w:r>
          </w:p>
        </w:tc>
        <w:tc>
          <w:tcPr>
            <w:tcW w:w="468" w:type="pct"/>
            <w:gridSpan w:val="2"/>
            <w:vAlign w:val="center"/>
            <w:hideMark/>
          </w:tcPr>
          <w:p w14:paraId="2E5CE782" w14:textId="77777777" w:rsidR="00526FE9" w:rsidRPr="008762D1" w:rsidRDefault="00526FE9" w:rsidP="00427C5C">
            <w:pPr>
              <w:spacing w:line="276" w:lineRule="auto"/>
              <w:jc w:val="center"/>
              <w:rPr>
                <w:rFonts w:ascii="ITC Avant Garde" w:hAnsi="ITC Avant Garde" w:cs="Arial"/>
                <w:b/>
                <w:color w:val="000000" w:themeColor="text1"/>
                <w:spacing w:val="1"/>
                <w:w w:val="74"/>
                <w:sz w:val="18"/>
                <w:szCs w:val="18"/>
              </w:rPr>
            </w:pPr>
            <w:r w:rsidRPr="008762D1">
              <w:rPr>
                <w:rFonts w:ascii="ITC Avant Garde" w:hAnsi="ITC Avant Garde" w:cs="Arial"/>
                <w:b/>
                <w:color w:val="000000" w:themeColor="text1"/>
                <w:spacing w:val="1"/>
                <w:w w:val="74"/>
                <w:sz w:val="18"/>
                <w:szCs w:val="18"/>
              </w:rPr>
              <w:t>Modalidad</w:t>
            </w:r>
          </w:p>
        </w:tc>
        <w:tc>
          <w:tcPr>
            <w:tcW w:w="504" w:type="pct"/>
            <w:vAlign w:val="center"/>
            <w:hideMark/>
          </w:tcPr>
          <w:p w14:paraId="3D2A3A39" w14:textId="77777777" w:rsidR="00526FE9" w:rsidRPr="008762D1" w:rsidRDefault="00526FE9" w:rsidP="00427C5C">
            <w:pPr>
              <w:spacing w:line="276" w:lineRule="auto"/>
              <w:jc w:val="center"/>
              <w:rPr>
                <w:rFonts w:ascii="ITC Avant Garde" w:hAnsi="ITC Avant Garde" w:cs="Arial"/>
                <w:b/>
                <w:color w:val="000000" w:themeColor="text1"/>
                <w:spacing w:val="1"/>
                <w:w w:val="74"/>
                <w:sz w:val="18"/>
                <w:szCs w:val="18"/>
              </w:rPr>
            </w:pPr>
            <w:r w:rsidRPr="008762D1">
              <w:rPr>
                <w:rFonts w:ascii="ITC Avant Garde" w:hAnsi="ITC Avant Garde" w:cs="Arial"/>
                <w:b/>
                <w:color w:val="000000" w:themeColor="text1"/>
                <w:spacing w:val="1"/>
                <w:w w:val="74"/>
                <w:sz w:val="18"/>
                <w:szCs w:val="18"/>
              </w:rPr>
              <w:t>Intercambio</w:t>
            </w:r>
          </w:p>
          <w:p w14:paraId="180867F0" w14:textId="77777777" w:rsidR="00526FE9" w:rsidRPr="008762D1" w:rsidRDefault="00526FE9" w:rsidP="00427C5C">
            <w:pPr>
              <w:spacing w:line="276" w:lineRule="auto"/>
              <w:jc w:val="center"/>
              <w:rPr>
                <w:rFonts w:ascii="ITC Avant Garde" w:hAnsi="ITC Avant Garde" w:cs="Arial"/>
                <w:b/>
                <w:color w:val="000000" w:themeColor="text1"/>
                <w:spacing w:val="1"/>
                <w:w w:val="74"/>
                <w:sz w:val="18"/>
                <w:szCs w:val="18"/>
              </w:rPr>
            </w:pPr>
            <w:r w:rsidRPr="008762D1">
              <w:rPr>
                <w:rFonts w:ascii="ITC Avant Garde" w:hAnsi="ITC Avant Garde" w:cs="Arial"/>
                <w:b/>
                <w:color w:val="000000" w:themeColor="text1"/>
                <w:spacing w:val="1"/>
                <w:w w:val="74"/>
                <w:sz w:val="18"/>
                <w:szCs w:val="18"/>
              </w:rPr>
              <w:t>de dígitos</w:t>
            </w:r>
          </w:p>
          <w:p w14:paraId="158823C1" w14:textId="77777777" w:rsidR="00526FE9" w:rsidRPr="008762D1" w:rsidRDefault="00526FE9" w:rsidP="00427C5C">
            <w:pPr>
              <w:spacing w:line="276" w:lineRule="auto"/>
              <w:jc w:val="center"/>
              <w:rPr>
                <w:rFonts w:ascii="ITC Avant Garde" w:hAnsi="ITC Avant Garde" w:cs="Arial"/>
                <w:b/>
                <w:color w:val="000000" w:themeColor="text1"/>
                <w:spacing w:val="1"/>
                <w:w w:val="74"/>
                <w:sz w:val="18"/>
                <w:szCs w:val="18"/>
              </w:rPr>
            </w:pPr>
            <w:r w:rsidRPr="008762D1">
              <w:rPr>
                <w:rFonts w:ascii="ITC Avant Garde" w:hAnsi="ITC Avant Garde" w:cs="Arial"/>
                <w:b/>
                <w:color w:val="000000" w:themeColor="text1"/>
                <w:spacing w:val="1"/>
                <w:w w:val="74"/>
                <w:sz w:val="18"/>
                <w:szCs w:val="18"/>
              </w:rPr>
              <w:t>entre redes</w:t>
            </w:r>
          </w:p>
        </w:tc>
        <w:tc>
          <w:tcPr>
            <w:tcW w:w="1103" w:type="pct"/>
            <w:vAlign w:val="center"/>
            <w:hideMark/>
          </w:tcPr>
          <w:p w14:paraId="22D0541E" w14:textId="77777777" w:rsidR="00526FE9" w:rsidRPr="008762D1" w:rsidRDefault="00526FE9" w:rsidP="00427C5C">
            <w:pPr>
              <w:spacing w:line="276" w:lineRule="auto"/>
              <w:jc w:val="center"/>
              <w:rPr>
                <w:rFonts w:ascii="ITC Avant Garde" w:hAnsi="ITC Avant Garde" w:cs="Arial"/>
                <w:b/>
                <w:color w:val="000000" w:themeColor="text1"/>
                <w:spacing w:val="1"/>
                <w:w w:val="74"/>
                <w:sz w:val="18"/>
                <w:szCs w:val="18"/>
              </w:rPr>
            </w:pPr>
            <w:r w:rsidRPr="008762D1">
              <w:rPr>
                <w:rFonts w:ascii="ITC Avant Garde" w:hAnsi="ITC Avant Garde" w:cs="Arial"/>
                <w:b/>
                <w:color w:val="000000" w:themeColor="text1"/>
                <w:spacing w:val="1"/>
                <w:w w:val="74"/>
                <w:sz w:val="18"/>
                <w:szCs w:val="18"/>
              </w:rPr>
              <w:t>Red de Origen</w:t>
            </w:r>
          </w:p>
        </w:tc>
        <w:tc>
          <w:tcPr>
            <w:tcW w:w="1104" w:type="pct"/>
            <w:vAlign w:val="center"/>
            <w:hideMark/>
          </w:tcPr>
          <w:p w14:paraId="2D37D4CC" w14:textId="77777777" w:rsidR="00526FE9" w:rsidRPr="008762D1" w:rsidRDefault="00526FE9" w:rsidP="00427C5C">
            <w:pPr>
              <w:spacing w:line="276" w:lineRule="auto"/>
              <w:jc w:val="center"/>
              <w:rPr>
                <w:rFonts w:ascii="ITC Avant Garde" w:hAnsi="ITC Avant Garde" w:cs="Arial"/>
                <w:b/>
                <w:color w:val="000000" w:themeColor="text1"/>
                <w:spacing w:val="1"/>
                <w:w w:val="74"/>
                <w:sz w:val="18"/>
                <w:szCs w:val="18"/>
              </w:rPr>
            </w:pPr>
            <w:r w:rsidRPr="008762D1">
              <w:rPr>
                <w:rFonts w:ascii="ITC Avant Garde" w:hAnsi="ITC Avant Garde" w:cs="Arial"/>
                <w:b/>
                <w:color w:val="000000" w:themeColor="text1"/>
                <w:spacing w:val="1"/>
                <w:w w:val="74"/>
                <w:sz w:val="18"/>
                <w:szCs w:val="18"/>
              </w:rPr>
              <w:t>Red de Transito</w:t>
            </w:r>
          </w:p>
        </w:tc>
        <w:tc>
          <w:tcPr>
            <w:tcW w:w="1103" w:type="pct"/>
            <w:vAlign w:val="center"/>
            <w:hideMark/>
          </w:tcPr>
          <w:p w14:paraId="51EB5E0A" w14:textId="77777777" w:rsidR="00526FE9" w:rsidRPr="008762D1" w:rsidRDefault="00526FE9" w:rsidP="00427C5C">
            <w:pPr>
              <w:spacing w:line="276" w:lineRule="auto"/>
              <w:jc w:val="center"/>
              <w:rPr>
                <w:rFonts w:ascii="ITC Avant Garde" w:hAnsi="ITC Avant Garde" w:cs="Arial"/>
                <w:b/>
                <w:color w:val="000000" w:themeColor="text1"/>
                <w:spacing w:val="1"/>
                <w:w w:val="74"/>
                <w:sz w:val="18"/>
                <w:szCs w:val="18"/>
              </w:rPr>
            </w:pPr>
            <w:r w:rsidRPr="008762D1">
              <w:rPr>
                <w:rFonts w:ascii="ITC Avant Garde" w:hAnsi="ITC Avant Garde" w:cs="Arial"/>
                <w:b/>
                <w:color w:val="000000" w:themeColor="text1"/>
                <w:spacing w:val="1"/>
                <w:w w:val="74"/>
                <w:sz w:val="18"/>
                <w:szCs w:val="18"/>
              </w:rPr>
              <w:t>Red de Destino</w:t>
            </w:r>
          </w:p>
        </w:tc>
      </w:tr>
      <w:tr w:rsidR="00427C5C" w:rsidRPr="008762D1" w14:paraId="3351AA92" w14:textId="77777777" w:rsidTr="00427C5C">
        <w:trPr>
          <w:trHeight w:val="283"/>
        </w:trPr>
        <w:tc>
          <w:tcPr>
            <w:tcW w:w="718" w:type="pct"/>
            <w:hideMark/>
          </w:tcPr>
          <w:p w14:paraId="4AE5FDCC"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Local</w:t>
            </w:r>
          </w:p>
        </w:tc>
        <w:tc>
          <w:tcPr>
            <w:tcW w:w="468" w:type="pct"/>
            <w:gridSpan w:val="2"/>
            <w:hideMark/>
          </w:tcPr>
          <w:p w14:paraId="744662E2"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EQLLP</w:t>
            </w:r>
          </w:p>
        </w:tc>
        <w:tc>
          <w:tcPr>
            <w:tcW w:w="504" w:type="pct"/>
            <w:hideMark/>
          </w:tcPr>
          <w:p w14:paraId="4B4C67E5"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4D3A9654"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IDD+IDO+044+NN</w:t>
            </w:r>
          </w:p>
        </w:tc>
        <w:tc>
          <w:tcPr>
            <w:tcW w:w="1104" w:type="pct"/>
            <w:hideMark/>
          </w:tcPr>
          <w:p w14:paraId="5BA6020F"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IDD+IDO+044+NN</w:t>
            </w:r>
          </w:p>
        </w:tc>
        <w:tc>
          <w:tcPr>
            <w:tcW w:w="1103" w:type="pct"/>
          </w:tcPr>
          <w:p w14:paraId="0AA9E8B9" w14:textId="200215E3"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IDD+IDO+044+NN</w:t>
            </w:r>
          </w:p>
        </w:tc>
      </w:tr>
      <w:tr w:rsidR="00427C5C" w:rsidRPr="008762D1" w14:paraId="0FA1D04C" w14:textId="77777777" w:rsidTr="00427C5C">
        <w:trPr>
          <w:trHeight w:val="283"/>
        </w:trPr>
        <w:tc>
          <w:tcPr>
            <w:tcW w:w="0" w:type="auto"/>
            <w:hideMark/>
          </w:tcPr>
          <w:p w14:paraId="5F0960B4" w14:textId="79774BFA"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Local</w:t>
            </w:r>
          </w:p>
        </w:tc>
        <w:tc>
          <w:tcPr>
            <w:tcW w:w="0" w:type="auto"/>
            <w:gridSpan w:val="2"/>
            <w:hideMark/>
          </w:tcPr>
          <w:p w14:paraId="05CFC60A" w14:textId="70AA9BDF"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EQLLP</w:t>
            </w:r>
          </w:p>
        </w:tc>
        <w:tc>
          <w:tcPr>
            <w:tcW w:w="504" w:type="pct"/>
            <w:hideMark/>
          </w:tcPr>
          <w:p w14:paraId="0EED2FA6"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3C49A7C1" w14:textId="6A13CCE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IDD+IDO+044+NN</w:t>
            </w:r>
          </w:p>
        </w:tc>
        <w:tc>
          <w:tcPr>
            <w:tcW w:w="1104" w:type="pct"/>
            <w:hideMark/>
          </w:tcPr>
          <w:p w14:paraId="70B576A5"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IDD+IDO+044+NN</w:t>
            </w:r>
          </w:p>
        </w:tc>
        <w:tc>
          <w:tcPr>
            <w:tcW w:w="1103" w:type="pct"/>
            <w:hideMark/>
          </w:tcPr>
          <w:p w14:paraId="7C95887B"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IDD+IDO+044+NN</w:t>
            </w:r>
          </w:p>
        </w:tc>
      </w:tr>
      <w:tr w:rsidR="00427C5C" w:rsidRPr="008762D1" w14:paraId="11047A27" w14:textId="77777777" w:rsidTr="00427C5C">
        <w:trPr>
          <w:trHeight w:val="283"/>
        </w:trPr>
        <w:tc>
          <w:tcPr>
            <w:tcW w:w="0" w:type="auto"/>
            <w:hideMark/>
          </w:tcPr>
          <w:p w14:paraId="4DC09F97" w14:textId="4ADC6B1C"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Local</w:t>
            </w:r>
          </w:p>
        </w:tc>
        <w:tc>
          <w:tcPr>
            <w:tcW w:w="468" w:type="pct"/>
            <w:gridSpan w:val="2"/>
            <w:hideMark/>
          </w:tcPr>
          <w:p w14:paraId="71B75598"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EQRP</w:t>
            </w:r>
          </w:p>
        </w:tc>
        <w:tc>
          <w:tcPr>
            <w:tcW w:w="504" w:type="pct"/>
            <w:hideMark/>
          </w:tcPr>
          <w:p w14:paraId="215B9E15"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52CC5AD4"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c>
          <w:tcPr>
            <w:tcW w:w="1104" w:type="pct"/>
            <w:hideMark/>
          </w:tcPr>
          <w:p w14:paraId="04C550A2"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c>
          <w:tcPr>
            <w:tcW w:w="1103" w:type="pct"/>
          </w:tcPr>
          <w:p w14:paraId="20B3139F" w14:textId="47AB9DA8"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r>
      <w:tr w:rsidR="00427C5C" w:rsidRPr="008762D1" w14:paraId="1F8E722F" w14:textId="77777777" w:rsidTr="00427C5C">
        <w:trPr>
          <w:trHeight w:val="283"/>
        </w:trPr>
        <w:tc>
          <w:tcPr>
            <w:tcW w:w="0" w:type="auto"/>
            <w:hideMark/>
          </w:tcPr>
          <w:p w14:paraId="73CEF744" w14:textId="7864CC08"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Local</w:t>
            </w:r>
          </w:p>
        </w:tc>
        <w:tc>
          <w:tcPr>
            <w:tcW w:w="0" w:type="auto"/>
            <w:gridSpan w:val="2"/>
            <w:hideMark/>
          </w:tcPr>
          <w:p w14:paraId="65F0E862" w14:textId="4DF43987"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EQRP</w:t>
            </w:r>
          </w:p>
        </w:tc>
        <w:tc>
          <w:tcPr>
            <w:tcW w:w="504" w:type="pct"/>
            <w:hideMark/>
          </w:tcPr>
          <w:p w14:paraId="660FDB08"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09529D2C" w14:textId="2B62DAF2"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c>
          <w:tcPr>
            <w:tcW w:w="1104" w:type="pct"/>
            <w:hideMark/>
          </w:tcPr>
          <w:p w14:paraId="41645D9A"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c>
          <w:tcPr>
            <w:tcW w:w="1103" w:type="pct"/>
            <w:hideMark/>
          </w:tcPr>
          <w:p w14:paraId="4267B4C3"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r>
      <w:tr w:rsidR="00427C5C" w:rsidRPr="008762D1" w14:paraId="72D97E2E" w14:textId="77777777" w:rsidTr="00427C5C">
        <w:trPr>
          <w:trHeight w:val="283"/>
        </w:trPr>
        <w:tc>
          <w:tcPr>
            <w:tcW w:w="0" w:type="auto"/>
            <w:hideMark/>
          </w:tcPr>
          <w:p w14:paraId="36BF4AA5" w14:textId="0505FF05"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Local</w:t>
            </w:r>
          </w:p>
        </w:tc>
        <w:tc>
          <w:tcPr>
            <w:tcW w:w="468" w:type="pct"/>
            <w:gridSpan w:val="2"/>
            <w:hideMark/>
          </w:tcPr>
          <w:p w14:paraId="639F600D"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FIJO</w:t>
            </w:r>
          </w:p>
        </w:tc>
        <w:tc>
          <w:tcPr>
            <w:tcW w:w="504" w:type="pct"/>
            <w:hideMark/>
          </w:tcPr>
          <w:p w14:paraId="7434B0D4"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2470BA9D"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c>
          <w:tcPr>
            <w:tcW w:w="1104" w:type="pct"/>
            <w:hideMark/>
          </w:tcPr>
          <w:p w14:paraId="13B3EDC8"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c>
          <w:tcPr>
            <w:tcW w:w="1103" w:type="pct"/>
          </w:tcPr>
          <w:p w14:paraId="78B5D5D6" w14:textId="480DE926"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r>
      <w:tr w:rsidR="00427C5C" w:rsidRPr="008762D1" w14:paraId="59E99EC8" w14:textId="77777777" w:rsidTr="00427C5C">
        <w:trPr>
          <w:trHeight w:val="283"/>
        </w:trPr>
        <w:tc>
          <w:tcPr>
            <w:tcW w:w="0" w:type="auto"/>
            <w:hideMark/>
          </w:tcPr>
          <w:p w14:paraId="1CCAAC44" w14:textId="67F1FCAF"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Local</w:t>
            </w:r>
          </w:p>
        </w:tc>
        <w:tc>
          <w:tcPr>
            <w:tcW w:w="0" w:type="auto"/>
            <w:gridSpan w:val="2"/>
            <w:hideMark/>
          </w:tcPr>
          <w:p w14:paraId="263F626E" w14:textId="4977AF99"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FIJO</w:t>
            </w:r>
          </w:p>
        </w:tc>
        <w:tc>
          <w:tcPr>
            <w:tcW w:w="504" w:type="pct"/>
            <w:hideMark/>
          </w:tcPr>
          <w:p w14:paraId="68AFD280"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3C2B6FB6" w14:textId="0345BC19"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c>
          <w:tcPr>
            <w:tcW w:w="1104" w:type="pct"/>
            <w:hideMark/>
          </w:tcPr>
          <w:p w14:paraId="69697294"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c>
          <w:tcPr>
            <w:tcW w:w="1103" w:type="pct"/>
            <w:hideMark/>
          </w:tcPr>
          <w:p w14:paraId="0D5D9353"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IDO + NN</w:t>
            </w:r>
          </w:p>
        </w:tc>
      </w:tr>
      <w:tr w:rsidR="00427C5C" w:rsidRPr="008762D1" w14:paraId="521A9EAA" w14:textId="77777777" w:rsidTr="00427C5C">
        <w:trPr>
          <w:trHeight w:val="283"/>
        </w:trPr>
        <w:tc>
          <w:tcPr>
            <w:tcW w:w="718" w:type="pct"/>
            <w:hideMark/>
          </w:tcPr>
          <w:p w14:paraId="727D515E"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Nacional</w:t>
            </w:r>
          </w:p>
        </w:tc>
        <w:tc>
          <w:tcPr>
            <w:tcW w:w="468" w:type="pct"/>
            <w:gridSpan w:val="2"/>
            <w:hideMark/>
          </w:tcPr>
          <w:p w14:paraId="4CA786DF"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EQLLP</w:t>
            </w:r>
          </w:p>
        </w:tc>
        <w:tc>
          <w:tcPr>
            <w:tcW w:w="504" w:type="pct"/>
            <w:hideMark/>
          </w:tcPr>
          <w:p w14:paraId="51EDFF70"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326D5124"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IDD+BCD+045+NN</w:t>
            </w:r>
          </w:p>
        </w:tc>
        <w:tc>
          <w:tcPr>
            <w:tcW w:w="1104" w:type="pct"/>
            <w:hideMark/>
          </w:tcPr>
          <w:p w14:paraId="26CEA9AC"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IDD+BCD+045+NN</w:t>
            </w:r>
          </w:p>
        </w:tc>
        <w:tc>
          <w:tcPr>
            <w:tcW w:w="1103" w:type="pct"/>
          </w:tcPr>
          <w:p w14:paraId="614FEBEC" w14:textId="192B14F3"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IDD+BCD+045+NN</w:t>
            </w:r>
          </w:p>
        </w:tc>
      </w:tr>
      <w:tr w:rsidR="00427C5C" w:rsidRPr="008762D1" w14:paraId="49B2D829" w14:textId="77777777" w:rsidTr="00427C5C">
        <w:trPr>
          <w:trHeight w:val="283"/>
        </w:trPr>
        <w:tc>
          <w:tcPr>
            <w:tcW w:w="0" w:type="auto"/>
            <w:hideMark/>
          </w:tcPr>
          <w:p w14:paraId="6245C91B" w14:textId="48308D35"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Nacional</w:t>
            </w:r>
          </w:p>
        </w:tc>
        <w:tc>
          <w:tcPr>
            <w:tcW w:w="0" w:type="auto"/>
            <w:gridSpan w:val="2"/>
            <w:hideMark/>
          </w:tcPr>
          <w:p w14:paraId="2A40F97C" w14:textId="09A5F722"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EQLLP</w:t>
            </w:r>
          </w:p>
        </w:tc>
        <w:tc>
          <w:tcPr>
            <w:tcW w:w="504" w:type="pct"/>
            <w:hideMark/>
          </w:tcPr>
          <w:p w14:paraId="19AFDA5F"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0A593D91" w14:textId="3778C218"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IDD+BCD+045+NN</w:t>
            </w:r>
          </w:p>
        </w:tc>
        <w:tc>
          <w:tcPr>
            <w:tcW w:w="1104" w:type="pct"/>
            <w:hideMark/>
          </w:tcPr>
          <w:p w14:paraId="1C9B88FE"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IDD+BCD+045+NN</w:t>
            </w:r>
          </w:p>
        </w:tc>
        <w:tc>
          <w:tcPr>
            <w:tcW w:w="1103" w:type="pct"/>
            <w:hideMark/>
          </w:tcPr>
          <w:p w14:paraId="15E33D49"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IDD+BCD+045+NN</w:t>
            </w:r>
          </w:p>
        </w:tc>
      </w:tr>
      <w:tr w:rsidR="00427C5C" w:rsidRPr="008762D1" w14:paraId="26BF039B" w14:textId="77777777" w:rsidTr="00427C5C">
        <w:trPr>
          <w:trHeight w:val="283"/>
        </w:trPr>
        <w:tc>
          <w:tcPr>
            <w:tcW w:w="0" w:type="auto"/>
            <w:hideMark/>
          </w:tcPr>
          <w:p w14:paraId="6D1B7109" w14:textId="667A0465"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Nacional</w:t>
            </w:r>
          </w:p>
        </w:tc>
        <w:tc>
          <w:tcPr>
            <w:tcW w:w="468" w:type="pct"/>
            <w:gridSpan w:val="2"/>
            <w:hideMark/>
          </w:tcPr>
          <w:p w14:paraId="50CC65CC"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EQRP</w:t>
            </w:r>
          </w:p>
        </w:tc>
        <w:tc>
          <w:tcPr>
            <w:tcW w:w="504" w:type="pct"/>
            <w:hideMark/>
          </w:tcPr>
          <w:p w14:paraId="4C6A22F1"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1ECB5D9B"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4" w:type="pct"/>
            <w:hideMark/>
          </w:tcPr>
          <w:p w14:paraId="7AD2C5EB"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3" w:type="pct"/>
          </w:tcPr>
          <w:p w14:paraId="02FFB492" w14:textId="11952AA1"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427C5C" w:rsidRPr="008762D1" w14:paraId="1749D156" w14:textId="77777777" w:rsidTr="00427C5C">
        <w:trPr>
          <w:trHeight w:val="283"/>
        </w:trPr>
        <w:tc>
          <w:tcPr>
            <w:tcW w:w="0" w:type="auto"/>
            <w:hideMark/>
          </w:tcPr>
          <w:p w14:paraId="08FA1E7E" w14:textId="1D407FF4"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Nacional</w:t>
            </w:r>
          </w:p>
        </w:tc>
        <w:tc>
          <w:tcPr>
            <w:tcW w:w="0" w:type="auto"/>
            <w:gridSpan w:val="2"/>
            <w:hideMark/>
          </w:tcPr>
          <w:p w14:paraId="7E706F55" w14:textId="4E7980F7"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EQRP</w:t>
            </w:r>
          </w:p>
        </w:tc>
        <w:tc>
          <w:tcPr>
            <w:tcW w:w="504" w:type="pct"/>
            <w:hideMark/>
          </w:tcPr>
          <w:p w14:paraId="3A6C0C7C"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5E27CD95" w14:textId="57C1A483"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4" w:type="pct"/>
            <w:hideMark/>
          </w:tcPr>
          <w:p w14:paraId="3806B37B"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3" w:type="pct"/>
            <w:hideMark/>
          </w:tcPr>
          <w:p w14:paraId="7420542A"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427C5C" w:rsidRPr="008762D1" w14:paraId="02D7CF5F" w14:textId="77777777" w:rsidTr="00427C5C">
        <w:trPr>
          <w:trHeight w:val="283"/>
        </w:trPr>
        <w:tc>
          <w:tcPr>
            <w:tcW w:w="0" w:type="auto"/>
            <w:hideMark/>
          </w:tcPr>
          <w:p w14:paraId="05F0904F" w14:textId="720774CC"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Nacional</w:t>
            </w:r>
          </w:p>
        </w:tc>
        <w:tc>
          <w:tcPr>
            <w:tcW w:w="468" w:type="pct"/>
            <w:gridSpan w:val="2"/>
            <w:hideMark/>
          </w:tcPr>
          <w:p w14:paraId="78DCE5C9"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FIJO</w:t>
            </w:r>
          </w:p>
        </w:tc>
        <w:tc>
          <w:tcPr>
            <w:tcW w:w="504" w:type="pct"/>
            <w:hideMark/>
          </w:tcPr>
          <w:p w14:paraId="4D684DF9"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35843056"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4" w:type="pct"/>
            <w:hideMark/>
          </w:tcPr>
          <w:p w14:paraId="2B3F15C8"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3" w:type="pct"/>
          </w:tcPr>
          <w:p w14:paraId="2E335886" w14:textId="25CD452E"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427C5C" w:rsidRPr="008762D1" w14:paraId="24D84EC4" w14:textId="77777777" w:rsidTr="00427C5C">
        <w:trPr>
          <w:trHeight w:val="283"/>
        </w:trPr>
        <w:tc>
          <w:tcPr>
            <w:tcW w:w="0" w:type="auto"/>
            <w:hideMark/>
          </w:tcPr>
          <w:p w14:paraId="2C3B15F4" w14:textId="3D9647AF"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Nacional</w:t>
            </w:r>
          </w:p>
        </w:tc>
        <w:tc>
          <w:tcPr>
            <w:tcW w:w="0" w:type="auto"/>
            <w:gridSpan w:val="2"/>
            <w:hideMark/>
          </w:tcPr>
          <w:p w14:paraId="71C5EC16" w14:textId="4948D0DA"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FIJO</w:t>
            </w:r>
          </w:p>
        </w:tc>
        <w:tc>
          <w:tcPr>
            <w:tcW w:w="504" w:type="pct"/>
            <w:hideMark/>
          </w:tcPr>
          <w:p w14:paraId="50FEEC8C"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5EC587B5" w14:textId="25CC9D8D"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4" w:type="pct"/>
            <w:hideMark/>
          </w:tcPr>
          <w:p w14:paraId="5AF40438"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3" w:type="pct"/>
            <w:hideMark/>
          </w:tcPr>
          <w:p w14:paraId="5E52AD89"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427C5C" w:rsidRPr="008762D1" w14:paraId="433EB463" w14:textId="77777777" w:rsidTr="00427C5C">
        <w:trPr>
          <w:trHeight w:val="283"/>
        </w:trPr>
        <w:tc>
          <w:tcPr>
            <w:tcW w:w="718" w:type="pct"/>
            <w:hideMark/>
          </w:tcPr>
          <w:p w14:paraId="1952818F"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LD Internacional /Mundial</w:t>
            </w:r>
          </w:p>
        </w:tc>
        <w:tc>
          <w:tcPr>
            <w:tcW w:w="468" w:type="pct"/>
            <w:gridSpan w:val="2"/>
            <w:hideMark/>
          </w:tcPr>
          <w:p w14:paraId="0D4101F3"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EQLLP</w:t>
            </w:r>
          </w:p>
        </w:tc>
        <w:tc>
          <w:tcPr>
            <w:tcW w:w="504" w:type="pct"/>
            <w:hideMark/>
          </w:tcPr>
          <w:p w14:paraId="11F48732"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6CF33A51"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IDD+BCD+1+ NN</w:t>
            </w:r>
          </w:p>
        </w:tc>
        <w:tc>
          <w:tcPr>
            <w:tcW w:w="1104" w:type="pct"/>
            <w:hideMark/>
          </w:tcPr>
          <w:p w14:paraId="4A111542"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+BCD +1 +NN</w:t>
            </w:r>
          </w:p>
        </w:tc>
        <w:tc>
          <w:tcPr>
            <w:tcW w:w="1103" w:type="pct"/>
          </w:tcPr>
          <w:p w14:paraId="0C696B1B" w14:textId="019A30BF"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+ 1 +NN</w:t>
            </w:r>
          </w:p>
        </w:tc>
      </w:tr>
      <w:tr w:rsidR="00427C5C" w:rsidRPr="008762D1" w14:paraId="08C844EB" w14:textId="77777777" w:rsidTr="00427C5C">
        <w:trPr>
          <w:trHeight w:val="283"/>
        </w:trPr>
        <w:tc>
          <w:tcPr>
            <w:tcW w:w="0" w:type="auto"/>
            <w:hideMark/>
          </w:tcPr>
          <w:p w14:paraId="579B220A" w14:textId="08FB6FB8"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LD Internacional /Mundial</w:t>
            </w:r>
          </w:p>
        </w:tc>
        <w:tc>
          <w:tcPr>
            <w:tcW w:w="0" w:type="auto"/>
            <w:gridSpan w:val="2"/>
            <w:hideMark/>
          </w:tcPr>
          <w:p w14:paraId="7575BEEF" w14:textId="30F98B02"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EQLLP</w:t>
            </w:r>
          </w:p>
        </w:tc>
        <w:tc>
          <w:tcPr>
            <w:tcW w:w="504" w:type="pct"/>
            <w:hideMark/>
          </w:tcPr>
          <w:p w14:paraId="412AC6D8"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211B153A" w14:textId="55D0E2D8"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IDD+BCD+1+ NN</w:t>
            </w:r>
          </w:p>
        </w:tc>
        <w:tc>
          <w:tcPr>
            <w:tcW w:w="1104" w:type="pct"/>
            <w:hideMark/>
          </w:tcPr>
          <w:p w14:paraId="270A13DC"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+BCD +1 +NN</w:t>
            </w:r>
          </w:p>
        </w:tc>
        <w:tc>
          <w:tcPr>
            <w:tcW w:w="1103" w:type="pct"/>
            <w:hideMark/>
          </w:tcPr>
          <w:p w14:paraId="48A8A4D4"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+ 1 +NN</w:t>
            </w:r>
          </w:p>
        </w:tc>
      </w:tr>
      <w:tr w:rsidR="00427C5C" w:rsidRPr="008762D1" w14:paraId="044FB8D8" w14:textId="77777777" w:rsidTr="00427C5C">
        <w:trPr>
          <w:trHeight w:val="283"/>
        </w:trPr>
        <w:tc>
          <w:tcPr>
            <w:tcW w:w="0" w:type="auto"/>
            <w:hideMark/>
          </w:tcPr>
          <w:p w14:paraId="06088E11" w14:textId="03E293AF"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LD Internacional /Mundial</w:t>
            </w:r>
          </w:p>
        </w:tc>
        <w:tc>
          <w:tcPr>
            <w:tcW w:w="468" w:type="pct"/>
            <w:gridSpan w:val="2"/>
            <w:hideMark/>
          </w:tcPr>
          <w:p w14:paraId="113ED97A"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EQRP</w:t>
            </w:r>
          </w:p>
        </w:tc>
        <w:tc>
          <w:tcPr>
            <w:tcW w:w="504" w:type="pct"/>
            <w:hideMark/>
          </w:tcPr>
          <w:p w14:paraId="3329D2BF"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6686B06B"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4" w:type="pct"/>
            <w:hideMark/>
          </w:tcPr>
          <w:p w14:paraId="582ADA34"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3" w:type="pct"/>
          </w:tcPr>
          <w:p w14:paraId="7F01D4DA" w14:textId="5011DBE6"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427C5C" w:rsidRPr="008762D1" w14:paraId="7BA7FE5C" w14:textId="77777777" w:rsidTr="00427C5C">
        <w:trPr>
          <w:trHeight w:val="283"/>
        </w:trPr>
        <w:tc>
          <w:tcPr>
            <w:tcW w:w="0" w:type="auto"/>
            <w:hideMark/>
          </w:tcPr>
          <w:p w14:paraId="0172DD83" w14:textId="397E4934"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LD Internacional /Mundial</w:t>
            </w:r>
          </w:p>
        </w:tc>
        <w:tc>
          <w:tcPr>
            <w:tcW w:w="0" w:type="auto"/>
            <w:gridSpan w:val="2"/>
            <w:hideMark/>
          </w:tcPr>
          <w:p w14:paraId="2EA8900E" w14:textId="3CCB2815"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EQRP</w:t>
            </w:r>
          </w:p>
        </w:tc>
        <w:tc>
          <w:tcPr>
            <w:tcW w:w="504" w:type="pct"/>
            <w:hideMark/>
          </w:tcPr>
          <w:p w14:paraId="13AB3C09"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2B2AE72C" w14:textId="5DA04CDF"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4" w:type="pct"/>
            <w:hideMark/>
          </w:tcPr>
          <w:p w14:paraId="27F3402A"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3" w:type="pct"/>
            <w:hideMark/>
          </w:tcPr>
          <w:p w14:paraId="39F15DCB"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427C5C" w:rsidRPr="008762D1" w14:paraId="35A3234E" w14:textId="77777777" w:rsidTr="00427C5C">
        <w:trPr>
          <w:trHeight w:val="283"/>
        </w:trPr>
        <w:tc>
          <w:tcPr>
            <w:tcW w:w="0" w:type="auto"/>
            <w:hideMark/>
          </w:tcPr>
          <w:p w14:paraId="76D60E33" w14:textId="26484298"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LD Internacional /Mundial</w:t>
            </w:r>
          </w:p>
        </w:tc>
        <w:tc>
          <w:tcPr>
            <w:tcW w:w="468" w:type="pct"/>
            <w:gridSpan w:val="2"/>
            <w:hideMark/>
          </w:tcPr>
          <w:p w14:paraId="0CEBA142"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FIJO</w:t>
            </w:r>
          </w:p>
        </w:tc>
        <w:tc>
          <w:tcPr>
            <w:tcW w:w="504" w:type="pct"/>
            <w:hideMark/>
          </w:tcPr>
          <w:p w14:paraId="469615A7"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06C975BF"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4" w:type="pct"/>
            <w:hideMark/>
          </w:tcPr>
          <w:p w14:paraId="79B6DE33"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3" w:type="pct"/>
          </w:tcPr>
          <w:p w14:paraId="7777451B" w14:textId="130ECB36"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427C5C" w:rsidRPr="008762D1" w14:paraId="2EFEF959" w14:textId="77777777" w:rsidTr="00427C5C">
        <w:trPr>
          <w:trHeight w:val="283"/>
        </w:trPr>
        <w:tc>
          <w:tcPr>
            <w:tcW w:w="0" w:type="auto"/>
            <w:hideMark/>
          </w:tcPr>
          <w:p w14:paraId="4E8E42F9" w14:textId="14FB90BC"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LD Internacional /Mundial</w:t>
            </w:r>
          </w:p>
        </w:tc>
        <w:tc>
          <w:tcPr>
            <w:tcW w:w="0" w:type="auto"/>
            <w:gridSpan w:val="2"/>
            <w:hideMark/>
          </w:tcPr>
          <w:p w14:paraId="42AC29EA" w14:textId="11EC4B93" w:rsidR="00427C5C" w:rsidRPr="008762D1" w:rsidRDefault="00427C5C" w:rsidP="00427C5C">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FIJO</w:t>
            </w:r>
          </w:p>
        </w:tc>
        <w:tc>
          <w:tcPr>
            <w:tcW w:w="504" w:type="pct"/>
            <w:hideMark/>
          </w:tcPr>
          <w:p w14:paraId="61D0DF94"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251E2E59" w14:textId="7212D64C"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4" w:type="pct"/>
            <w:hideMark/>
          </w:tcPr>
          <w:p w14:paraId="11E4D04C"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c>
          <w:tcPr>
            <w:tcW w:w="1103" w:type="pct"/>
            <w:hideMark/>
          </w:tcPr>
          <w:p w14:paraId="12179D6C" w14:textId="77777777" w:rsidR="00427C5C" w:rsidRPr="008762D1" w:rsidRDefault="00427C5C" w:rsidP="00427C5C">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IDD + BCD + NN</w:t>
            </w:r>
          </w:p>
        </w:tc>
      </w:tr>
      <w:tr w:rsidR="003A2CD2" w:rsidRPr="008762D1" w14:paraId="608A8921" w14:textId="77777777" w:rsidTr="003A2CD2">
        <w:trPr>
          <w:trHeight w:val="315"/>
        </w:trPr>
        <w:tc>
          <w:tcPr>
            <w:tcW w:w="1050" w:type="pct"/>
            <w:gridSpan w:val="2"/>
            <w:tcBorders>
              <w:right w:val="nil"/>
            </w:tcBorders>
            <w:hideMark/>
          </w:tcPr>
          <w:p w14:paraId="1D13D48B"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lastRenderedPageBreak/>
              <w:t>Llamadas de cobro revertido</w:t>
            </w:r>
          </w:p>
        </w:tc>
        <w:tc>
          <w:tcPr>
            <w:tcW w:w="136" w:type="pct"/>
            <w:tcBorders>
              <w:left w:val="nil"/>
              <w:bottom w:val="single" w:sz="4" w:space="0" w:color="auto"/>
            </w:tcBorders>
          </w:tcPr>
          <w:p w14:paraId="06B09F41" w14:textId="63E681F1" w:rsidR="003A2CD2" w:rsidRPr="008762D1" w:rsidRDefault="003A2CD2" w:rsidP="003A2CD2">
            <w:pPr>
              <w:spacing w:line="276" w:lineRule="auto"/>
              <w:rPr>
                <w:rFonts w:ascii="ITC Avant Garde" w:hAnsi="ITC Avant Garde" w:cs="Arial"/>
                <w:color w:val="000000" w:themeColor="text1"/>
                <w:w w:val="107"/>
                <w:sz w:val="18"/>
                <w:szCs w:val="18"/>
              </w:rPr>
            </w:pPr>
          </w:p>
        </w:tc>
        <w:tc>
          <w:tcPr>
            <w:tcW w:w="504" w:type="pct"/>
            <w:hideMark/>
          </w:tcPr>
          <w:p w14:paraId="40DA44E0"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10910B10"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01+ABC+IDO+800+7D</w:t>
            </w:r>
          </w:p>
        </w:tc>
        <w:tc>
          <w:tcPr>
            <w:tcW w:w="1104" w:type="pct"/>
            <w:hideMark/>
          </w:tcPr>
          <w:p w14:paraId="27621571"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01+ABC+IDO+800+7D</w:t>
            </w:r>
          </w:p>
        </w:tc>
        <w:tc>
          <w:tcPr>
            <w:tcW w:w="1103" w:type="pct"/>
          </w:tcPr>
          <w:p w14:paraId="78DD6577" w14:textId="6E12B295"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01+ABC+IDO+800+7D</w:t>
            </w:r>
          </w:p>
        </w:tc>
      </w:tr>
      <w:tr w:rsidR="003A2CD2" w:rsidRPr="008762D1" w14:paraId="0990A18E" w14:textId="77777777" w:rsidTr="003A2CD2">
        <w:trPr>
          <w:trHeight w:val="199"/>
        </w:trPr>
        <w:tc>
          <w:tcPr>
            <w:tcW w:w="1050" w:type="pct"/>
            <w:gridSpan w:val="2"/>
            <w:tcBorders>
              <w:right w:val="nil"/>
            </w:tcBorders>
            <w:hideMark/>
          </w:tcPr>
          <w:p w14:paraId="0A75CA82" w14:textId="1E7A988F" w:rsidR="003A2CD2" w:rsidRPr="008762D1" w:rsidRDefault="003A2CD2" w:rsidP="003A2CD2">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Llamadas de cobro revertido</w:t>
            </w:r>
          </w:p>
        </w:tc>
        <w:tc>
          <w:tcPr>
            <w:tcW w:w="136" w:type="pct"/>
            <w:tcBorders>
              <w:left w:val="nil"/>
              <w:bottom w:val="single" w:sz="4" w:space="0" w:color="auto"/>
            </w:tcBorders>
          </w:tcPr>
          <w:p w14:paraId="3DBB9D6A" w14:textId="4430428C" w:rsidR="003A2CD2" w:rsidRPr="008762D1" w:rsidRDefault="003A2CD2" w:rsidP="003A2CD2">
            <w:pPr>
              <w:rPr>
                <w:rFonts w:ascii="ITC Avant Garde" w:hAnsi="ITC Avant Garde" w:cs="Arial"/>
                <w:color w:val="000000" w:themeColor="text1"/>
                <w:w w:val="107"/>
                <w:sz w:val="18"/>
                <w:szCs w:val="18"/>
                <w:lang w:val="es-ES"/>
              </w:rPr>
            </w:pPr>
          </w:p>
        </w:tc>
        <w:tc>
          <w:tcPr>
            <w:tcW w:w="504" w:type="pct"/>
            <w:hideMark/>
          </w:tcPr>
          <w:p w14:paraId="6192D0F6"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586744F5" w14:textId="557CBE70"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01+ABC+IDO+800+7D</w:t>
            </w:r>
          </w:p>
        </w:tc>
        <w:tc>
          <w:tcPr>
            <w:tcW w:w="1104" w:type="pct"/>
            <w:hideMark/>
          </w:tcPr>
          <w:p w14:paraId="0CCD51CF"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01+ABC+IDO+800+7D</w:t>
            </w:r>
          </w:p>
        </w:tc>
        <w:tc>
          <w:tcPr>
            <w:tcW w:w="1103" w:type="pct"/>
            <w:hideMark/>
          </w:tcPr>
          <w:p w14:paraId="3BC82DC5"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01+ABC+IDO+800+7D</w:t>
            </w:r>
          </w:p>
        </w:tc>
      </w:tr>
      <w:tr w:rsidR="003A2CD2" w:rsidRPr="008762D1" w14:paraId="295F052F" w14:textId="77777777" w:rsidTr="003A2CD2">
        <w:trPr>
          <w:trHeight w:val="300"/>
        </w:trPr>
        <w:tc>
          <w:tcPr>
            <w:tcW w:w="1050" w:type="pct"/>
            <w:gridSpan w:val="2"/>
            <w:tcBorders>
              <w:right w:val="nil"/>
            </w:tcBorders>
            <w:hideMark/>
          </w:tcPr>
          <w:p w14:paraId="099AAEC6"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Llamadas a Números 900</w:t>
            </w:r>
          </w:p>
        </w:tc>
        <w:tc>
          <w:tcPr>
            <w:tcW w:w="136" w:type="pct"/>
            <w:tcBorders>
              <w:left w:val="nil"/>
              <w:bottom w:val="single" w:sz="4" w:space="0" w:color="auto"/>
            </w:tcBorders>
          </w:tcPr>
          <w:p w14:paraId="0C9286E7" w14:textId="2E18D471" w:rsidR="003A2CD2" w:rsidRPr="008762D1" w:rsidRDefault="003A2CD2" w:rsidP="003A2CD2">
            <w:pPr>
              <w:spacing w:line="276" w:lineRule="auto"/>
              <w:rPr>
                <w:rFonts w:ascii="ITC Avant Garde" w:hAnsi="ITC Avant Garde" w:cs="Arial"/>
                <w:color w:val="000000" w:themeColor="text1"/>
                <w:w w:val="107"/>
                <w:sz w:val="18"/>
                <w:szCs w:val="18"/>
              </w:rPr>
            </w:pPr>
          </w:p>
        </w:tc>
        <w:tc>
          <w:tcPr>
            <w:tcW w:w="504" w:type="pct"/>
            <w:hideMark/>
          </w:tcPr>
          <w:p w14:paraId="6C4DF5E0"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Envía</w:t>
            </w:r>
          </w:p>
        </w:tc>
        <w:tc>
          <w:tcPr>
            <w:tcW w:w="1103" w:type="pct"/>
            <w:hideMark/>
          </w:tcPr>
          <w:p w14:paraId="05DE87CB"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01+ABC+IDO+900+7D</w:t>
            </w:r>
          </w:p>
        </w:tc>
        <w:tc>
          <w:tcPr>
            <w:tcW w:w="1104" w:type="pct"/>
            <w:hideMark/>
          </w:tcPr>
          <w:p w14:paraId="450C1C23"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01+ABC+IDO+900+7D</w:t>
            </w:r>
          </w:p>
        </w:tc>
        <w:tc>
          <w:tcPr>
            <w:tcW w:w="1103" w:type="pct"/>
          </w:tcPr>
          <w:p w14:paraId="7CA036B0" w14:textId="41A6A38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01+ABC+IDO+900+7D</w:t>
            </w:r>
          </w:p>
        </w:tc>
      </w:tr>
      <w:tr w:rsidR="003A2CD2" w:rsidRPr="008762D1" w14:paraId="174FEB30" w14:textId="77777777" w:rsidTr="003A2CD2">
        <w:trPr>
          <w:trHeight w:val="214"/>
        </w:trPr>
        <w:tc>
          <w:tcPr>
            <w:tcW w:w="1050" w:type="pct"/>
            <w:gridSpan w:val="2"/>
            <w:tcBorders>
              <w:right w:val="nil"/>
            </w:tcBorders>
            <w:hideMark/>
          </w:tcPr>
          <w:p w14:paraId="022705DE" w14:textId="02EFA68B" w:rsidR="003A2CD2" w:rsidRPr="008762D1" w:rsidRDefault="003A2CD2" w:rsidP="003A2CD2">
            <w:pPr>
              <w:rPr>
                <w:rFonts w:ascii="ITC Avant Garde" w:hAnsi="ITC Avant Garde" w:cs="Arial"/>
                <w:color w:val="000000" w:themeColor="text1"/>
                <w:w w:val="107"/>
                <w:sz w:val="18"/>
                <w:szCs w:val="18"/>
                <w:lang w:val="es-ES"/>
              </w:rPr>
            </w:pPr>
            <w:r w:rsidRPr="008762D1">
              <w:rPr>
                <w:rFonts w:ascii="ITC Avant Garde" w:hAnsi="ITC Avant Garde" w:cs="Arial"/>
                <w:color w:val="000000" w:themeColor="text1"/>
                <w:w w:val="107"/>
                <w:sz w:val="18"/>
                <w:szCs w:val="18"/>
              </w:rPr>
              <w:t>Llamadas a Números 900</w:t>
            </w:r>
          </w:p>
        </w:tc>
        <w:tc>
          <w:tcPr>
            <w:tcW w:w="136" w:type="pct"/>
            <w:tcBorders>
              <w:left w:val="nil"/>
            </w:tcBorders>
          </w:tcPr>
          <w:p w14:paraId="3D56B0AB" w14:textId="1DEC0275" w:rsidR="003A2CD2" w:rsidRPr="008762D1" w:rsidRDefault="003A2CD2" w:rsidP="003A2CD2">
            <w:pPr>
              <w:rPr>
                <w:rFonts w:ascii="ITC Avant Garde" w:hAnsi="ITC Avant Garde" w:cs="Arial"/>
                <w:color w:val="000000" w:themeColor="text1"/>
                <w:w w:val="107"/>
                <w:sz w:val="18"/>
                <w:szCs w:val="18"/>
                <w:lang w:val="es-ES"/>
              </w:rPr>
            </w:pPr>
          </w:p>
        </w:tc>
        <w:tc>
          <w:tcPr>
            <w:tcW w:w="504" w:type="pct"/>
            <w:hideMark/>
          </w:tcPr>
          <w:p w14:paraId="41C46CBC"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Recibe</w:t>
            </w:r>
          </w:p>
        </w:tc>
        <w:tc>
          <w:tcPr>
            <w:tcW w:w="1103" w:type="pct"/>
          </w:tcPr>
          <w:p w14:paraId="278C2F41" w14:textId="7BCEDAB5"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01+ABC+IDO+900+7D</w:t>
            </w:r>
          </w:p>
        </w:tc>
        <w:tc>
          <w:tcPr>
            <w:tcW w:w="1104" w:type="pct"/>
            <w:hideMark/>
          </w:tcPr>
          <w:p w14:paraId="47FDAAFA"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01+ABC+IDO+900+7D</w:t>
            </w:r>
          </w:p>
        </w:tc>
        <w:tc>
          <w:tcPr>
            <w:tcW w:w="1103" w:type="pct"/>
            <w:hideMark/>
          </w:tcPr>
          <w:p w14:paraId="699514E8" w14:textId="77777777" w:rsidR="003A2CD2" w:rsidRPr="008762D1" w:rsidRDefault="003A2CD2" w:rsidP="003A2CD2">
            <w:pPr>
              <w:spacing w:line="276" w:lineRule="auto"/>
              <w:rPr>
                <w:rFonts w:ascii="ITC Avant Garde" w:hAnsi="ITC Avant Garde" w:cs="Arial"/>
                <w:color w:val="000000" w:themeColor="text1"/>
                <w:w w:val="107"/>
                <w:sz w:val="18"/>
                <w:szCs w:val="18"/>
              </w:rPr>
            </w:pPr>
            <w:r w:rsidRPr="008762D1">
              <w:rPr>
                <w:rFonts w:ascii="ITC Avant Garde" w:hAnsi="ITC Avant Garde" w:cs="Arial"/>
                <w:color w:val="000000" w:themeColor="text1"/>
                <w:w w:val="107"/>
                <w:sz w:val="18"/>
                <w:szCs w:val="18"/>
              </w:rPr>
              <w:t>01+ABC+IDO+900+7D</w:t>
            </w:r>
          </w:p>
        </w:tc>
      </w:tr>
    </w:tbl>
    <w:p w14:paraId="6FFE6148" w14:textId="77777777"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sz w:val="20"/>
          <w:szCs w:val="20"/>
          <w:lang w:val="es-ES" w:eastAsia="es-ES"/>
        </w:rPr>
      </w:pPr>
      <w:r w:rsidRPr="008762D1">
        <w:rPr>
          <w:rFonts w:ascii="ITC Avant Garde" w:hAnsi="ITC Avant Garde" w:cs="Arial"/>
          <w:color w:val="000000" w:themeColor="text1"/>
          <w:sz w:val="20"/>
          <w:szCs w:val="20"/>
        </w:rPr>
        <w:t>NN = Numero Nacional</w:t>
      </w:r>
    </w:p>
    <w:p w14:paraId="0CE706FD" w14:textId="77777777"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Número Nacional = Número de Identificación de Región + Número Local</w:t>
      </w:r>
    </w:p>
    <w:p w14:paraId="1603C6E5" w14:textId="77777777"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Notas:</w:t>
      </w:r>
    </w:p>
    <w:p w14:paraId="29F1EE66" w14:textId="77777777" w:rsidR="00526FE9" w:rsidRPr="008762D1" w:rsidRDefault="00526FE9" w:rsidP="000F0B9F">
      <w:pPr>
        <w:numPr>
          <w:ilvl w:val="0"/>
          <w:numId w:val="37"/>
        </w:numPr>
        <w:autoSpaceDE w:val="0"/>
        <w:autoSpaceDN w:val="0"/>
        <w:adjustRightInd w:val="0"/>
        <w:spacing w:before="240" w:after="0" w:line="276" w:lineRule="auto"/>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 xml:space="preserve">El punto de interconexión en el cual se entregará este tipo de tráfico será el acordado entre los concesionarios </w:t>
      </w:r>
    </w:p>
    <w:p w14:paraId="4153832A" w14:textId="77777777" w:rsidR="00526FE9" w:rsidRPr="008762D1" w:rsidRDefault="00526FE9" w:rsidP="002945D4">
      <w:pPr>
        <w:numPr>
          <w:ilvl w:val="0"/>
          <w:numId w:val="37"/>
        </w:numPr>
        <w:autoSpaceDE w:val="0"/>
        <w:autoSpaceDN w:val="0"/>
        <w:adjustRightInd w:val="0"/>
        <w:spacing w:after="0" w:line="276" w:lineRule="auto"/>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Para todo el tráfico el Número real de “A” será intercambiado entre concesionarios como NN</w:t>
      </w:r>
    </w:p>
    <w:p w14:paraId="0155025E" w14:textId="77777777" w:rsidR="000F0B9F" w:rsidRPr="008762D1" w:rsidRDefault="00526FE9" w:rsidP="002945D4">
      <w:pPr>
        <w:numPr>
          <w:ilvl w:val="0"/>
          <w:numId w:val="37"/>
        </w:numPr>
        <w:autoSpaceDE w:val="0"/>
        <w:autoSpaceDN w:val="0"/>
        <w:adjustRightInd w:val="0"/>
        <w:spacing w:after="0" w:line="276" w:lineRule="auto"/>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Las marcaciones de llamadas LD erróneas deberán ser bloqueadas en la red de origen.</w:t>
      </w:r>
    </w:p>
    <w:p w14:paraId="395329C8" w14:textId="77777777" w:rsidR="000F0B9F"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53ED1EF6" w14:textId="38F75D19" w:rsidR="000F0B9F"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2) </w:t>
      </w:r>
      <w:r w:rsidRPr="00F031E8">
        <w:rPr>
          <w:rFonts w:ascii="ITC Avant Garde" w:hAnsi="ITC Avant Garde" w:cs="Arial"/>
          <w:b/>
          <w:color w:val="0000FF"/>
        </w:rPr>
        <w:t>[</w:t>
      </w:r>
      <w:r w:rsidR="00F031E8" w:rsidRPr="00F031E8">
        <w:rPr>
          <w:rFonts w:ascii="ITC Avant Garde" w:hAnsi="ITC Avant Garde" w:cs="Arial"/>
          <w:b/>
          <w:color w:val="0000FF"/>
        </w:rPr>
        <w:t>…</w:t>
      </w:r>
      <w:r w:rsidRPr="00F031E8">
        <w:rPr>
          <w:rFonts w:ascii="ITC Avant Garde" w:hAnsi="ITC Avant Garde" w:cs="Arial"/>
          <w:b/>
          <w:color w:val="0000FF"/>
        </w:rPr>
        <w:t>]</w:t>
      </w:r>
      <w:r w:rsidRPr="008762D1">
        <w:rPr>
          <w:rFonts w:ascii="ITC Avant Garde" w:hAnsi="ITC Avant Garde" w:cs="Arial"/>
          <w:color w:val="000000" w:themeColor="text1"/>
        </w:rPr>
        <w:t xml:space="preserve"> enviará IDO=XXX y BCD=XXX. TELMEX verificará que el puerto coincida con el Operador que entrega la llamada.</w:t>
      </w:r>
    </w:p>
    <w:p w14:paraId="34BA7F41" w14:textId="77777777" w:rsidR="000F0B9F" w:rsidRPr="008762D1" w:rsidRDefault="00526FE9" w:rsidP="000F0B9F">
      <w:pPr>
        <w:autoSpaceDE w:val="0"/>
        <w:autoSpaceDN w:val="0"/>
        <w:adjustRightInd w:val="0"/>
        <w:spacing w:before="240" w:line="276" w:lineRule="auto"/>
        <w:rPr>
          <w:rFonts w:ascii="ITC Avant Garde" w:hAnsi="ITC Avant Garde" w:cs="Arial"/>
          <w:color w:val="000000" w:themeColor="text1"/>
        </w:rPr>
      </w:pPr>
      <w:r w:rsidRPr="008762D1">
        <w:rPr>
          <w:rFonts w:ascii="ITC Avant Garde" w:hAnsi="ITC Avant Garde" w:cs="Arial"/>
          <w:color w:val="000000" w:themeColor="text1"/>
        </w:rPr>
        <w:t>3) En los escenarios de tránsito, Telmex conservará sin modificar el IDO Y BCD de origen.</w:t>
      </w:r>
    </w:p>
    <w:p w14:paraId="20D46982"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TEMA 3. Interconexión</w:t>
      </w:r>
    </w:p>
    <w:p w14:paraId="56CA1771" w14:textId="71B0A5C5" w:rsidR="00526FE9"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3.1 Realización física</w:t>
      </w:r>
    </w:p>
    <w:p w14:paraId="21F22192" w14:textId="77777777"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Cada Concesionario proveerá un enlace de fibra óptica tipo </w:t>
      </w:r>
      <w:proofErr w:type="spellStart"/>
      <w:r w:rsidRPr="008762D1">
        <w:rPr>
          <w:rFonts w:ascii="ITC Avant Garde" w:hAnsi="ITC Avant Garde" w:cs="Arial"/>
          <w:color w:val="000000" w:themeColor="text1"/>
        </w:rPr>
        <w:t>monomodo</w:t>
      </w:r>
      <w:proofErr w:type="spellEnd"/>
      <w:r w:rsidRPr="008762D1">
        <w:rPr>
          <w:rFonts w:ascii="ITC Avant Garde" w:hAnsi="ITC Avant Garde" w:cs="Arial"/>
          <w:color w:val="000000" w:themeColor="text1"/>
        </w:rPr>
        <w:t xml:space="preserve"> que podrá ser propio o arrendado y un Puerto de Acceso óptico para que se conecte el enlace de la otra parte.</w:t>
      </w:r>
    </w:p>
    <w:p w14:paraId="60FE9782" w14:textId="77777777" w:rsidR="00526FE9" w:rsidRPr="008762D1" w:rsidRDefault="00526FE9" w:rsidP="000F0B9F">
      <w:pPr>
        <w:autoSpaceDE w:val="0"/>
        <w:autoSpaceDN w:val="0"/>
        <w:adjustRightInd w:val="0"/>
        <w:spacing w:before="240" w:line="276" w:lineRule="auto"/>
        <w:jc w:val="both"/>
        <w:rPr>
          <w:rFonts w:ascii="ITC Avant Garde" w:hAnsi="ITC Avant Garde" w:cs="Times New Roman"/>
          <w:color w:val="000000" w:themeColor="text1"/>
        </w:rPr>
      </w:pPr>
      <w:r w:rsidRPr="008762D1">
        <w:rPr>
          <w:rFonts w:ascii="ITC Avant Garde" w:hAnsi="ITC Avant Garde" w:cs="Arial"/>
          <w:color w:val="000000" w:themeColor="text1"/>
        </w:rPr>
        <w:lastRenderedPageBreak/>
        <w:t>El enlace será tipo Ethernet dedicado con el estándar lEEE.802.3 versión 2012, con una interfaz activa 1000  Base - LX con un conector LC y un tamaño de trama de 1536 bytes.</w:t>
      </w:r>
    </w:p>
    <w:p w14:paraId="22073C48" w14:textId="77777777"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Dentro de la interfaz activa se crecerá la capacidad de manejo de tráfico con  incrementos de 10 Mbps o 100 Mbps. Los crecimientos se realizarán al llegar al 85% de ocupación.</w:t>
      </w:r>
    </w:p>
    <w:p w14:paraId="2FA6C7A5" w14:textId="77777777" w:rsidR="000F0B9F" w:rsidRPr="008762D1" w:rsidRDefault="00526FE9" w:rsidP="000F0B9F">
      <w:pPr>
        <w:autoSpaceDE w:val="0"/>
        <w:autoSpaceDN w:val="0"/>
        <w:adjustRightInd w:val="0"/>
        <w:spacing w:before="240" w:line="276" w:lineRule="auto"/>
        <w:jc w:val="both"/>
        <w:rPr>
          <w:rFonts w:ascii="ITC Avant Garde" w:hAnsi="ITC Avant Garde" w:cs="Times New Roman"/>
          <w:color w:val="000000" w:themeColor="text1"/>
          <w:szCs w:val="24"/>
        </w:rPr>
      </w:pPr>
      <w:r w:rsidRPr="008762D1">
        <w:rPr>
          <w:rFonts w:ascii="ITC Avant Garde" w:hAnsi="ITC Avant Garde"/>
          <w:color w:val="000000" w:themeColor="text1"/>
        </w:rPr>
        <w:t>Los puertos de acceso que proporcione el Concesionario Solicitado serán de capacidades acordes a la capacidad del enlace de transmisión de interconexión</w:t>
      </w:r>
    </w:p>
    <w:p w14:paraId="0E1640A0"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TEMA 4. Suministro de Circuitos y Puertos</w:t>
      </w:r>
    </w:p>
    <w:p w14:paraId="3AFA8A7E" w14:textId="2C45D557"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b/>
          <w:color w:val="000000" w:themeColor="text1"/>
        </w:rPr>
        <w:t>INCISO: 4.1 Recepción de Enlaces de Señalización y Puertos de Acceso</w:t>
      </w:r>
      <w:r w:rsidRPr="008762D1">
        <w:rPr>
          <w:rFonts w:ascii="ITC Avant Garde" w:hAnsi="ITC Avant Garde" w:cs="Arial"/>
          <w:color w:val="000000" w:themeColor="text1"/>
        </w:rPr>
        <w:t>.</w:t>
      </w:r>
    </w:p>
    <w:p w14:paraId="389FE315" w14:textId="77777777" w:rsidR="00526FE9" w:rsidRPr="008762D1" w:rsidRDefault="00526FE9" w:rsidP="000F0B9F">
      <w:pPr>
        <w:numPr>
          <w:ilvl w:val="0"/>
          <w:numId w:val="51"/>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Los requerimientos de servicios de puertos y enlaces de señalización deberán ser contratados conforme a los plazos establecidos en el Anexo E</w:t>
      </w:r>
    </w:p>
    <w:p w14:paraId="68D77844" w14:textId="77777777" w:rsidR="00526FE9" w:rsidRPr="008762D1" w:rsidRDefault="00526FE9" w:rsidP="000F0B9F">
      <w:pPr>
        <w:numPr>
          <w:ilvl w:val="0"/>
          <w:numId w:val="51"/>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Una vez realizado un contrato de puertos o enlaces de señalización, el Concesionario Contratante no podrá cancelar o modificar la ubicación de dichos puertos o enlaces de señalización antes del periodo mencionado en el punto anterior.</w:t>
      </w:r>
    </w:p>
    <w:p w14:paraId="2D2DA82A" w14:textId="77777777" w:rsidR="00526FE9" w:rsidRPr="008762D1" w:rsidRDefault="00526FE9" w:rsidP="000F0B9F">
      <w:pPr>
        <w:numPr>
          <w:ilvl w:val="0"/>
          <w:numId w:val="51"/>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Para la recepción de los puertos y enlaces de señalización se seguirá el procedimiento que las Partes acuerden.</w:t>
      </w:r>
    </w:p>
    <w:p w14:paraId="4B991678" w14:textId="77777777" w:rsidR="00526FE9" w:rsidRPr="008762D1" w:rsidRDefault="00526FE9" w:rsidP="000F0B9F">
      <w:pPr>
        <w:tabs>
          <w:tab w:val="left" w:pos="567"/>
        </w:tabs>
        <w:autoSpaceDE w:val="0"/>
        <w:autoSpaceDN w:val="0"/>
        <w:adjustRightInd w:val="0"/>
        <w:spacing w:before="240" w:line="276" w:lineRule="auto"/>
        <w:ind w:left="567"/>
        <w:jc w:val="both"/>
        <w:rPr>
          <w:rFonts w:ascii="ITC Avant Garde" w:hAnsi="ITC Avant Garde" w:cs="Arial"/>
          <w:color w:val="000000" w:themeColor="text1"/>
        </w:rPr>
      </w:pPr>
      <w:r w:rsidRPr="008762D1">
        <w:rPr>
          <w:rFonts w:ascii="ITC Avant Garde" w:hAnsi="ITC Avant Garde" w:cs="Arial"/>
          <w:color w:val="000000" w:themeColor="text1"/>
        </w:rPr>
        <w:t>Se realizarán pruebas conjuntamente entre las Partes del medio de transmisión durante un tiempo de 15 minutos</w:t>
      </w:r>
    </w:p>
    <w:p w14:paraId="28DF5BF6" w14:textId="77777777" w:rsidR="000F0B9F" w:rsidRPr="008762D1" w:rsidRDefault="00526FE9" w:rsidP="000F0B9F">
      <w:pPr>
        <w:tabs>
          <w:tab w:val="left" w:pos="567"/>
        </w:tabs>
        <w:autoSpaceDE w:val="0"/>
        <w:autoSpaceDN w:val="0"/>
        <w:adjustRightInd w:val="0"/>
        <w:spacing w:before="240" w:line="276" w:lineRule="auto"/>
        <w:ind w:left="567"/>
        <w:jc w:val="both"/>
        <w:rPr>
          <w:rFonts w:ascii="ITC Avant Garde" w:hAnsi="ITC Avant Garde" w:cs="Arial"/>
          <w:color w:val="000000" w:themeColor="text1"/>
        </w:rPr>
      </w:pPr>
      <w:r w:rsidRPr="008762D1">
        <w:rPr>
          <w:rFonts w:ascii="ITC Avant Garde" w:hAnsi="ITC Avant Garde" w:cs="Arial"/>
          <w:color w:val="000000" w:themeColor="text1"/>
        </w:rPr>
        <w:t>Se llevará a cabo un monitoreo de 24 horas de los puertos y enlaces de señalización que se están recibiendo, previamente a la puesta en operación de los mismos. Dicho periodo de observación o monitoreo será responsabilidad del contratante.  En los casos en que el contratante no tenga acceso a uno de los dos extremos, el proveedor conectara en bucle dicho extremo.</w:t>
      </w:r>
    </w:p>
    <w:p w14:paraId="3B4125F3"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TEMA 5. Operación y Mantenimiento</w:t>
      </w:r>
    </w:p>
    <w:p w14:paraId="6EA4237A" w14:textId="1BD7A77D" w:rsidR="00526FE9"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5.1. Premisas.</w:t>
      </w:r>
    </w:p>
    <w:p w14:paraId="29F1F0EA" w14:textId="77777777" w:rsidR="00526FE9" w:rsidRPr="008762D1" w:rsidRDefault="00526FE9" w:rsidP="000F0B9F">
      <w:pPr>
        <w:tabs>
          <w:tab w:val="left" w:pos="567"/>
        </w:tabs>
        <w:autoSpaceDE w:val="0"/>
        <w:autoSpaceDN w:val="0"/>
        <w:adjustRightInd w:val="0"/>
        <w:spacing w:before="240" w:line="276" w:lineRule="auto"/>
        <w:ind w:left="567"/>
        <w:jc w:val="both"/>
        <w:rPr>
          <w:rFonts w:ascii="ITC Avant Garde" w:hAnsi="ITC Avant Garde" w:cs="Arial"/>
          <w:color w:val="000000" w:themeColor="text1"/>
        </w:rPr>
      </w:pPr>
      <w:r w:rsidRPr="008762D1">
        <w:rPr>
          <w:rFonts w:ascii="ITC Avant Garde" w:hAnsi="ITC Avant Garde" w:cs="Arial"/>
          <w:color w:val="000000" w:themeColor="text1"/>
        </w:rPr>
        <w:t>Se considera aceptado un enlace de señalización para su operación cuando ha cumplido exitosamente el o los Procedimientos especificados en el inciso 4 anterior.</w:t>
      </w:r>
    </w:p>
    <w:p w14:paraId="41B40292" w14:textId="77777777" w:rsidR="00526FE9" w:rsidRPr="008762D1" w:rsidRDefault="00526FE9" w:rsidP="000F0B9F">
      <w:pPr>
        <w:tabs>
          <w:tab w:val="left" w:pos="567"/>
        </w:tabs>
        <w:autoSpaceDE w:val="0"/>
        <w:autoSpaceDN w:val="0"/>
        <w:adjustRightInd w:val="0"/>
        <w:spacing w:before="240" w:line="276" w:lineRule="auto"/>
        <w:ind w:left="567"/>
        <w:jc w:val="both"/>
        <w:rPr>
          <w:rFonts w:ascii="ITC Avant Garde" w:hAnsi="ITC Avant Garde" w:cs="Arial"/>
          <w:color w:val="000000" w:themeColor="text1"/>
        </w:rPr>
      </w:pPr>
      <w:r w:rsidRPr="008762D1">
        <w:rPr>
          <w:rFonts w:ascii="ITC Avant Garde" w:hAnsi="ITC Avant Garde" w:cs="Arial"/>
          <w:color w:val="000000" w:themeColor="text1"/>
        </w:rPr>
        <w:lastRenderedPageBreak/>
        <w:t>Todas las funciones de manejo de tráfico serán ejecutadas de manera no discriminatoria, sin excepción y bajo toda circunstancia.</w:t>
      </w:r>
    </w:p>
    <w:p w14:paraId="05B40F81" w14:textId="77777777" w:rsidR="000F0B9F" w:rsidRPr="008762D1" w:rsidRDefault="00526FE9" w:rsidP="000F0B9F">
      <w:pPr>
        <w:autoSpaceDE w:val="0"/>
        <w:autoSpaceDN w:val="0"/>
        <w:adjustRightInd w:val="0"/>
        <w:spacing w:before="240" w:line="276" w:lineRule="auto"/>
        <w:ind w:left="567"/>
        <w:jc w:val="both"/>
        <w:rPr>
          <w:rFonts w:ascii="ITC Avant Garde" w:hAnsi="ITC Avant Garde" w:cs="Arial"/>
          <w:color w:val="000000" w:themeColor="text1"/>
        </w:rPr>
      </w:pPr>
      <w:r w:rsidRPr="008762D1">
        <w:rPr>
          <w:rFonts w:ascii="ITC Avant Garde" w:hAnsi="ITC Avant Garde" w:cs="Arial"/>
          <w:color w:val="000000" w:themeColor="text1"/>
        </w:rPr>
        <w:t>Para una misma categoría de servicio los enlaces de señalización deberán ser tratados en forma no discriminatoria.</w:t>
      </w:r>
    </w:p>
    <w:p w14:paraId="52EC386E"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5.2 Mantenimiento Programado</w:t>
      </w:r>
    </w:p>
    <w:p w14:paraId="2BE17E4A" w14:textId="67C385AD" w:rsidR="00526FE9" w:rsidRPr="008762D1" w:rsidRDefault="00526FE9" w:rsidP="000F0B9F">
      <w:pPr>
        <w:numPr>
          <w:ilvl w:val="0"/>
          <w:numId w:val="52"/>
        </w:numPr>
        <w:tabs>
          <w:tab w:val="left" w:pos="851"/>
        </w:tabs>
        <w:autoSpaceDE w:val="0"/>
        <w:autoSpaceDN w:val="0"/>
        <w:adjustRightInd w:val="0"/>
        <w:spacing w:before="240" w:after="0" w:line="276" w:lineRule="auto"/>
        <w:ind w:left="851"/>
        <w:jc w:val="both"/>
        <w:rPr>
          <w:rFonts w:ascii="ITC Avant Garde" w:hAnsi="ITC Avant Garde" w:cs="Arial"/>
          <w:color w:val="000000" w:themeColor="text1"/>
        </w:rPr>
      </w:pPr>
      <w:r w:rsidRPr="008762D1">
        <w:rPr>
          <w:rFonts w:ascii="ITC Avant Garde" w:hAnsi="ITC Avant Garde" w:cs="Arial"/>
          <w:color w:val="000000" w:themeColor="text1"/>
        </w:rPr>
        <w:t>Se define como "Mantenimiento Programado" cualquier actividad programada con anticipación que se realice en la red de un Concesionario y pueda afectar el servicio de otro Concesionario.</w:t>
      </w:r>
    </w:p>
    <w:p w14:paraId="04B6A558" w14:textId="77777777" w:rsidR="00526FE9" w:rsidRPr="008762D1" w:rsidRDefault="00526FE9" w:rsidP="002945D4">
      <w:pPr>
        <w:numPr>
          <w:ilvl w:val="0"/>
          <w:numId w:val="52"/>
        </w:numPr>
        <w:tabs>
          <w:tab w:val="num" w:pos="900"/>
        </w:tabs>
        <w:autoSpaceDE w:val="0"/>
        <w:autoSpaceDN w:val="0"/>
        <w:adjustRightInd w:val="0"/>
        <w:spacing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Cada Concesionario deberá establecer un Punto Único de Contacto Operativo que será responsable de notificar y coordinar los mantenimientos programados con el o los otros Concesionarios.</w:t>
      </w:r>
    </w:p>
    <w:p w14:paraId="6DF1C6E1" w14:textId="77777777" w:rsidR="00526FE9" w:rsidRPr="008762D1" w:rsidRDefault="00526FE9" w:rsidP="002945D4">
      <w:pPr>
        <w:numPr>
          <w:ilvl w:val="0"/>
          <w:numId w:val="52"/>
        </w:numPr>
        <w:tabs>
          <w:tab w:val="num" w:pos="900"/>
        </w:tabs>
        <w:autoSpaceDE w:val="0"/>
        <w:autoSpaceDN w:val="0"/>
        <w:adjustRightInd w:val="0"/>
        <w:spacing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Todo Mantenimiento deberá:</w:t>
      </w:r>
    </w:p>
    <w:p w14:paraId="6F67A27E" w14:textId="77777777" w:rsidR="00526FE9" w:rsidRPr="008762D1" w:rsidRDefault="00526FE9" w:rsidP="000F0B9F">
      <w:pPr>
        <w:numPr>
          <w:ilvl w:val="1"/>
          <w:numId w:val="42"/>
        </w:numPr>
        <w:tabs>
          <w:tab w:val="num" w:pos="993"/>
        </w:tabs>
        <w:autoSpaceDE w:val="0"/>
        <w:autoSpaceDN w:val="0"/>
        <w:adjustRightInd w:val="0"/>
        <w:spacing w:before="240"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Ser notificado con 8 (ocho)  días naturales de anticipación.</w:t>
      </w:r>
    </w:p>
    <w:p w14:paraId="75D1A63E" w14:textId="77777777" w:rsidR="00526FE9" w:rsidRPr="008762D1" w:rsidRDefault="00526FE9" w:rsidP="002945D4">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Ser ejecutado preferentemente entre las 00:00 y las 06:00 horas (hora local).</w:t>
      </w:r>
    </w:p>
    <w:p w14:paraId="06E39D13" w14:textId="77777777" w:rsidR="00526FE9" w:rsidRPr="008762D1" w:rsidRDefault="00526FE9" w:rsidP="002945D4">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Contener en la notificación, como mínimo:</w:t>
      </w:r>
    </w:p>
    <w:p w14:paraId="650DA1D0" w14:textId="77777777" w:rsidR="00526FE9" w:rsidRPr="008762D1" w:rsidRDefault="00526FE9" w:rsidP="000F0B9F">
      <w:pPr>
        <w:numPr>
          <w:ilvl w:val="1"/>
          <w:numId w:val="42"/>
        </w:numPr>
        <w:tabs>
          <w:tab w:val="clear" w:pos="1364"/>
          <w:tab w:val="num" w:pos="1418"/>
        </w:tabs>
        <w:autoSpaceDE w:val="0"/>
        <w:autoSpaceDN w:val="0"/>
        <w:adjustRightInd w:val="0"/>
        <w:spacing w:before="240" w:after="0" w:line="276" w:lineRule="auto"/>
        <w:ind w:left="1418"/>
        <w:jc w:val="both"/>
        <w:rPr>
          <w:rFonts w:ascii="ITC Avant Garde" w:hAnsi="ITC Avant Garde" w:cs="Arial"/>
          <w:color w:val="000000" w:themeColor="text1"/>
        </w:rPr>
      </w:pPr>
      <w:r w:rsidRPr="008762D1">
        <w:rPr>
          <w:rFonts w:ascii="ITC Avant Garde" w:hAnsi="ITC Avant Garde" w:cs="Arial"/>
          <w:color w:val="000000" w:themeColor="text1"/>
        </w:rPr>
        <w:t>Nombre y cargo de la persona que notifica,</w:t>
      </w:r>
    </w:p>
    <w:p w14:paraId="5705A671" w14:textId="77777777" w:rsidR="00526FE9" w:rsidRPr="008762D1" w:rsidRDefault="00526FE9" w:rsidP="002945D4">
      <w:pPr>
        <w:numPr>
          <w:ilvl w:val="1"/>
          <w:numId w:val="42"/>
        </w:numPr>
        <w:tabs>
          <w:tab w:val="clear" w:pos="1364"/>
          <w:tab w:val="num" w:pos="1418"/>
        </w:tabs>
        <w:autoSpaceDE w:val="0"/>
        <w:autoSpaceDN w:val="0"/>
        <w:adjustRightInd w:val="0"/>
        <w:spacing w:after="0" w:line="276" w:lineRule="auto"/>
        <w:ind w:left="1418"/>
        <w:jc w:val="both"/>
        <w:rPr>
          <w:rFonts w:ascii="ITC Avant Garde" w:hAnsi="ITC Avant Garde" w:cs="Arial"/>
          <w:color w:val="000000" w:themeColor="text1"/>
        </w:rPr>
      </w:pPr>
      <w:r w:rsidRPr="008762D1">
        <w:rPr>
          <w:rFonts w:ascii="ITC Avant Garde" w:hAnsi="ITC Avant Garde" w:cs="Arial"/>
          <w:color w:val="000000" w:themeColor="text1"/>
        </w:rPr>
        <w:t>Día y hora de inicio.</w:t>
      </w:r>
    </w:p>
    <w:p w14:paraId="0ECF1CE3" w14:textId="77777777" w:rsidR="00526FE9" w:rsidRPr="008762D1" w:rsidRDefault="00526FE9" w:rsidP="002945D4">
      <w:pPr>
        <w:numPr>
          <w:ilvl w:val="1"/>
          <w:numId w:val="42"/>
        </w:numPr>
        <w:tabs>
          <w:tab w:val="clear" w:pos="1364"/>
          <w:tab w:val="num" w:pos="1418"/>
        </w:tabs>
        <w:autoSpaceDE w:val="0"/>
        <w:autoSpaceDN w:val="0"/>
        <w:adjustRightInd w:val="0"/>
        <w:spacing w:after="0" w:line="276" w:lineRule="auto"/>
        <w:ind w:left="1418"/>
        <w:jc w:val="both"/>
        <w:rPr>
          <w:rFonts w:ascii="ITC Avant Garde" w:hAnsi="ITC Avant Garde" w:cs="Arial"/>
          <w:color w:val="000000" w:themeColor="text1"/>
        </w:rPr>
      </w:pPr>
      <w:r w:rsidRPr="008762D1">
        <w:rPr>
          <w:rFonts w:ascii="ITC Avant Garde" w:hAnsi="ITC Avant Garde" w:cs="Arial"/>
          <w:color w:val="000000" w:themeColor="text1"/>
        </w:rPr>
        <w:t>Tiempo estimado de duración del mantenimiento</w:t>
      </w:r>
    </w:p>
    <w:p w14:paraId="3A93F028" w14:textId="77777777" w:rsidR="00526FE9" w:rsidRPr="008762D1" w:rsidRDefault="00526FE9" w:rsidP="002945D4">
      <w:pPr>
        <w:numPr>
          <w:ilvl w:val="1"/>
          <w:numId w:val="42"/>
        </w:numPr>
        <w:tabs>
          <w:tab w:val="clear" w:pos="1364"/>
          <w:tab w:val="num" w:pos="1418"/>
        </w:tabs>
        <w:autoSpaceDE w:val="0"/>
        <w:autoSpaceDN w:val="0"/>
        <w:adjustRightInd w:val="0"/>
        <w:spacing w:after="0" w:line="276" w:lineRule="auto"/>
        <w:ind w:left="1418"/>
        <w:jc w:val="both"/>
        <w:rPr>
          <w:rFonts w:ascii="ITC Avant Garde" w:hAnsi="ITC Avant Garde" w:cs="Arial"/>
          <w:color w:val="000000" w:themeColor="text1"/>
        </w:rPr>
      </w:pPr>
      <w:r w:rsidRPr="008762D1">
        <w:rPr>
          <w:rFonts w:ascii="ITC Avant Garde" w:hAnsi="ITC Avant Garde" w:cs="Arial"/>
          <w:color w:val="000000" w:themeColor="text1"/>
        </w:rPr>
        <w:t xml:space="preserve">Probable afectación o efectos en la Red del otro Concesionario durante las acciones de mantenimiento (incluir listado de servicios afectados por intervención) </w:t>
      </w:r>
    </w:p>
    <w:p w14:paraId="5870F124" w14:textId="77777777" w:rsidR="00526FE9" w:rsidRPr="008762D1" w:rsidRDefault="00526FE9" w:rsidP="002945D4">
      <w:pPr>
        <w:numPr>
          <w:ilvl w:val="1"/>
          <w:numId w:val="42"/>
        </w:numPr>
        <w:tabs>
          <w:tab w:val="clear" w:pos="1364"/>
          <w:tab w:val="num" w:pos="1418"/>
        </w:tabs>
        <w:autoSpaceDE w:val="0"/>
        <w:autoSpaceDN w:val="0"/>
        <w:adjustRightInd w:val="0"/>
        <w:spacing w:after="0" w:line="276" w:lineRule="auto"/>
        <w:ind w:left="1418"/>
        <w:jc w:val="both"/>
        <w:rPr>
          <w:rFonts w:ascii="ITC Avant Garde" w:hAnsi="ITC Avant Garde" w:cs="Arial"/>
          <w:color w:val="000000" w:themeColor="text1"/>
        </w:rPr>
      </w:pPr>
      <w:r w:rsidRPr="008762D1">
        <w:rPr>
          <w:rFonts w:ascii="ITC Avant Garde" w:hAnsi="ITC Avant Garde" w:cs="Arial"/>
          <w:color w:val="000000" w:themeColor="text1"/>
        </w:rPr>
        <w:t>Número(s) telefónicos de coordinación.</w:t>
      </w:r>
    </w:p>
    <w:p w14:paraId="7FDFDE45" w14:textId="77777777" w:rsidR="00526FE9" w:rsidRPr="008762D1" w:rsidRDefault="00526FE9" w:rsidP="002945D4">
      <w:pPr>
        <w:numPr>
          <w:ilvl w:val="1"/>
          <w:numId w:val="42"/>
        </w:numPr>
        <w:tabs>
          <w:tab w:val="clear" w:pos="1364"/>
          <w:tab w:val="num" w:pos="1418"/>
        </w:tabs>
        <w:autoSpaceDE w:val="0"/>
        <w:autoSpaceDN w:val="0"/>
        <w:adjustRightInd w:val="0"/>
        <w:spacing w:after="0" w:line="276" w:lineRule="auto"/>
        <w:ind w:left="1418"/>
        <w:jc w:val="both"/>
        <w:rPr>
          <w:rFonts w:ascii="ITC Avant Garde" w:hAnsi="ITC Avant Garde" w:cs="Arial"/>
          <w:color w:val="000000" w:themeColor="text1"/>
        </w:rPr>
      </w:pPr>
      <w:r w:rsidRPr="008762D1">
        <w:rPr>
          <w:rFonts w:ascii="ITC Avant Garde" w:hAnsi="ITC Avant Garde" w:cs="Arial"/>
          <w:color w:val="000000" w:themeColor="text1"/>
        </w:rPr>
        <w:t>Acciones preventivas en caso de contingencia que ocurran durante las acciones de mantenimiento.</w:t>
      </w:r>
    </w:p>
    <w:p w14:paraId="4A5F085C" w14:textId="77777777" w:rsidR="00526FE9" w:rsidRPr="008762D1" w:rsidRDefault="00526FE9" w:rsidP="000F0B9F">
      <w:pPr>
        <w:numPr>
          <w:ilvl w:val="0"/>
          <w:numId w:val="52"/>
        </w:numPr>
        <w:tabs>
          <w:tab w:val="num" w:pos="900"/>
        </w:tabs>
        <w:autoSpaceDE w:val="0"/>
        <w:autoSpaceDN w:val="0"/>
        <w:adjustRightInd w:val="0"/>
        <w:spacing w:before="240" w:after="0" w:line="276"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La recepción de toda notificación deberá ser confirmada de forma inmediata y por escrito vía correo electrónico y debe contener como mínimo:</w:t>
      </w:r>
    </w:p>
    <w:p w14:paraId="3AD07EAC" w14:textId="77777777" w:rsidR="00526FE9" w:rsidRPr="008762D1" w:rsidRDefault="00526FE9" w:rsidP="000F0B9F">
      <w:pPr>
        <w:numPr>
          <w:ilvl w:val="1"/>
          <w:numId w:val="42"/>
        </w:numPr>
        <w:tabs>
          <w:tab w:val="num" w:pos="993"/>
        </w:tabs>
        <w:autoSpaceDE w:val="0"/>
        <w:autoSpaceDN w:val="0"/>
        <w:adjustRightInd w:val="0"/>
        <w:spacing w:before="240"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 xml:space="preserve">Nombre y cargo de la persona que recibe la notificación. </w:t>
      </w:r>
    </w:p>
    <w:p w14:paraId="6B9870BC" w14:textId="77777777" w:rsidR="00526FE9" w:rsidRPr="008762D1" w:rsidRDefault="00526FE9" w:rsidP="002945D4">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Día y hora de notificación.</w:t>
      </w:r>
    </w:p>
    <w:p w14:paraId="5229DDD9" w14:textId="77777777" w:rsidR="00526FE9" w:rsidRPr="008762D1" w:rsidRDefault="00526FE9" w:rsidP="002945D4">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Número(s) telefónicos de coordinación.</w:t>
      </w:r>
    </w:p>
    <w:p w14:paraId="1932D849" w14:textId="77777777" w:rsidR="000F0B9F" w:rsidRPr="008762D1" w:rsidRDefault="00526FE9" w:rsidP="002945D4">
      <w:pPr>
        <w:numPr>
          <w:ilvl w:val="1"/>
          <w:numId w:val="42"/>
        </w:numPr>
        <w:tabs>
          <w:tab w:val="num" w:pos="993"/>
        </w:tabs>
        <w:autoSpaceDE w:val="0"/>
        <w:autoSpaceDN w:val="0"/>
        <w:adjustRightInd w:val="0"/>
        <w:spacing w:after="0" w:line="276" w:lineRule="auto"/>
        <w:ind w:left="993"/>
        <w:jc w:val="both"/>
        <w:rPr>
          <w:rFonts w:ascii="ITC Avant Garde" w:hAnsi="ITC Avant Garde" w:cs="Arial"/>
          <w:color w:val="000000" w:themeColor="text1"/>
        </w:rPr>
      </w:pPr>
      <w:r w:rsidRPr="008762D1">
        <w:rPr>
          <w:rFonts w:ascii="ITC Avant Garde" w:hAnsi="ITC Avant Garde" w:cs="Arial"/>
          <w:color w:val="000000" w:themeColor="text1"/>
        </w:rPr>
        <w:t>Número o clave de acuse de recibo.</w:t>
      </w:r>
    </w:p>
    <w:p w14:paraId="0C6697A5" w14:textId="4B3DB418" w:rsidR="00526FE9"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INCISO: 5.3 Mantenimiento Correctivo</w:t>
      </w:r>
    </w:p>
    <w:p w14:paraId="56D4480B" w14:textId="77777777" w:rsidR="00526FE9" w:rsidRPr="008762D1" w:rsidRDefault="00526FE9" w:rsidP="000F0B9F">
      <w:pPr>
        <w:numPr>
          <w:ilvl w:val="5"/>
          <w:numId w:val="20"/>
        </w:numPr>
        <w:tabs>
          <w:tab w:val="num" w:pos="900"/>
        </w:tabs>
        <w:autoSpaceDE w:val="0"/>
        <w:autoSpaceDN w:val="0"/>
        <w:adjustRightInd w:val="0"/>
        <w:spacing w:before="240" w:after="0" w:line="240"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lastRenderedPageBreak/>
        <w:t>Se define como "Mantenimiento Correctivo” el conjunto de acciones que se realizan desde que se detecta que los parámetros de operación están debajo de los niveles mínimos convenidos, hasta que dicha situación se corrija.</w:t>
      </w:r>
    </w:p>
    <w:p w14:paraId="28DCA331" w14:textId="77777777" w:rsidR="00526FE9" w:rsidRPr="008762D1" w:rsidRDefault="00526FE9" w:rsidP="000F0B9F">
      <w:pPr>
        <w:numPr>
          <w:ilvl w:val="5"/>
          <w:numId w:val="20"/>
        </w:numPr>
        <w:tabs>
          <w:tab w:val="num" w:pos="900"/>
        </w:tabs>
        <w:autoSpaceDE w:val="0"/>
        <w:autoSpaceDN w:val="0"/>
        <w:adjustRightInd w:val="0"/>
        <w:spacing w:before="240" w:after="0" w:line="240"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Notificación y recepción de reportes de fallas.</w:t>
      </w:r>
    </w:p>
    <w:p w14:paraId="6F2B19A2" w14:textId="77777777" w:rsidR="000F0B9F" w:rsidRPr="008762D1" w:rsidRDefault="00526FE9" w:rsidP="000F0B9F">
      <w:pPr>
        <w:autoSpaceDE w:val="0"/>
        <w:autoSpaceDN w:val="0"/>
        <w:adjustRightInd w:val="0"/>
        <w:spacing w:before="240"/>
        <w:ind w:left="900"/>
        <w:jc w:val="both"/>
        <w:rPr>
          <w:rFonts w:ascii="ITC Avant Garde" w:hAnsi="ITC Avant Garde" w:cs="Arial"/>
          <w:color w:val="000000" w:themeColor="text1"/>
        </w:rPr>
      </w:pPr>
      <w:r w:rsidRPr="008762D1">
        <w:rPr>
          <w:rFonts w:ascii="ITC Avant Garde" w:hAnsi="ITC Avant Garde" w:cs="Arial"/>
          <w:color w:val="000000" w:themeColor="text1"/>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14:paraId="40FC5C02" w14:textId="77777777" w:rsidR="000F0B9F" w:rsidRPr="008762D1" w:rsidRDefault="00526FE9" w:rsidP="000F0B9F">
      <w:pPr>
        <w:autoSpaceDE w:val="0"/>
        <w:autoSpaceDN w:val="0"/>
        <w:adjustRightInd w:val="0"/>
        <w:spacing w:before="240"/>
        <w:ind w:left="900"/>
        <w:jc w:val="both"/>
        <w:rPr>
          <w:rFonts w:ascii="ITC Avant Garde" w:hAnsi="ITC Avant Garde" w:cs="Arial"/>
          <w:b/>
          <w:color w:val="000000" w:themeColor="text1"/>
        </w:rPr>
      </w:pPr>
      <w:r w:rsidRPr="008762D1">
        <w:rPr>
          <w:rFonts w:ascii="ITC Avant Garde" w:hAnsi="ITC Avant Garde" w:cs="Arial"/>
          <w:b/>
          <w:color w:val="000000" w:themeColor="text1"/>
        </w:rPr>
        <w:t>Telmex</w:t>
      </w:r>
    </w:p>
    <w:p w14:paraId="1D9449ED" w14:textId="6383590E" w:rsidR="00526FE9" w:rsidRPr="008762D1" w:rsidRDefault="00526FE9" w:rsidP="002945D4">
      <w:pPr>
        <w:autoSpaceDE w:val="0"/>
        <w:autoSpaceDN w:val="0"/>
        <w:adjustRightInd w:val="0"/>
        <w:spacing w:before="240"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Nombre del contacto: Centro de Atención a Operadores (CAO)</w:t>
      </w:r>
    </w:p>
    <w:p w14:paraId="5CE4C291"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Puesto del contacto: Ingenieros de CAO</w:t>
      </w:r>
    </w:p>
    <w:p w14:paraId="4F091ABA"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Teléfonos de localización del contacto (fijo y móvil):</w:t>
      </w:r>
    </w:p>
    <w:p w14:paraId="2B533A8C" w14:textId="7C4C2673" w:rsidR="00526FE9" w:rsidRPr="008762D1" w:rsidRDefault="00526FE9" w:rsidP="00F031E8">
      <w:pPr>
        <w:autoSpaceDE w:val="0"/>
        <w:autoSpaceDN w:val="0"/>
        <w:adjustRightInd w:val="0"/>
        <w:spacing w:after="0"/>
        <w:ind w:left="1418" w:firstLine="142"/>
        <w:jc w:val="both"/>
        <w:rPr>
          <w:rFonts w:ascii="ITC Avant Garde" w:hAnsi="ITC Avant Garde" w:cs="Arial"/>
          <w:color w:val="000000" w:themeColor="text1"/>
        </w:rPr>
      </w:pPr>
      <w:r w:rsidRPr="008762D1">
        <w:rPr>
          <w:rFonts w:ascii="ITC Avant Garde" w:hAnsi="ITC Avant Garde" w:cs="Arial"/>
          <w:color w:val="000000" w:themeColor="text1"/>
        </w:rPr>
        <w:t>Fijo: (55) 5490 3000</w:t>
      </w:r>
    </w:p>
    <w:p w14:paraId="658726EC" w14:textId="77777777" w:rsidR="00F031E8" w:rsidRDefault="00526FE9" w:rsidP="00F031E8">
      <w:pPr>
        <w:autoSpaceDE w:val="0"/>
        <w:autoSpaceDN w:val="0"/>
        <w:adjustRightInd w:val="0"/>
        <w:spacing w:after="0"/>
        <w:ind w:left="1418" w:hanging="234"/>
        <w:jc w:val="both"/>
        <w:rPr>
          <w:rFonts w:ascii="ITC Avant Garde" w:hAnsi="ITC Avant Garde" w:cs="Arial"/>
          <w:b/>
          <w:color w:val="0000FF"/>
        </w:rPr>
      </w:pPr>
      <w:r w:rsidRPr="008762D1">
        <w:rPr>
          <w:rFonts w:ascii="ITC Avant Garde" w:hAnsi="ITC Avant Garde" w:cs="Arial"/>
          <w:color w:val="000000" w:themeColor="text1"/>
        </w:rPr>
        <w:t>- Correo electrónico:</w:t>
      </w:r>
      <w:r w:rsidR="00F031E8">
        <w:rPr>
          <w:rFonts w:ascii="ITC Avant Garde" w:hAnsi="ITC Avant Garde" w:cs="Arial"/>
          <w:color w:val="000000" w:themeColor="text1"/>
        </w:rPr>
        <w:t xml:space="preserve"> </w:t>
      </w:r>
      <w:r w:rsidR="00F031E8" w:rsidRPr="00F031E8">
        <w:rPr>
          <w:rFonts w:ascii="ITC Avant Garde" w:hAnsi="ITC Avant Garde" w:cs="Arial"/>
          <w:b/>
          <w:color w:val="0000FF"/>
        </w:rPr>
        <w:t>[…]</w:t>
      </w:r>
    </w:p>
    <w:p w14:paraId="2A3BEEF6" w14:textId="32C5C5BE" w:rsidR="00526FE9" w:rsidRPr="008762D1" w:rsidRDefault="00F031E8" w:rsidP="00F031E8">
      <w:pPr>
        <w:autoSpaceDE w:val="0"/>
        <w:autoSpaceDN w:val="0"/>
        <w:adjustRightInd w:val="0"/>
        <w:spacing w:after="0"/>
        <w:ind w:left="1418" w:hanging="234"/>
        <w:jc w:val="both"/>
        <w:rPr>
          <w:rFonts w:ascii="ITC Avant Garde" w:hAnsi="ITC Avant Garde" w:cs="Arial"/>
          <w:color w:val="000000" w:themeColor="text1"/>
        </w:rPr>
      </w:pPr>
      <w:r>
        <w:rPr>
          <w:rFonts w:ascii="ITC Avant Garde" w:hAnsi="ITC Avant Garde" w:cs="Arial"/>
          <w:color w:val="000000" w:themeColor="text1"/>
        </w:rPr>
        <w:t xml:space="preserve">- Nombre del contacto: </w:t>
      </w:r>
      <w:r w:rsidR="00526FE9" w:rsidRPr="008762D1">
        <w:rPr>
          <w:rFonts w:ascii="ITC Avant Garde" w:hAnsi="ITC Avant Garde" w:cs="Arial"/>
          <w:color w:val="000000" w:themeColor="text1"/>
        </w:rPr>
        <w:t>Centro de Operación de la Red (NOC)</w:t>
      </w:r>
    </w:p>
    <w:p w14:paraId="584B0C63" w14:textId="74497BA5" w:rsidR="00526FE9" w:rsidRPr="008762D1" w:rsidRDefault="00F031E8" w:rsidP="002945D4">
      <w:pPr>
        <w:autoSpaceDE w:val="0"/>
        <w:autoSpaceDN w:val="0"/>
        <w:adjustRightInd w:val="0"/>
        <w:spacing w:after="0"/>
        <w:ind w:left="900"/>
        <w:jc w:val="both"/>
        <w:rPr>
          <w:rFonts w:ascii="ITC Avant Garde" w:hAnsi="ITC Avant Garde" w:cs="Arial"/>
          <w:color w:val="000000" w:themeColor="text1"/>
        </w:rPr>
      </w:pPr>
      <w:r>
        <w:rPr>
          <w:rFonts w:ascii="ITC Avant Garde" w:hAnsi="ITC Avant Garde" w:cs="Arial"/>
          <w:color w:val="000000" w:themeColor="text1"/>
        </w:rPr>
        <w:t xml:space="preserve">- Puesto del contacto: </w:t>
      </w:r>
      <w:r w:rsidR="00526FE9" w:rsidRPr="008762D1">
        <w:rPr>
          <w:rFonts w:ascii="ITC Avant Garde" w:hAnsi="ITC Avant Garde" w:cs="Arial"/>
          <w:color w:val="000000" w:themeColor="text1"/>
        </w:rPr>
        <w:t>Ingenieros de NOC</w:t>
      </w:r>
    </w:p>
    <w:p w14:paraId="52271492" w14:textId="77777777" w:rsidR="00526FE9" w:rsidRPr="008762D1" w:rsidRDefault="00526FE9" w:rsidP="002945D4">
      <w:pPr>
        <w:autoSpaceDE w:val="0"/>
        <w:autoSpaceDN w:val="0"/>
        <w:adjustRightInd w:val="0"/>
        <w:spacing w:after="0"/>
        <w:ind w:left="900"/>
        <w:jc w:val="both"/>
        <w:rPr>
          <w:rFonts w:ascii="ITC Avant Garde" w:hAnsi="ITC Avant Garde" w:cs="Arial"/>
          <w:color w:val="000000" w:themeColor="text1"/>
        </w:rPr>
      </w:pPr>
      <w:r w:rsidRPr="008762D1">
        <w:rPr>
          <w:rFonts w:ascii="ITC Avant Garde" w:hAnsi="ITC Avant Garde" w:cs="Arial"/>
          <w:color w:val="000000" w:themeColor="text1"/>
        </w:rPr>
        <w:t>- Teléfonos de localización del contacto (fijo y móvil):</w:t>
      </w:r>
    </w:p>
    <w:p w14:paraId="404D0061" w14:textId="77777777" w:rsidR="00526FE9" w:rsidRPr="008762D1" w:rsidRDefault="00526FE9" w:rsidP="002945D4">
      <w:pPr>
        <w:autoSpaceDE w:val="0"/>
        <w:autoSpaceDN w:val="0"/>
        <w:adjustRightInd w:val="0"/>
        <w:spacing w:after="0"/>
        <w:ind w:left="900" w:firstLine="516"/>
        <w:jc w:val="both"/>
        <w:rPr>
          <w:rFonts w:ascii="ITC Avant Garde" w:hAnsi="ITC Avant Garde" w:cs="Arial"/>
          <w:color w:val="000000" w:themeColor="text1"/>
        </w:rPr>
      </w:pPr>
      <w:r w:rsidRPr="008762D1">
        <w:rPr>
          <w:rFonts w:ascii="ITC Avant Garde" w:hAnsi="ITC Avant Garde" w:cs="Arial"/>
          <w:color w:val="000000" w:themeColor="text1"/>
        </w:rPr>
        <w:t xml:space="preserve">Fijo </w:t>
      </w:r>
    </w:p>
    <w:p w14:paraId="65144CD2" w14:textId="77777777" w:rsidR="00526FE9" w:rsidRPr="008762D1" w:rsidRDefault="00526FE9" w:rsidP="002945D4">
      <w:pPr>
        <w:autoSpaceDE w:val="0"/>
        <w:autoSpaceDN w:val="0"/>
        <w:adjustRightInd w:val="0"/>
        <w:spacing w:after="0"/>
        <w:ind w:left="900" w:firstLine="516"/>
        <w:jc w:val="both"/>
        <w:rPr>
          <w:rFonts w:ascii="ITC Avant Garde" w:hAnsi="ITC Avant Garde" w:cs="Arial"/>
          <w:color w:val="000000" w:themeColor="text1"/>
        </w:rPr>
      </w:pPr>
      <w:proofErr w:type="spellStart"/>
      <w:r w:rsidRPr="008762D1">
        <w:rPr>
          <w:rFonts w:ascii="ITC Avant Garde" w:hAnsi="ITC Avant Garde" w:cs="Arial"/>
          <w:color w:val="000000" w:themeColor="text1"/>
        </w:rPr>
        <w:t>Cel</w:t>
      </w:r>
      <w:proofErr w:type="spellEnd"/>
      <w:r w:rsidRPr="008762D1">
        <w:rPr>
          <w:rFonts w:ascii="ITC Avant Garde" w:hAnsi="ITC Avant Garde" w:cs="Arial"/>
          <w:color w:val="000000" w:themeColor="text1"/>
        </w:rPr>
        <w:t xml:space="preserve"> </w:t>
      </w:r>
    </w:p>
    <w:p w14:paraId="56D40E59" w14:textId="64E6368C" w:rsidR="00526FE9" w:rsidRPr="008762D1" w:rsidRDefault="00F031E8" w:rsidP="002945D4">
      <w:pPr>
        <w:autoSpaceDE w:val="0"/>
        <w:autoSpaceDN w:val="0"/>
        <w:adjustRightInd w:val="0"/>
        <w:spacing w:after="0"/>
        <w:ind w:left="900"/>
        <w:jc w:val="both"/>
        <w:rPr>
          <w:rFonts w:ascii="ITC Avant Garde" w:hAnsi="ITC Avant Garde" w:cs="Arial"/>
          <w:color w:val="000000" w:themeColor="text1"/>
        </w:rPr>
      </w:pPr>
      <w:r>
        <w:rPr>
          <w:rFonts w:ascii="ITC Avant Garde" w:hAnsi="ITC Avant Garde" w:cs="Arial"/>
          <w:color w:val="000000" w:themeColor="text1"/>
        </w:rPr>
        <w:t xml:space="preserve">- Correo electrónico: </w:t>
      </w:r>
    </w:p>
    <w:p w14:paraId="2037420D" w14:textId="77777777" w:rsidR="00526FE9" w:rsidRPr="008762D1" w:rsidRDefault="00526FE9" w:rsidP="000F0B9F">
      <w:pPr>
        <w:numPr>
          <w:ilvl w:val="5"/>
          <w:numId w:val="20"/>
        </w:numPr>
        <w:tabs>
          <w:tab w:val="num" w:pos="900"/>
        </w:tabs>
        <w:autoSpaceDE w:val="0"/>
        <w:autoSpaceDN w:val="0"/>
        <w:adjustRightInd w:val="0"/>
        <w:spacing w:before="240" w:after="0" w:line="240"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Todo reporte de falla deberá contener como mínimo:</w:t>
      </w:r>
    </w:p>
    <w:p w14:paraId="02EDBEC6" w14:textId="77777777" w:rsidR="00526FE9" w:rsidRPr="008762D1" w:rsidRDefault="00526FE9" w:rsidP="002945D4">
      <w:pPr>
        <w:autoSpaceDE w:val="0"/>
        <w:autoSpaceDN w:val="0"/>
        <w:adjustRightInd w:val="0"/>
        <w:spacing w:before="240"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Nombre y cargo de la persona que notifica.</w:t>
      </w:r>
    </w:p>
    <w:p w14:paraId="75BC616E"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Día y hora de reporte</w:t>
      </w:r>
    </w:p>
    <w:p w14:paraId="56F2BF4F"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Día y hora de la falla</w:t>
      </w:r>
    </w:p>
    <w:p w14:paraId="39A21E54"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Tipo de falla, con todos los datos necesarios para su ubicación</w:t>
      </w:r>
    </w:p>
    <w:p w14:paraId="1B72542F"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Servicio(s) y NIR afectado(s)</w:t>
      </w:r>
    </w:p>
    <w:p w14:paraId="0C14567C"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Número(s) telefónicos de coordinación</w:t>
      </w:r>
    </w:p>
    <w:p w14:paraId="03468A7F"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Puntos de Interconexión afectados</w:t>
      </w:r>
    </w:p>
    <w:p w14:paraId="443BED7F" w14:textId="77777777" w:rsidR="00526FE9" w:rsidRPr="008762D1" w:rsidRDefault="00526FE9" w:rsidP="002945D4">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Según el tipo de falla se entregara la información disponible para su localización.</w:t>
      </w:r>
    </w:p>
    <w:p w14:paraId="4A13064B" w14:textId="77777777" w:rsidR="00526FE9" w:rsidRPr="008762D1" w:rsidRDefault="00526FE9" w:rsidP="000F0B9F">
      <w:pPr>
        <w:numPr>
          <w:ilvl w:val="5"/>
          <w:numId w:val="20"/>
        </w:numPr>
        <w:tabs>
          <w:tab w:val="num" w:pos="900"/>
        </w:tabs>
        <w:autoSpaceDE w:val="0"/>
        <w:autoSpaceDN w:val="0"/>
        <w:adjustRightInd w:val="0"/>
        <w:spacing w:before="240" w:after="0" w:line="240"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Las responsabilidades del Punto Único de Contacto serán:</w:t>
      </w:r>
    </w:p>
    <w:p w14:paraId="56E53DF7" w14:textId="77777777" w:rsidR="00526FE9" w:rsidRPr="008762D1" w:rsidRDefault="00526FE9" w:rsidP="00F735F9">
      <w:pPr>
        <w:autoSpaceDE w:val="0"/>
        <w:autoSpaceDN w:val="0"/>
        <w:adjustRightInd w:val="0"/>
        <w:spacing w:before="240"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xml:space="preserve">- </w:t>
      </w:r>
      <w:r w:rsidRPr="008762D1">
        <w:rPr>
          <w:rFonts w:ascii="ITC Avant Garde" w:hAnsi="ITC Avant Garde" w:cs="Arial"/>
          <w:color w:val="000000" w:themeColor="text1"/>
        </w:rPr>
        <w:tab/>
        <w:t>Recibir reporte de quejas.</w:t>
      </w:r>
    </w:p>
    <w:p w14:paraId="33871AF3" w14:textId="77777777" w:rsidR="00526FE9" w:rsidRPr="008762D1" w:rsidRDefault="00526FE9" w:rsidP="00F735F9">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xml:space="preserve">- </w:t>
      </w:r>
      <w:r w:rsidRPr="008762D1">
        <w:rPr>
          <w:rFonts w:ascii="ITC Avant Garde" w:hAnsi="ITC Avant Garde" w:cs="Arial"/>
          <w:color w:val="000000" w:themeColor="text1"/>
        </w:rPr>
        <w:tab/>
        <w:t>Notificar, a más tardar una hora después de recibir un reporte de falla, un diagnóstico inicial y un tiempo estimado de reparación.</w:t>
      </w:r>
    </w:p>
    <w:p w14:paraId="6121BD88" w14:textId="77777777" w:rsidR="00526FE9" w:rsidRPr="008762D1" w:rsidRDefault="00526FE9" w:rsidP="00F735F9">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lastRenderedPageBreak/>
        <w:t xml:space="preserve">- </w:t>
      </w:r>
      <w:r w:rsidRPr="008762D1">
        <w:rPr>
          <w:rFonts w:ascii="ITC Avant Garde" w:hAnsi="ITC Avant Garde" w:cs="Arial"/>
          <w:color w:val="000000" w:themeColor="text1"/>
        </w:rPr>
        <w:tab/>
        <w:t>En caso de que cambie el tiempo estimado de reparación, o en su defecto, media hora antes de expirar el tiempo de reparación inicialmente señalado deberá existir una actualización y un nuevo tiempo estimado de solución de la falla.</w:t>
      </w:r>
    </w:p>
    <w:p w14:paraId="667101C4" w14:textId="77777777" w:rsidR="00526FE9" w:rsidRPr="008762D1" w:rsidRDefault="00526FE9" w:rsidP="00F735F9">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Coordinar con las propias áreas de mantenimiento la ubicación y reparación de fallas</w:t>
      </w:r>
    </w:p>
    <w:p w14:paraId="185DA39B" w14:textId="77777777" w:rsidR="00526FE9" w:rsidRPr="008762D1" w:rsidRDefault="00526FE9" w:rsidP="00F735F9">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xml:space="preserve">- </w:t>
      </w:r>
      <w:r w:rsidRPr="008762D1">
        <w:rPr>
          <w:rFonts w:ascii="ITC Avant Garde" w:hAnsi="ITC Avant Garde" w:cs="Arial"/>
          <w:color w:val="000000" w:themeColor="text1"/>
        </w:rPr>
        <w:tab/>
        <w:t>Coordinar actividades conjuntas entre Concesionarios para minimizar el impacto de las fallas en las redes</w:t>
      </w:r>
    </w:p>
    <w:p w14:paraId="5B5A3E42" w14:textId="77777777" w:rsidR="00526FE9" w:rsidRPr="008762D1" w:rsidRDefault="00526FE9" w:rsidP="00F735F9">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Activación de los procedimientos de emergencia y contingencia acordados en el Anexo E del presente Convenio, en caso necesario.</w:t>
      </w:r>
    </w:p>
    <w:p w14:paraId="301358B9" w14:textId="77777777" w:rsidR="00526FE9" w:rsidRPr="008762D1" w:rsidRDefault="00526FE9" w:rsidP="00F735F9">
      <w:pPr>
        <w:autoSpaceDE w:val="0"/>
        <w:autoSpaceDN w:val="0"/>
        <w:adjustRightInd w:val="0"/>
        <w:spacing w:after="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Notificar sobre problemas o circunstancias que afecten el servicio, iniciar acción correctiva y proporcionar los reportes de estado de avance correspondientes.</w:t>
      </w:r>
    </w:p>
    <w:p w14:paraId="713F7683" w14:textId="77777777" w:rsidR="00526FE9" w:rsidRPr="008762D1" w:rsidRDefault="00526FE9" w:rsidP="00F735F9">
      <w:pPr>
        <w:autoSpaceDE w:val="0"/>
        <w:autoSpaceDN w:val="0"/>
        <w:adjustRightInd w:val="0"/>
        <w:ind w:left="1418" w:hanging="234"/>
        <w:jc w:val="both"/>
        <w:rPr>
          <w:rFonts w:ascii="ITC Avant Garde" w:hAnsi="ITC Avant Garde" w:cs="Arial"/>
          <w:color w:val="000000" w:themeColor="text1"/>
        </w:rPr>
      </w:pPr>
      <w:r w:rsidRPr="008762D1">
        <w:rPr>
          <w:rFonts w:ascii="ITC Avant Garde" w:hAnsi="ITC Avant Garde" w:cs="Arial"/>
          <w:color w:val="000000" w:themeColor="text1"/>
        </w:rPr>
        <w:t xml:space="preserve">- </w:t>
      </w:r>
      <w:r w:rsidRPr="008762D1">
        <w:rPr>
          <w:rFonts w:ascii="ITC Avant Garde" w:hAnsi="ITC Avant Garde" w:cs="Arial"/>
          <w:color w:val="000000" w:themeColor="text1"/>
        </w:rPr>
        <w:tab/>
        <w:t>Coordinar con su contraparte la verificación y pruebas requeridas para asegurar que la falla ha sido reparada</w:t>
      </w:r>
    </w:p>
    <w:p w14:paraId="2AB28078" w14:textId="77777777" w:rsidR="00526FE9" w:rsidRPr="008762D1" w:rsidRDefault="00526FE9" w:rsidP="000F0B9F">
      <w:pPr>
        <w:numPr>
          <w:ilvl w:val="5"/>
          <w:numId w:val="20"/>
        </w:numPr>
        <w:tabs>
          <w:tab w:val="num" w:pos="900"/>
        </w:tabs>
        <w:autoSpaceDE w:val="0"/>
        <w:autoSpaceDN w:val="0"/>
        <w:adjustRightInd w:val="0"/>
        <w:spacing w:before="240" w:after="0" w:line="240"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1CF73F42" w14:textId="77777777" w:rsidR="00526FE9" w:rsidRPr="008762D1" w:rsidRDefault="00526FE9" w:rsidP="000F0B9F">
      <w:pPr>
        <w:numPr>
          <w:ilvl w:val="5"/>
          <w:numId w:val="20"/>
        </w:numPr>
        <w:tabs>
          <w:tab w:val="num" w:pos="900"/>
        </w:tabs>
        <w:autoSpaceDE w:val="0"/>
        <w:autoSpaceDN w:val="0"/>
        <w:adjustRightInd w:val="0"/>
        <w:spacing w:before="240" w:after="0" w:line="240" w:lineRule="auto"/>
        <w:ind w:left="896" w:hanging="357"/>
        <w:jc w:val="both"/>
        <w:rPr>
          <w:rFonts w:ascii="ITC Avant Garde" w:hAnsi="ITC Avant Garde" w:cs="Arial"/>
          <w:color w:val="000000" w:themeColor="text1"/>
        </w:rPr>
      </w:pPr>
      <w:r w:rsidRPr="008762D1">
        <w:rPr>
          <w:rFonts w:ascii="ITC Avant Garde" w:hAnsi="ITC Avant Garde" w:cs="Arial"/>
          <w:color w:val="000000" w:themeColor="text1"/>
        </w:rPr>
        <w:t xml:space="preserve">En caso de que se detecten problemas con la </w:t>
      </w:r>
      <w:proofErr w:type="spellStart"/>
      <w:r w:rsidRPr="008762D1">
        <w:rPr>
          <w:rFonts w:ascii="ITC Avant Garde" w:hAnsi="ITC Avant Garde" w:cs="Arial"/>
          <w:color w:val="000000" w:themeColor="text1"/>
        </w:rPr>
        <w:t>completación</w:t>
      </w:r>
      <w:proofErr w:type="spellEnd"/>
      <w:r w:rsidRPr="008762D1">
        <w:rPr>
          <w:rFonts w:ascii="ITC Avant Garde" w:hAnsi="ITC Avant Garde" w:cs="Arial"/>
          <w:color w:val="000000" w:themeColor="text1"/>
        </w:rPr>
        <w:t xml:space="preserve"> de llamadas, ambas partes realizarán actividades conjuntas para el análisis de la falla, y establecerán conjuntamente las acciones para su corrección. En caso de que Telmex proporcione el servicio de Tránsito y que se presente una falla, Telmex deberá participar conjuntamente con los otros Concesionarios involucrados en las pruebas y solución de la misma.</w:t>
      </w:r>
    </w:p>
    <w:p w14:paraId="4BBCD914" w14:textId="77777777" w:rsidR="000F0B9F" w:rsidRPr="008762D1" w:rsidRDefault="00526FE9" w:rsidP="000F0B9F">
      <w:pPr>
        <w:pStyle w:val="Prrafodelista"/>
        <w:numPr>
          <w:ilvl w:val="5"/>
          <w:numId w:val="20"/>
        </w:numPr>
        <w:autoSpaceDE w:val="0"/>
        <w:autoSpaceDN w:val="0"/>
        <w:adjustRightInd w:val="0"/>
        <w:spacing w:before="240" w:after="0" w:line="240" w:lineRule="auto"/>
        <w:ind w:left="851"/>
        <w:jc w:val="both"/>
        <w:rPr>
          <w:rFonts w:ascii="ITC Avant Garde" w:hAnsi="ITC Avant Garde" w:cs="Arial"/>
          <w:color w:val="000000" w:themeColor="text1"/>
        </w:rPr>
      </w:pPr>
      <w:r w:rsidRPr="008762D1">
        <w:rPr>
          <w:rFonts w:ascii="ITC Avant Garde" w:hAnsi="ITC Avant Garde" w:cs="Arial"/>
          <w:color w:val="000000" w:themeColor="text1"/>
        </w:rPr>
        <w:t>El proceso y tiempos de atención por tipo</w:t>
      </w:r>
      <w:r w:rsidRPr="008762D1">
        <w:rPr>
          <w:rFonts w:ascii="ITC Avant Garde" w:hAnsi="ITC Avant Garde"/>
          <w:color w:val="000000" w:themeColor="text1"/>
        </w:rPr>
        <w:t xml:space="preserve"> de falla </w:t>
      </w:r>
      <w:r w:rsidRPr="008762D1">
        <w:rPr>
          <w:rFonts w:ascii="ITC Avant Garde" w:hAnsi="ITC Avant Garde" w:cs="Arial"/>
          <w:color w:val="000000" w:themeColor="text1"/>
        </w:rPr>
        <w:t>se indican a detalle en el Anexo E.</w:t>
      </w:r>
    </w:p>
    <w:p w14:paraId="12C0C7CA" w14:textId="77777777" w:rsidR="000F0B9F" w:rsidRPr="008762D1" w:rsidRDefault="00526FE9" w:rsidP="000F0B9F">
      <w:pPr>
        <w:autoSpaceDE w:val="0"/>
        <w:autoSpaceDN w:val="0"/>
        <w:adjustRightInd w:val="0"/>
        <w:spacing w:before="240"/>
        <w:jc w:val="both"/>
        <w:rPr>
          <w:rFonts w:ascii="ITC Avant Garde" w:hAnsi="ITC Avant Garde" w:cs="Times New Roman"/>
          <w:b/>
          <w:color w:val="000000" w:themeColor="text1"/>
        </w:rPr>
      </w:pPr>
      <w:r w:rsidRPr="008762D1">
        <w:rPr>
          <w:rFonts w:ascii="ITC Avant Garde" w:hAnsi="ITC Avant Garde" w:cs="Arial"/>
          <w:b/>
          <w:color w:val="000000" w:themeColor="text1"/>
        </w:rPr>
        <w:t xml:space="preserve">TEMA 6 </w:t>
      </w:r>
      <w:proofErr w:type="spellStart"/>
      <w:r w:rsidRPr="008762D1">
        <w:rPr>
          <w:rFonts w:ascii="ITC Avant Garde" w:hAnsi="ITC Avant Garde" w:cs="Arial"/>
          <w:b/>
          <w:color w:val="000000" w:themeColor="text1"/>
        </w:rPr>
        <w:t>Coubicación</w:t>
      </w:r>
      <w:proofErr w:type="spellEnd"/>
      <w:r w:rsidRPr="008762D1">
        <w:rPr>
          <w:rFonts w:ascii="ITC Avant Garde" w:hAnsi="ITC Avant Garde" w:cs="Arial"/>
          <w:b/>
          <w:color w:val="000000" w:themeColor="text1"/>
        </w:rPr>
        <w:t xml:space="preserve"> </w:t>
      </w:r>
    </w:p>
    <w:p w14:paraId="5F098A4B" w14:textId="77777777" w:rsidR="000F0B9F"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rPr>
      </w:pPr>
      <w:r w:rsidRPr="008762D1">
        <w:rPr>
          <w:rFonts w:ascii="ITC Avant Garde" w:hAnsi="ITC Avant Garde" w:cs="Arial"/>
          <w:b/>
          <w:color w:val="000000" w:themeColor="text1"/>
        </w:rPr>
        <w:t xml:space="preserve">INCISO 6.1 </w:t>
      </w:r>
      <w:proofErr w:type="spellStart"/>
      <w:r w:rsidRPr="008762D1">
        <w:rPr>
          <w:rFonts w:ascii="ITC Avant Garde" w:hAnsi="ITC Avant Garde" w:cs="Arial"/>
          <w:b/>
          <w:color w:val="000000" w:themeColor="text1"/>
        </w:rPr>
        <w:t>Coubicación</w:t>
      </w:r>
      <w:proofErr w:type="spellEnd"/>
      <w:r w:rsidRPr="008762D1">
        <w:rPr>
          <w:rFonts w:ascii="ITC Avant Garde" w:hAnsi="ITC Avant Garde" w:cs="Arial"/>
          <w:b/>
          <w:color w:val="000000" w:themeColor="text1"/>
        </w:rPr>
        <w:t xml:space="preserve"> </w:t>
      </w:r>
    </w:p>
    <w:p w14:paraId="406D2D52" w14:textId="776ACD76" w:rsidR="00526FE9" w:rsidRPr="00F031E8" w:rsidRDefault="00526FE9" w:rsidP="00F031E8">
      <w:pPr>
        <w:pStyle w:val="Textosinformato"/>
        <w:spacing w:before="240"/>
        <w:ind w:left="425"/>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Las condiciones técnicas de la </w:t>
      </w:r>
      <w:proofErr w:type="spellStart"/>
      <w:r w:rsidRPr="008762D1">
        <w:rPr>
          <w:rFonts w:ascii="ITC Avant Garde" w:hAnsi="ITC Avant Garde" w:cs="Arial"/>
          <w:color w:val="000000" w:themeColor="text1"/>
          <w:sz w:val="22"/>
          <w:szCs w:val="22"/>
        </w:rPr>
        <w:t>coubicación</w:t>
      </w:r>
      <w:proofErr w:type="spellEnd"/>
      <w:r w:rsidRPr="008762D1">
        <w:rPr>
          <w:rFonts w:ascii="ITC Avant Garde" w:hAnsi="ITC Avant Garde" w:cs="Arial"/>
          <w:color w:val="000000" w:themeColor="text1"/>
          <w:sz w:val="22"/>
          <w:szCs w:val="22"/>
        </w:rPr>
        <w:t xml:space="preserve"> son: Para cada espacio de </w:t>
      </w:r>
      <w:proofErr w:type="spellStart"/>
      <w:r w:rsidRPr="008762D1">
        <w:rPr>
          <w:rFonts w:ascii="ITC Avant Garde" w:hAnsi="ITC Avant Garde" w:cs="Arial"/>
          <w:color w:val="000000" w:themeColor="text1"/>
          <w:sz w:val="22"/>
          <w:szCs w:val="22"/>
        </w:rPr>
        <w:t>coubicación</w:t>
      </w:r>
      <w:proofErr w:type="spellEnd"/>
      <w:r w:rsidRPr="008762D1">
        <w:rPr>
          <w:rFonts w:ascii="ITC Avant Garde" w:hAnsi="ITC Avant Garde" w:cs="Arial"/>
          <w:color w:val="000000" w:themeColor="text1"/>
          <w:sz w:val="22"/>
          <w:szCs w:val="22"/>
        </w:rPr>
        <w:t xml:space="preserve"> la tarifa de arrendamiento garantizará un consumo mensual má</w:t>
      </w:r>
      <w:r w:rsidR="00F031E8">
        <w:rPr>
          <w:rFonts w:ascii="ITC Avant Garde" w:hAnsi="ITC Avant Garde" w:cs="Arial"/>
          <w:color w:val="000000" w:themeColor="text1"/>
          <w:sz w:val="22"/>
          <w:szCs w:val="22"/>
        </w:rPr>
        <w:t>ximo de acuerdo a lo siguiente:</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Caption w:val="tABLA"/>
        <w:tblDescription w:val="consumo mensual máximo "/>
      </w:tblPr>
      <w:tblGrid>
        <w:gridCol w:w="2927"/>
        <w:gridCol w:w="5580"/>
      </w:tblGrid>
      <w:tr w:rsidR="008762D1" w:rsidRPr="008762D1" w14:paraId="509F7865" w14:textId="77777777" w:rsidTr="00036A6A">
        <w:trPr>
          <w:tblHeader/>
          <w:jc w:val="center"/>
        </w:trPr>
        <w:tc>
          <w:tcPr>
            <w:tcW w:w="2927" w:type="dxa"/>
          </w:tcPr>
          <w:p w14:paraId="52FB0617" w14:textId="77777777" w:rsidR="00F735F9" w:rsidRPr="008762D1" w:rsidRDefault="00F735F9" w:rsidP="00F735F9">
            <w:pPr>
              <w:pStyle w:val="Textosinformato"/>
              <w:tabs>
                <w:tab w:val="left" w:pos="276"/>
              </w:tabs>
              <w:spacing w:line="276" w:lineRule="auto"/>
              <w:ind w:left="720"/>
              <w:jc w:val="both"/>
              <w:rPr>
                <w:rFonts w:ascii="ITC Avant Garde" w:hAnsi="ITC Avant Garde" w:cs="Arial"/>
                <w:color w:val="000000" w:themeColor="text1"/>
              </w:rPr>
            </w:pPr>
          </w:p>
        </w:tc>
        <w:tc>
          <w:tcPr>
            <w:tcW w:w="5580" w:type="dxa"/>
          </w:tcPr>
          <w:p w14:paraId="03257FAB" w14:textId="2D58A462" w:rsidR="00F735F9" w:rsidRPr="008762D1" w:rsidRDefault="00F735F9" w:rsidP="00F735F9">
            <w:pPr>
              <w:pStyle w:val="Textosinformato"/>
              <w:spacing w:line="276" w:lineRule="auto"/>
              <w:jc w:val="center"/>
              <w:rPr>
                <w:rFonts w:ascii="ITC Avant Garde" w:hAnsi="ITC Avant Garde" w:cs="Arial"/>
                <w:b/>
                <w:color w:val="000000" w:themeColor="text1"/>
              </w:rPr>
            </w:pPr>
            <w:r w:rsidRPr="008762D1">
              <w:rPr>
                <w:rFonts w:ascii="ITC Avant Garde" w:hAnsi="ITC Avant Garde" w:cs="Arial"/>
                <w:b/>
                <w:color w:val="000000" w:themeColor="text1"/>
              </w:rPr>
              <w:t>DESCRIPCIÓN</w:t>
            </w:r>
          </w:p>
        </w:tc>
      </w:tr>
      <w:tr w:rsidR="008762D1" w:rsidRPr="008762D1" w14:paraId="204C16F3" w14:textId="77777777" w:rsidTr="00036A6A">
        <w:trPr>
          <w:jc w:val="center"/>
        </w:trPr>
        <w:tc>
          <w:tcPr>
            <w:tcW w:w="2927" w:type="dxa"/>
            <w:hideMark/>
          </w:tcPr>
          <w:p w14:paraId="37706E78" w14:textId="77777777" w:rsidR="00526FE9" w:rsidRPr="008762D1" w:rsidRDefault="00526FE9" w:rsidP="00F735F9">
            <w:pPr>
              <w:pStyle w:val="Textosinformato"/>
              <w:numPr>
                <w:ilvl w:val="0"/>
                <w:numId w:val="53"/>
              </w:numPr>
              <w:tabs>
                <w:tab w:val="left" w:pos="276"/>
              </w:tabs>
              <w:spacing w:line="276" w:lineRule="auto"/>
              <w:ind w:hanging="720"/>
              <w:jc w:val="both"/>
              <w:rPr>
                <w:rFonts w:ascii="ITC Avant Garde" w:hAnsi="ITC Avant Garde" w:cs="Arial"/>
                <w:color w:val="000000" w:themeColor="text1"/>
              </w:rPr>
            </w:pPr>
            <w:r w:rsidRPr="008762D1">
              <w:rPr>
                <w:rFonts w:ascii="ITC Avant Garde" w:hAnsi="ITC Avant Garde" w:cs="Arial"/>
                <w:color w:val="000000" w:themeColor="text1"/>
              </w:rPr>
              <w:t>Espacio:</w:t>
            </w:r>
          </w:p>
        </w:tc>
        <w:tc>
          <w:tcPr>
            <w:tcW w:w="5580" w:type="dxa"/>
            <w:hideMark/>
          </w:tcPr>
          <w:p w14:paraId="6F4AB69A"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Delimitación física </w:t>
            </w:r>
          </w:p>
        </w:tc>
      </w:tr>
      <w:tr w:rsidR="008762D1" w:rsidRPr="008762D1" w14:paraId="7FD52C4A" w14:textId="77777777" w:rsidTr="00036A6A">
        <w:trPr>
          <w:jc w:val="center"/>
        </w:trPr>
        <w:tc>
          <w:tcPr>
            <w:tcW w:w="2927" w:type="dxa"/>
            <w:hideMark/>
          </w:tcPr>
          <w:p w14:paraId="22193C6D" w14:textId="77777777" w:rsidR="00526FE9" w:rsidRPr="008762D1" w:rsidRDefault="00526FE9" w:rsidP="00F735F9">
            <w:pPr>
              <w:pStyle w:val="Textosinformato"/>
              <w:numPr>
                <w:ilvl w:val="0"/>
                <w:numId w:val="54"/>
              </w:numPr>
              <w:tabs>
                <w:tab w:val="left" w:pos="276"/>
              </w:tabs>
              <w:spacing w:line="276" w:lineRule="auto"/>
              <w:ind w:hanging="720"/>
              <w:jc w:val="both"/>
              <w:rPr>
                <w:rFonts w:ascii="ITC Avant Garde" w:hAnsi="ITC Avant Garde" w:cs="Arial"/>
                <w:color w:val="000000" w:themeColor="text1"/>
              </w:rPr>
            </w:pPr>
            <w:r w:rsidRPr="008762D1">
              <w:rPr>
                <w:rFonts w:ascii="ITC Avant Garde" w:hAnsi="ITC Avant Garde" w:cs="Arial"/>
                <w:color w:val="000000" w:themeColor="text1"/>
              </w:rPr>
              <w:t>Área del local:</w:t>
            </w:r>
          </w:p>
        </w:tc>
        <w:tc>
          <w:tcPr>
            <w:tcW w:w="5580" w:type="dxa"/>
          </w:tcPr>
          <w:p w14:paraId="25DBEFB1" w14:textId="77777777" w:rsidR="000F0B9F" w:rsidRPr="008762D1" w:rsidRDefault="00526FE9" w:rsidP="00F735F9">
            <w:pPr>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 xml:space="preserve">Tipo 1 (Local): </w:t>
            </w:r>
            <w:r w:rsidRPr="008762D1">
              <w:rPr>
                <w:rFonts w:ascii="ITC Avant Garde" w:hAnsi="ITC Avant Garde"/>
                <w:color w:val="000000" w:themeColor="text1"/>
                <w:sz w:val="20"/>
                <w:szCs w:val="20"/>
              </w:rPr>
              <w:t>Área de 4 m</w:t>
            </w:r>
            <w:r w:rsidRPr="008762D1">
              <w:rPr>
                <w:rFonts w:ascii="ITC Avant Garde" w:hAnsi="ITC Avant Garde"/>
                <w:color w:val="000000" w:themeColor="text1"/>
                <w:sz w:val="20"/>
                <w:szCs w:val="20"/>
                <w:vertAlign w:val="superscript"/>
              </w:rPr>
              <w:t>2</w:t>
            </w:r>
            <w:r w:rsidRPr="008762D1">
              <w:rPr>
                <w:rFonts w:ascii="ITC Avant Garde" w:hAnsi="ITC Avant Garde"/>
                <w:color w:val="000000" w:themeColor="text1"/>
                <w:sz w:val="20"/>
                <w:szCs w:val="20"/>
              </w:rPr>
              <w:t xml:space="preserve"> (2x2), con delimitación de tabla roca pudiendo utilizar las paredes existentes</w:t>
            </w:r>
            <w:r w:rsidRPr="008762D1">
              <w:rPr>
                <w:rFonts w:ascii="ITC Avant Garde" w:hAnsi="ITC Avant Garde" w:cs="Arial"/>
                <w:color w:val="000000" w:themeColor="text1"/>
                <w:sz w:val="20"/>
                <w:szCs w:val="20"/>
              </w:rPr>
              <w:t>.</w:t>
            </w:r>
          </w:p>
          <w:p w14:paraId="37FBBDB2" w14:textId="77777777" w:rsidR="000F0B9F" w:rsidRPr="008762D1" w:rsidRDefault="00526FE9" w:rsidP="00F735F9">
            <w:pPr>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Tipo 2 (Local): Área de 9 m</w:t>
            </w:r>
            <w:r w:rsidRPr="008762D1">
              <w:rPr>
                <w:rFonts w:ascii="ITC Avant Garde" w:hAnsi="ITC Avant Garde"/>
                <w:color w:val="000000" w:themeColor="text1"/>
                <w:sz w:val="20"/>
                <w:szCs w:val="20"/>
                <w:vertAlign w:val="superscript"/>
              </w:rPr>
              <w:t>2</w:t>
            </w:r>
            <w:r w:rsidRPr="008762D1">
              <w:rPr>
                <w:rFonts w:ascii="ITC Avant Garde" w:hAnsi="ITC Avant Garde" w:cs="Arial"/>
                <w:color w:val="000000" w:themeColor="text1"/>
                <w:sz w:val="20"/>
                <w:szCs w:val="20"/>
              </w:rPr>
              <w:t xml:space="preserve"> (3x3), con delimitación de tabla roca pudiendo utilizar las paredes existentes.</w:t>
            </w:r>
          </w:p>
          <w:p w14:paraId="25D004B0" w14:textId="77777777" w:rsidR="000F0B9F" w:rsidRPr="008762D1" w:rsidRDefault="00526FE9" w:rsidP="00F735F9">
            <w:pPr>
              <w:jc w:val="both"/>
              <w:rPr>
                <w:rFonts w:ascii="ITC Avant Garde" w:hAnsi="ITC Avant Garde" w:cs="Times New Roman"/>
                <w:color w:val="000000" w:themeColor="text1"/>
                <w:sz w:val="20"/>
                <w:szCs w:val="20"/>
                <w:lang w:eastAsia="es-ES"/>
              </w:rPr>
            </w:pPr>
            <w:r w:rsidRPr="008762D1">
              <w:rPr>
                <w:rFonts w:ascii="ITC Avant Garde" w:hAnsi="ITC Avant Garde"/>
                <w:color w:val="000000" w:themeColor="text1"/>
                <w:sz w:val="20"/>
                <w:szCs w:val="20"/>
              </w:rPr>
              <w:lastRenderedPageBreak/>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05C285B7" w14:textId="4FDE81B1" w:rsidR="00526FE9" w:rsidRPr="008762D1" w:rsidRDefault="00526FE9" w:rsidP="00F735F9">
            <w:pPr>
              <w:jc w:val="both"/>
              <w:rPr>
                <w:rFonts w:ascii="ITC Avant Garde" w:hAnsi="ITC Avant Garde"/>
                <w:color w:val="000000" w:themeColor="text1"/>
                <w:sz w:val="20"/>
                <w:szCs w:val="20"/>
              </w:rPr>
            </w:pPr>
            <w:r w:rsidRPr="008762D1">
              <w:rPr>
                <w:rFonts w:ascii="ITC Avant Garde" w:hAnsi="ITC Avant Garde"/>
                <w:color w:val="000000" w:themeColor="text1"/>
                <w:sz w:val="20"/>
                <w:szCs w:val="20"/>
              </w:rPr>
              <w:t>• Altura: 2200 [mm]</w:t>
            </w:r>
          </w:p>
          <w:p w14:paraId="129070A9" w14:textId="2D75EA42" w:rsidR="00526FE9" w:rsidRPr="008762D1" w:rsidRDefault="00526FE9" w:rsidP="00F735F9">
            <w:pPr>
              <w:jc w:val="both"/>
              <w:rPr>
                <w:rFonts w:ascii="ITC Avant Garde" w:hAnsi="ITC Avant Garde"/>
                <w:color w:val="000000" w:themeColor="text1"/>
                <w:sz w:val="20"/>
                <w:szCs w:val="20"/>
              </w:rPr>
            </w:pPr>
            <w:r w:rsidRPr="008762D1">
              <w:rPr>
                <w:rFonts w:ascii="ITC Avant Garde" w:hAnsi="ITC Avant Garde"/>
                <w:color w:val="000000" w:themeColor="text1"/>
                <w:sz w:val="20"/>
                <w:szCs w:val="20"/>
              </w:rPr>
              <w:t>• Ancho: 600 [mm]</w:t>
            </w:r>
          </w:p>
          <w:p w14:paraId="04F778B8" w14:textId="70C73CB2" w:rsidR="000F0B9F" w:rsidRPr="008762D1" w:rsidRDefault="00526FE9" w:rsidP="00F735F9">
            <w:pPr>
              <w:jc w:val="both"/>
              <w:rPr>
                <w:rFonts w:ascii="ITC Avant Garde" w:hAnsi="ITC Avant Garde"/>
                <w:color w:val="000000" w:themeColor="text1"/>
                <w:sz w:val="20"/>
                <w:szCs w:val="20"/>
              </w:rPr>
            </w:pPr>
            <w:r w:rsidRPr="008762D1">
              <w:rPr>
                <w:rFonts w:ascii="ITC Avant Garde" w:hAnsi="ITC Avant Garde"/>
                <w:color w:val="000000" w:themeColor="text1"/>
                <w:sz w:val="20"/>
                <w:szCs w:val="20"/>
              </w:rPr>
              <w:t>• Profundidad: 600 [mm]</w:t>
            </w:r>
          </w:p>
          <w:p w14:paraId="12D05AD0" w14:textId="77777777" w:rsidR="000F0B9F" w:rsidRPr="008762D1" w:rsidRDefault="00526FE9" w:rsidP="00F735F9">
            <w:pPr>
              <w:jc w:val="both"/>
              <w:rPr>
                <w:rFonts w:ascii="ITC Avant Garde" w:hAnsi="ITC Avant Garde"/>
                <w:color w:val="000000" w:themeColor="text1"/>
                <w:sz w:val="20"/>
                <w:szCs w:val="20"/>
              </w:rPr>
            </w:pPr>
            <w:r w:rsidRPr="008762D1">
              <w:rPr>
                <w:rFonts w:ascii="ITC Avant Garde" w:hAnsi="ITC Avant Garde"/>
                <w:color w:val="000000" w:themeColor="text1"/>
                <w:sz w:val="20"/>
                <w:szCs w:val="20"/>
              </w:rPr>
              <w:t>6 unidades de rack serán reservadas para el PDU (unidad de distribución de energía) y el sistema de ventilación.</w:t>
            </w:r>
          </w:p>
          <w:p w14:paraId="3B603B76" w14:textId="77777777" w:rsidR="000F0B9F" w:rsidRPr="008762D1" w:rsidRDefault="00526FE9" w:rsidP="00F735F9">
            <w:pPr>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Telmex permitirá al Concesionario Solicitante compartir con otros Concesionarios que se lo requieran, el gabinete que al efecto Telmex le haya proporcionado. En cuyo caso el responsable del gabinete seguirá siendo el Concesionario Solicitante.</w:t>
            </w:r>
          </w:p>
          <w:p w14:paraId="7DE658E2" w14:textId="5E3892AF" w:rsidR="00526FE9" w:rsidRPr="008762D1" w:rsidRDefault="00526FE9" w:rsidP="00F735F9">
            <w:pPr>
              <w:jc w:val="both"/>
              <w:rPr>
                <w:rFonts w:ascii="ITC Avant Garde" w:hAnsi="ITC Avant Garde" w:cs="Arial"/>
                <w:color w:val="000000" w:themeColor="text1"/>
                <w:sz w:val="20"/>
                <w:szCs w:val="20"/>
              </w:rPr>
            </w:pPr>
            <w:r w:rsidRPr="008762D1">
              <w:rPr>
                <w:rFonts w:ascii="ITC Avant Garde" w:hAnsi="ITC Avant Garde" w:cs="Arial"/>
                <w:color w:val="000000" w:themeColor="text1"/>
                <w:sz w:val="20"/>
                <w:szCs w:val="20"/>
              </w:rPr>
              <w:t xml:space="preserve">Este tipo de </w:t>
            </w:r>
            <w:proofErr w:type="spellStart"/>
            <w:r w:rsidRPr="008762D1">
              <w:rPr>
                <w:rFonts w:ascii="ITC Avant Garde" w:hAnsi="ITC Avant Garde" w:cs="Arial"/>
                <w:color w:val="000000" w:themeColor="text1"/>
                <w:sz w:val="20"/>
                <w:szCs w:val="20"/>
              </w:rPr>
              <w:t>coubicacion</w:t>
            </w:r>
            <w:proofErr w:type="spellEnd"/>
            <w:r w:rsidRPr="008762D1">
              <w:rPr>
                <w:rFonts w:ascii="ITC Avant Garde" w:hAnsi="ITC Avant Garde" w:cs="Arial"/>
                <w:color w:val="000000" w:themeColor="text1"/>
                <w:sz w:val="20"/>
                <w:szCs w:val="20"/>
              </w:rPr>
              <w:t xml:space="preserve"> se aplica únicamente en los puntos de interconexión indicados en el </w:t>
            </w:r>
            <w:proofErr w:type="spellStart"/>
            <w:r w:rsidRPr="008762D1">
              <w:rPr>
                <w:rFonts w:ascii="ITC Avant Garde" w:hAnsi="ITC Avant Garde" w:cs="Arial"/>
                <w:color w:val="000000" w:themeColor="text1"/>
                <w:sz w:val="20"/>
                <w:szCs w:val="20"/>
              </w:rPr>
              <w:t>Subanexo</w:t>
            </w:r>
            <w:proofErr w:type="spellEnd"/>
            <w:r w:rsidRPr="008762D1">
              <w:rPr>
                <w:rFonts w:ascii="ITC Avant Garde" w:hAnsi="ITC Avant Garde" w:cs="Arial"/>
                <w:color w:val="000000" w:themeColor="text1"/>
                <w:sz w:val="20"/>
                <w:szCs w:val="20"/>
              </w:rPr>
              <w:t xml:space="preserve"> A-1.</w:t>
            </w:r>
          </w:p>
          <w:p w14:paraId="08ECCF30" w14:textId="77777777" w:rsidR="00526FE9" w:rsidRPr="008762D1" w:rsidRDefault="00526FE9" w:rsidP="00F735F9">
            <w:pPr>
              <w:pStyle w:val="Textosinformato"/>
              <w:spacing w:line="276" w:lineRule="auto"/>
              <w:jc w:val="both"/>
              <w:rPr>
                <w:rFonts w:ascii="ITC Avant Garde" w:hAnsi="ITC Avant Garde" w:cs="Times New Roman"/>
                <w:color w:val="000000" w:themeColor="text1"/>
                <w:lang w:eastAsia="en-US"/>
              </w:rPr>
            </w:pPr>
          </w:p>
        </w:tc>
      </w:tr>
      <w:tr w:rsidR="008762D1" w:rsidRPr="008762D1" w14:paraId="7EFE7A10" w14:textId="77777777" w:rsidTr="00036A6A">
        <w:trPr>
          <w:jc w:val="center"/>
        </w:trPr>
        <w:tc>
          <w:tcPr>
            <w:tcW w:w="2927" w:type="dxa"/>
            <w:hideMark/>
          </w:tcPr>
          <w:p w14:paraId="30111A81" w14:textId="77777777" w:rsidR="00526FE9" w:rsidRPr="008762D1" w:rsidRDefault="00526FE9" w:rsidP="00F735F9">
            <w:pPr>
              <w:pStyle w:val="Textosinformato"/>
              <w:numPr>
                <w:ilvl w:val="0"/>
                <w:numId w:val="54"/>
              </w:numPr>
              <w:tabs>
                <w:tab w:val="left" w:pos="261"/>
              </w:tabs>
              <w:spacing w:line="276" w:lineRule="auto"/>
              <w:ind w:hanging="720"/>
              <w:jc w:val="both"/>
              <w:rPr>
                <w:rFonts w:ascii="ITC Avant Garde" w:hAnsi="ITC Avant Garde" w:cs="Arial"/>
                <w:color w:val="000000" w:themeColor="text1"/>
              </w:rPr>
            </w:pPr>
            <w:r w:rsidRPr="008762D1">
              <w:rPr>
                <w:rFonts w:ascii="ITC Avant Garde" w:hAnsi="ITC Avant Garde" w:cs="Arial"/>
                <w:color w:val="000000" w:themeColor="text1"/>
              </w:rPr>
              <w:lastRenderedPageBreak/>
              <w:t>Acceso:</w:t>
            </w:r>
          </w:p>
        </w:tc>
        <w:tc>
          <w:tcPr>
            <w:tcW w:w="5580" w:type="dxa"/>
            <w:hideMark/>
          </w:tcPr>
          <w:p w14:paraId="1B329803"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7X24 </w:t>
            </w:r>
            <w:proofErr w:type="spellStart"/>
            <w:r w:rsidRPr="008762D1">
              <w:rPr>
                <w:rFonts w:ascii="ITC Avant Garde" w:hAnsi="ITC Avant Garde" w:cs="Arial"/>
                <w:color w:val="000000" w:themeColor="text1"/>
              </w:rPr>
              <w:t>hrs</w:t>
            </w:r>
            <w:proofErr w:type="spellEnd"/>
            <w:r w:rsidRPr="008762D1">
              <w:rPr>
                <w:rFonts w:ascii="ITC Avant Garde" w:hAnsi="ITC Avant Garde" w:cs="Arial"/>
                <w:color w:val="000000" w:themeColor="text1"/>
              </w:rPr>
              <w:t>. Todos los días del año atendiendo los procedimientos correspondientes</w:t>
            </w:r>
          </w:p>
        </w:tc>
      </w:tr>
      <w:tr w:rsidR="008762D1" w:rsidRPr="008762D1" w14:paraId="02F336B9" w14:textId="77777777" w:rsidTr="00036A6A">
        <w:trPr>
          <w:jc w:val="center"/>
        </w:trPr>
        <w:tc>
          <w:tcPr>
            <w:tcW w:w="2927" w:type="dxa"/>
            <w:hideMark/>
          </w:tcPr>
          <w:p w14:paraId="039DA2E4" w14:textId="77777777" w:rsidR="00526FE9" w:rsidRPr="008762D1" w:rsidRDefault="00526FE9" w:rsidP="00F735F9">
            <w:pPr>
              <w:pStyle w:val="Textosinformato"/>
              <w:numPr>
                <w:ilvl w:val="0"/>
                <w:numId w:val="54"/>
              </w:numPr>
              <w:tabs>
                <w:tab w:val="left" w:pos="261"/>
              </w:tabs>
              <w:spacing w:line="276" w:lineRule="auto"/>
              <w:ind w:hanging="720"/>
              <w:jc w:val="both"/>
              <w:rPr>
                <w:rFonts w:ascii="ITC Avant Garde" w:hAnsi="ITC Avant Garde" w:cs="Arial"/>
                <w:color w:val="000000" w:themeColor="text1"/>
              </w:rPr>
            </w:pPr>
            <w:r w:rsidRPr="008762D1">
              <w:rPr>
                <w:rFonts w:ascii="ITC Avant Garde" w:hAnsi="ITC Avant Garde" w:cs="Arial"/>
                <w:color w:val="000000" w:themeColor="text1"/>
              </w:rPr>
              <w:t>Contactos eléctricos:</w:t>
            </w:r>
          </w:p>
        </w:tc>
        <w:tc>
          <w:tcPr>
            <w:tcW w:w="5580" w:type="dxa"/>
            <w:hideMark/>
          </w:tcPr>
          <w:p w14:paraId="517EA7AB"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2 contactos dobles polarizados, voltaje suministrado por la compañía comercial +/- 10% máximo</w:t>
            </w:r>
          </w:p>
        </w:tc>
      </w:tr>
      <w:tr w:rsidR="008762D1" w:rsidRPr="008762D1" w14:paraId="66357B76" w14:textId="77777777" w:rsidTr="00036A6A">
        <w:trPr>
          <w:jc w:val="center"/>
        </w:trPr>
        <w:tc>
          <w:tcPr>
            <w:tcW w:w="2927" w:type="dxa"/>
            <w:hideMark/>
          </w:tcPr>
          <w:p w14:paraId="47870463" w14:textId="77777777" w:rsidR="00526FE9" w:rsidRPr="008762D1" w:rsidRDefault="00526FE9" w:rsidP="00F735F9">
            <w:pPr>
              <w:pStyle w:val="Textosinformato"/>
              <w:numPr>
                <w:ilvl w:val="0"/>
                <w:numId w:val="54"/>
              </w:numPr>
              <w:tabs>
                <w:tab w:val="left" w:pos="276"/>
              </w:tabs>
              <w:spacing w:line="276" w:lineRule="auto"/>
              <w:ind w:hanging="720"/>
              <w:jc w:val="both"/>
              <w:rPr>
                <w:rFonts w:ascii="ITC Avant Garde" w:hAnsi="ITC Avant Garde" w:cs="Arial"/>
                <w:color w:val="000000" w:themeColor="text1"/>
              </w:rPr>
            </w:pPr>
            <w:r w:rsidRPr="008762D1">
              <w:rPr>
                <w:rFonts w:ascii="ITC Avant Garde" w:hAnsi="ITC Avant Garde" w:cs="Arial"/>
                <w:color w:val="000000" w:themeColor="text1"/>
              </w:rPr>
              <w:t xml:space="preserve">Corriente Directa: </w:t>
            </w:r>
          </w:p>
        </w:tc>
        <w:tc>
          <w:tcPr>
            <w:tcW w:w="5580" w:type="dxa"/>
            <w:hideMark/>
          </w:tcPr>
          <w:p w14:paraId="21C0381D"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-48 volts, con 10 Amperes y respaldo de 4 horas, en su caso se podrá requerir respaldo opcional.</w:t>
            </w:r>
          </w:p>
        </w:tc>
      </w:tr>
      <w:tr w:rsidR="008762D1" w:rsidRPr="008762D1" w14:paraId="26219720" w14:textId="77777777" w:rsidTr="00036A6A">
        <w:trPr>
          <w:jc w:val="center"/>
        </w:trPr>
        <w:tc>
          <w:tcPr>
            <w:tcW w:w="2927" w:type="dxa"/>
            <w:hideMark/>
          </w:tcPr>
          <w:p w14:paraId="2CCE5049" w14:textId="77777777" w:rsidR="00526FE9" w:rsidRPr="008762D1" w:rsidRDefault="00526FE9" w:rsidP="00F735F9">
            <w:pPr>
              <w:pStyle w:val="Textosinformato"/>
              <w:numPr>
                <w:ilvl w:val="0"/>
                <w:numId w:val="54"/>
              </w:numPr>
              <w:tabs>
                <w:tab w:val="left" w:pos="276"/>
              </w:tabs>
              <w:spacing w:line="276" w:lineRule="auto"/>
              <w:ind w:hanging="720"/>
              <w:jc w:val="both"/>
              <w:rPr>
                <w:rFonts w:ascii="ITC Avant Garde" w:hAnsi="ITC Avant Garde" w:cs="Arial"/>
                <w:color w:val="000000" w:themeColor="text1"/>
              </w:rPr>
            </w:pPr>
            <w:r w:rsidRPr="008762D1">
              <w:rPr>
                <w:rFonts w:ascii="ITC Avant Garde" w:hAnsi="ITC Avant Garde" w:cs="Arial"/>
                <w:color w:val="000000" w:themeColor="text1"/>
              </w:rPr>
              <w:t>Corriente Alterna:</w:t>
            </w:r>
          </w:p>
        </w:tc>
        <w:tc>
          <w:tcPr>
            <w:tcW w:w="5580" w:type="dxa"/>
            <w:hideMark/>
          </w:tcPr>
          <w:p w14:paraId="01EAC203"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10 Amperes, con dos contactos polarizados a 127 volts con respaldo opcional</w:t>
            </w:r>
          </w:p>
        </w:tc>
      </w:tr>
      <w:tr w:rsidR="008762D1" w:rsidRPr="008762D1" w14:paraId="61ACA554" w14:textId="77777777" w:rsidTr="00036A6A">
        <w:trPr>
          <w:jc w:val="center"/>
        </w:trPr>
        <w:tc>
          <w:tcPr>
            <w:tcW w:w="2927" w:type="dxa"/>
            <w:hideMark/>
          </w:tcPr>
          <w:p w14:paraId="71AF7CA4" w14:textId="77777777" w:rsidR="00526FE9" w:rsidRPr="008762D1" w:rsidRDefault="00526FE9" w:rsidP="00F735F9">
            <w:pPr>
              <w:pStyle w:val="Textosinformato"/>
              <w:numPr>
                <w:ilvl w:val="0"/>
                <w:numId w:val="54"/>
              </w:numPr>
              <w:tabs>
                <w:tab w:val="left" w:pos="276"/>
              </w:tabs>
              <w:spacing w:line="276" w:lineRule="auto"/>
              <w:ind w:hanging="720"/>
              <w:jc w:val="both"/>
              <w:rPr>
                <w:rFonts w:ascii="ITC Avant Garde" w:hAnsi="ITC Avant Garde" w:cs="Arial"/>
                <w:color w:val="000000" w:themeColor="text1"/>
              </w:rPr>
            </w:pPr>
            <w:r w:rsidRPr="008762D1">
              <w:rPr>
                <w:rFonts w:ascii="ITC Avant Garde" w:hAnsi="ITC Avant Garde" w:cs="Arial"/>
                <w:color w:val="000000" w:themeColor="text1"/>
              </w:rPr>
              <w:t>Temperatura:</w:t>
            </w:r>
          </w:p>
        </w:tc>
        <w:tc>
          <w:tcPr>
            <w:tcW w:w="5580" w:type="dxa"/>
            <w:hideMark/>
          </w:tcPr>
          <w:p w14:paraId="744DA480"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Menor a 25 grados centígrados, con un consumo máximo de 2500 </w:t>
            </w:r>
            <w:proofErr w:type="spellStart"/>
            <w:r w:rsidRPr="008762D1">
              <w:rPr>
                <w:rFonts w:ascii="ITC Avant Garde" w:hAnsi="ITC Avant Garde" w:cs="Arial"/>
                <w:color w:val="000000" w:themeColor="text1"/>
              </w:rPr>
              <w:t>Kwh</w:t>
            </w:r>
            <w:proofErr w:type="spellEnd"/>
            <w:r w:rsidRPr="008762D1">
              <w:rPr>
                <w:rFonts w:ascii="ITC Avant Garde" w:hAnsi="ITC Avant Garde" w:cs="Arial"/>
                <w:color w:val="000000" w:themeColor="text1"/>
              </w:rPr>
              <w:t>/mes.</w:t>
            </w:r>
          </w:p>
        </w:tc>
      </w:tr>
      <w:tr w:rsidR="008762D1" w:rsidRPr="008762D1" w14:paraId="02714387" w14:textId="77777777" w:rsidTr="00036A6A">
        <w:trPr>
          <w:jc w:val="center"/>
        </w:trPr>
        <w:tc>
          <w:tcPr>
            <w:tcW w:w="2927" w:type="dxa"/>
            <w:hideMark/>
          </w:tcPr>
          <w:p w14:paraId="374F77D6" w14:textId="77777777" w:rsidR="00526FE9" w:rsidRPr="008762D1" w:rsidRDefault="00526FE9" w:rsidP="00F735F9">
            <w:pPr>
              <w:pStyle w:val="Textosinformato"/>
              <w:numPr>
                <w:ilvl w:val="0"/>
                <w:numId w:val="54"/>
              </w:numPr>
              <w:tabs>
                <w:tab w:val="left" w:pos="276"/>
              </w:tabs>
              <w:spacing w:line="276" w:lineRule="auto"/>
              <w:ind w:hanging="720"/>
              <w:jc w:val="both"/>
              <w:rPr>
                <w:rFonts w:ascii="ITC Avant Garde" w:hAnsi="ITC Avant Garde" w:cs="Times New Roman"/>
                <w:color w:val="000000" w:themeColor="text1"/>
                <w:w w:val="107"/>
                <w:lang w:val="en-US"/>
              </w:rPr>
            </w:pPr>
            <w:r w:rsidRPr="008762D1">
              <w:rPr>
                <w:rFonts w:ascii="ITC Avant Garde" w:hAnsi="ITC Avant Garde" w:cs="Arial"/>
                <w:color w:val="000000" w:themeColor="text1"/>
              </w:rPr>
              <w:t>Altura libre:</w:t>
            </w:r>
          </w:p>
        </w:tc>
        <w:tc>
          <w:tcPr>
            <w:tcW w:w="5580" w:type="dxa"/>
            <w:hideMark/>
          </w:tcPr>
          <w:p w14:paraId="7EB50AEE" w14:textId="77777777" w:rsidR="00526FE9" w:rsidRPr="008762D1" w:rsidRDefault="00526FE9" w:rsidP="00F735F9">
            <w:pPr>
              <w:pStyle w:val="Textosinformato"/>
              <w:spacing w:line="276" w:lineRule="auto"/>
              <w:jc w:val="both"/>
              <w:rPr>
                <w:rFonts w:ascii="ITC Avant Garde" w:hAnsi="ITC Avant Garde"/>
                <w:color w:val="000000" w:themeColor="text1"/>
                <w:w w:val="107"/>
              </w:rPr>
            </w:pPr>
            <w:smartTag w:uri="urn:schemas-microsoft-com:office:smarttags" w:element="metricconverter">
              <w:smartTagPr>
                <w:attr w:name="ProductID" w:val="3.0 m"/>
              </w:smartTagPr>
              <w:r w:rsidRPr="008762D1">
                <w:rPr>
                  <w:rFonts w:ascii="ITC Avant Garde" w:hAnsi="ITC Avant Garde" w:cs="Arial"/>
                  <w:color w:val="000000" w:themeColor="text1"/>
                </w:rPr>
                <w:t>3.0 m</w:t>
              </w:r>
            </w:smartTag>
            <w:r w:rsidRPr="008762D1">
              <w:rPr>
                <w:rFonts w:ascii="ITC Avant Garde" w:hAnsi="ITC Avant Garde" w:cs="Arial"/>
                <w:color w:val="000000" w:themeColor="text1"/>
              </w:rPr>
              <w:t xml:space="preserve"> para instalación de equipo. Los ductos y escalerillas estarán dentro de esta altura (</w:t>
            </w:r>
            <w:smartTag w:uri="urn:schemas-microsoft-com:office:smarttags" w:element="metricconverter">
              <w:smartTagPr>
                <w:attr w:name="ProductID" w:val="2.40 m"/>
              </w:smartTagPr>
              <w:r w:rsidRPr="008762D1">
                <w:rPr>
                  <w:rFonts w:ascii="ITC Avant Garde" w:hAnsi="ITC Avant Garde" w:cs="Arial"/>
                  <w:color w:val="000000" w:themeColor="text1"/>
                </w:rPr>
                <w:t>2.40 m</w:t>
              </w:r>
            </w:smartTag>
            <w:r w:rsidRPr="008762D1">
              <w:rPr>
                <w:rFonts w:ascii="ITC Avant Garde" w:hAnsi="ITC Avant Garde" w:cs="Arial"/>
                <w:color w:val="000000" w:themeColor="text1"/>
              </w:rPr>
              <w:t>)</w:t>
            </w:r>
          </w:p>
        </w:tc>
      </w:tr>
      <w:tr w:rsidR="008762D1" w:rsidRPr="008762D1" w14:paraId="6A4ED313" w14:textId="77777777" w:rsidTr="00036A6A">
        <w:trPr>
          <w:jc w:val="center"/>
        </w:trPr>
        <w:tc>
          <w:tcPr>
            <w:tcW w:w="2927" w:type="dxa"/>
            <w:hideMark/>
          </w:tcPr>
          <w:p w14:paraId="4E383748" w14:textId="77777777" w:rsidR="00526FE9" w:rsidRPr="008762D1" w:rsidRDefault="00526FE9" w:rsidP="00F735F9">
            <w:pPr>
              <w:pStyle w:val="Textosinformato"/>
              <w:numPr>
                <w:ilvl w:val="0"/>
                <w:numId w:val="54"/>
              </w:numPr>
              <w:tabs>
                <w:tab w:val="left" w:pos="276"/>
              </w:tabs>
              <w:spacing w:line="276" w:lineRule="auto"/>
              <w:ind w:hanging="720"/>
              <w:jc w:val="both"/>
              <w:rPr>
                <w:rFonts w:ascii="ITC Avant Garde" w:hAnsi="ITC Avant Garde" w:cs="Arial"/>
                <w:color w:val="000000" w:themeColor="text1"/>
              </w:rPr>
            </w:pPr>
            <w:r w:rsidRPr="008762D1">
              <w:rPr>
                <w:rFonts w:ascii="ITC Avant Garde" w:hAnsi="ITC Avant Garde" w:cs="Arial"/>
                <w:color w:val="000000" w:themeColor="text1"/>
              </w:rPr>
              <w:t>Sistema de tierras:</w:t>
            </w:r>
          </w:p>
        </w:tc>
        <w:tc>
          <w:tcPr>
            <w:tcW w:w="5580" w:type="dxa"/>
            <w:hideMark/>
          </w:tcPr>
          <w:p w14:paraId="5DADA990"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Conductor principal de puesta a tierra calibre 1/0 AWG con derivación a cada local con cable calibre 6 AWG con un valor máximo de 5 </w:t>
            </w:r>
            <w:proofErr w:type="spellStart"/>
            <w:r w:rsidRPr="008762D1">
              <w:rPr>
                <w:rFonts w:ascii="ITC Avant Garde" w:hAnsi="ITC Avant Garde" w:cs="Arial"/>
                <w:color w:val="000000" w:themeColor="text1"/>
              </w:rPr>
              <w:t>ohms</w:t>
            </w:r>
            <w:proofErr w:type="spellEnd"/>
            <w:r w:rsidRPr="008762D1">
              <w:rPr>
                <w:rFonts w:ascii="ITC Avant Garde" w:hAnsi="ITC Avant Garde" w:cs="Arial"/>
                <w:color w:val="000000" w:themeColor="text1"/>
              </w:rPr>
              <w:t>.</w:t>
            </w:r>
          </w:p>
        </w:tc>
      </w:tr>
      <w:tr w:rsidR="008762D1" w:rsidRPr="008762D1" w14:paraId="3B628B2B" w14:textId="77777777" w:rsidTr="00036A6A">
        <w:trPr>
          <w:jc w:val="center"/>
        </w:trPr>
        <w:tc>
          <w:tcPr>
            <w:tcW w:w="2927" w:type="dxa"/>
            <w:hideMark/>
          </w:tcPr>
          <w:p w14:paraId="6D0470F7" w14:textId="77777777" w:rsidR="00526FE9" w:rsidRPr="008762D1" w:rsidRDefault="00526FE9" w:rsidP="00F735F9">
            <w:pPr>
              <w:pStyle w:val="Textosinformato"/>
              <w:numPr>
                <w:ilvl w:val="0"/>
                <w:numId w:val="54"/>
              </w:numPr>
              <w:spacing w:line="276" w:lineRule="auto"/>
              <w:ind w:hanging="720"/>
              <w:rPr>
                <w:rFonts w:ascii="ITC Avant Garde" w:hAnsi="ITC Avant Garde" w:cs="Arial"/>
                <w:color w:val="000000" w:themeColor="text1"/>
              </w:rPr>
            </w:pPr>
            <w:r w:rsidRPr="008762D1">
              <w:rPr>
                <w:rFonts w:ascii="ITC Avant Garde" w:hAnsi="ITC Avant Garde" w:cs="Arial"/>
                <w:color w:val="000000" w:themeColor="text1"/>
              </w:rPr>
              <w:t xml:space="preserve">Acceso por </w:t>
            </w:r>
          </w:p>
          <w:p w14:paraId="5E6EB79A" w14:textId="5F0D0C51" w:rsidR="00526FE9" w:rsidRPr="008762D1" w:rsidRDefault="00526FE9" w:rsidP="00D666B9">
            <w:pPr>
              <w:pStyle w:val="Textosinformato"/>
              <w:spacing w:line="276" w:lineRule="auto"/>
              <w:ind w:left="322" w:hanging="4"/>
              <w:rPr>
                <w:rFonts w:ascii="ITC Avant Garde" w:hAnsi="ITC Avant Garde" w:cs="Arial"/>
                <w:color w:val="000000" w:themeColor="text1"/>
              </w:rPr>
            </w:pPr>
            <w:r w:rsidRPr="008762D1">
              <w:rPr>
                <w:rFonts w:ascii="ITC Avant Garde" w:hAnsi="ITC Avant Garde" w:cs="Arial"/>
                <w:color w:val="000000" w:themeColor="text1"/>
              </w:rPr>
              <w:t>mantenimiento:</w:t>
            </w:r>
          </w:p>
        </w:tc>
        <w:tc>
          <w:tcPr>
            <w:tcW w:w="5580" w:type="dxa"/>
            <w:hideMark/>
          </w:tcPr>
          <w:p w14:paraId="58868328" w14:textId="77777777" w:rsidR="00526FE9" w:rsidRPr="008762D1" w:rsidRDefault="00526FE9" w:rsidP="00F735F9">
            <w:pPr>
              <w:pStyle w:val="Textosinformato"/>
              <w:spacing w:line="276" w:lineRule="auto"/>
              <w:jc w:val="both"/>
              <w:rPr>
                <w:rFonts w:ascii="ITC Avant Garde" w:hAnsi="ITC Avant Garde" w:cs="Times New Roman"/>
                <w:color w:val="000000" w:themeColor="text1"/>
                <w:w w:val="107"/>
              </w:rPr>
            </w:pPr>
            <w:r w:rsidRPr="008762D1">
              <w:rPr>
                <w:rFonts w:ascii="ITC Avant Garde" w:hAnsi="ITC Avant Garde" w:cs="Arial"/>
                <w:color w:val="000000" w:themeColor="text1"/>
              </w:rPr>
              <w:t>Avisar previamente al centro de control de la Red.</w:t>
            </w:r>
          </w:p>
        </w:tc>
      </w:tr>
      <w:tr w:rsidR="008762D1" w:rsidRPr="008762D1" w14:paraId="6D00DBAE" w14:textId="77777777" w:rsidTr="00036A6A">
        <w:trPr>
          <w:jc w:val="center"/>
        </w:trPr>
        <w:tc>
          <w:tcPr>
            <w:tcW w:w="2927" w:type="dxa"/>
            <w:hideMark/>
          </w:tcPr>
          <w:p w14:paraId="4E81D134" w14:textId="77777777" w:rsidR="00526FE9" w:rsidRPr="008762D1" w:rsidRDefault="00526FE9" w:rsidP="00F735F9">
            <w:pPr>
              <w:pStyle w:val="Textosinformato"/>
              <w:numPr>
                <w:ilvl w:val="0"/>
                <w:numId w:val="54"/>
              </w:numPr>
              <w:spacing w:line="276" w:lineRule="auto"/>
              <w:ind w:hanging="720"/>
              <w:rPr>
                <w:rFonts w:ascii="ITC Avant Garde" w:hAnsi="ITC Avant Garde" w:cs="Arial"/>
                <w:color w:val="000000" w:themeColor="text1"/>
              </w:rPr>
            </w:pPr>
            <w:r w:rsidRPr="008762D1">
              <w:rPr>
                <w:rFonts w:ascii="ITC Avant Garde" w:hAnsi="ITC Avant Garde" w:cs="Arial"/>
                <w:color w:val="000000" w:themeColor="text1"/>
              </w:rPr>
              <w:t xml:space="preserve">Herraje y/o </w:t>
            </w:r>
            <w:proofErr w:type="spellStart"/>
            <w:r w:rsidRPr="008762D1">
              <w:rPr>
                <w:rFonts w:ascii="ITC Avant Garde" w:hAnsi="ITC Avant Garde" w:cs="Arial"/>
                <w:color w:val="000000" w:themeColor="text1"/>
              </w:rPr>
              <w:t>ductería</w:t>
            </w:r>
            <w:proofErr w:type="spellEnd"/>
            <w:r w:rsidRPr="008762D1">
              <w:rPr>
                <w:rFonts w:ascii="ITC Avant Garde" w:hAnsi="ITC Avant Garde" w:cs="Arial"/>
                <w:color w:val="000000" w:themeColor="text1"/>
              </w:rPr>
              <w:t>:</w:t>
            </w:r>
          </w:p>
        </w:tc>
        <w:tc>
          <w:tcPr>
            <w:tcW w:w="5580" w:type="dxa"/>
            <w:hideMark/>
          </w:tcPr>
          <w:p w14:paraId="654396E6"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Será provisto por el propietario del edificio, para conectar el punto de llegada al edificio con las áreas asignadas y con otras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en caso de requerirse.</w:t>
            </w:r>
          </w:p>
        </w:tc>
      </w:tr>
      <w:tr w:rsidR="008762D1" w:rsidRPr="008762D1" w14:paraId="62605191" w14:textId="77777777" w:rsidTr="00036A6A">
        <w:trPr>
          <w:jc w:val="center"/>
        </w:trPr>
        <w:tc>
          <w:tcPr>
            <w:tcW w:w="2927" w:type="dxa"/>
            <w:hideMark/>
          </w:tcPr>
          <w:p w14:paraId="54F89227" w14:textId="77777777" w:rsidR="00526FE9" w:rsidRPr="008762D1" w:rsidRDefault="00526FE9" w:rsidP="00F735F9">
            <w:pPr>
              <w:pStyle w:val="Textosinformato"/>
              <w:numPr>
                <w:ilvl w:val="0"/>
                <w:numId w:val="54"/>
              </w:numPr>
              <w:spacing w:line="276" w:lineRule="auto"/>
              <w:ind w:hanging="720"/>
              <w:rPr>
                <w:rFonts w:ascii="ITC Avant Garde" w:hAnsi="ITC Avant Garde" w:cs="Arial"/>
                <w:color w:val="000000" w:themeColor="text1"/>
              </w:rPr>
            </w:pPr>
            <w:r w:rsidRPr="008762D1">
              <w:rPr>
                <w:rFonts w:ascii="ITC Avant Garde" w:hAnsi="ITC Avant Garde" w:cs="Arial"/>
                <w:color w:val="000000" w:themeColor="text1"/>
              </w:rPr>
              <w:t>Identificación de Alimentación:</w:t>
            </w:r>
          </w:p>
        </w:tc>
        <w:tc>
          <w:tcPr>
            <w:tcW w:w="5580" w:type="dxa"/>
            <w:hideMark/>
          </w:tcPr>
          <w:p w14:paraId="5F0BCA64"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Identificación de los interruptores </w:t>
            </w:r>
            <w:proofErr w:type="spellStart"/>
            <w:r w:rsidRPr="008762D1">
              <w:rPr>
                <w:rFonts w:ascii="ITC Avant Garde" w:hAnsi="ITC Avant Garde" w:cs="Arial"/>
                <w:color w:val="000000" w:themeColor="text1"/>
              </w:rPr>
              <w:t>termomagnéticos</w:t>
            </w:r>
            <w:proofErr w:type="spellEnd"/>
            <w:r w:rsidRPr="008762D1">
              <w:rPr>
                <w:rFonts w:ascii="ITC Avant Garde" w:hAnsi="ITC Avant Garde" w:cs="Arial"/>
                <w:color w:val="000000" w:themeColor="text1"/>
              </w:rPr>
              <w:t xml:space="preserve"> asignados a los concesionarios en el tablero general de C.A.</w:t>
            </w:r>
          </w:p>
        </w:tc>
      </w:tr>
      <w:tr w:rsidR="008762D1" w:rsidRPr="008762D1" w14:paraId="1B6F212E" w14:textId="77777777" w:rsidTr="00036A6A">
        <w:trPr>
          <w:jc w:val="center"/>
        </w:trPr>
        <w:tc>
          <w:tcPr>
            <w:tcW w:w="2927" w:type="dxa"/>
            <w:hideMark/>
          </w:tcPr>
          <w:p w14:paraId="24260F74" w14:textId="77777777" w:rsidR="00526FE9" w:rsidRPr="008762D1" w:rsidRDefault="00526FE9" w:rsidP="00F735F9">
            <w:pPr>
              <w:pStyle w:val="Textosinformato"/>
              <w:numPr>
                <w:ilvl w:val="0"/>
                <w:numId w:val="54"/>
              </w:numPr>
              <w:spacing w:line="276" w:lineRule="auto"/>
              <w:ind w:hanging="720"/>
              <w:rPr>
                <w:rFonts w:ascii="ITC Avant Garde" w:hAnsi="ITC Avant Garde" w:cs="Arial"/>
                <w:color w:val="000000" w:themeColor="text1"/>
              </w:rPr>
            </w:pPr>
            <w:r w:rsidRPr="008762D1">
              <w:rPr>
                <w:rFonts w:ascii="ITC Avant Garde" w:hAnsi="ITC Avant Garde" w:cs="Arial"/>
                <w:color w:val="000000" w:themeColor="text1"/>
              </w:rPr>
              <w:t>Fijación del equipo:</w:t>
            </w:r>
          </w:p>
        </w:tc>
        <w:tc>
          <w:tcPr>
            <w:tcW w:w="5580" w:type="dxa"/>
            <w:hideMark/>
          </w:tcPr>
          <w:p w14:paraId="632B9E92"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Anclaje a piso y/o techo de común acuerdo</w:t>
            </w:r>
          </w:p>
        </w:tc>
      </w:tr>
      <w:tr w:rsidR="00526FE9" w:rsidRPr="008762D1" w14:paraId="63ACE8CE" w14:textId="77777777" w:rsidTr="00036A6A">
        <w:trPr>
          <w:jc w:val="center"/>
        </w:trPr>
        <w:tc>
          <w:tcPr>
            <w:tcW w:w="2927" w:type="dxa"/>
            <w:hideMark/>
          </w:tcPr>
          <w:p w14:paraId="1158A8E5" w14:textId="77777777" w:rsidR="00526FE9" w:rsidRPr="008762D1" w:rsidRDefault="00526FE9" w:rsidP="00F735F9">
            <w:pPr>
              <w:pStyle w:val="Textosinformato"/>
              <w:numPr>
                <w:ilvl w:val="0"/>
                <w:numId w:val="54"/>
              </w:numPr>
              <w:spacing w:line="276" w:lineRule="auto"/>
              <w:ind w:hanging="720"/>
              <w:rPr>
                <w:rFonts w:ascii="ITC Avant Garde" w:hAnsi="ITC Avant Garde" w:cs="Arial"/>
                <w:color w:val="000000" w:themeColor="text1"/>
              </w:rPr>
            </w:pPr>
            <w:r w:rsidRPr="008762D1">
              <w:rPr>
                <w:rFonts w:ascii="ITC Avant Garde" w:hAnsi="ITC Avant Garde" w:cs="Arial"/>
                <w:color w:val="000000" w:themeColor="text1"/>
              </w:rPr>
              <w:lastRenderedPageBreak/>
              <w:t>Acabado del piso:</w:t>
            </w:r>
          </w:p>
        </w:tc>
        <w:tc>
          <w:tcPr>
            <w:tcW w:w="5580" w:type="dxa"/>
            <w:hideMark/>
          </w:tcPr>
          <w:p w14:paraId="1154221A" w14:textId="77777777" w:rsidR="00526FE9" w:rsidRPr="008762D1" w:rsidRDefault="00526FE9" w:rsidP="00F735F9">
            <w:pPr>
              <w:pStyle w:val="Textosinformato"/>
              <w:spacing w:line="276" w:lineRule="auto"/>
              <w:jc w:val="both"/>
              <w:rPr>
                <w:rFonts w:ascii="ITC Avant Garde" w:hAnsi="ITC Avant Garde" w:cs="Arial"/>
                <w:color w:val="000000" w:themeColor="text1"/>
              </w:rPr>
            </w:pPr>
            <w:r w:rsidRPr="008762D1">
              <w:rPr>
                <w:rFonts w:ascii="ITC Avant Garde" w:hAnsi="ITC Avant Garde" w:cs="Arial"/>
                <w:color w:val="000000" w:themeColor="text1"/>
              </w:rPr>
              <w:t>Firme de concreto 400Kg/m</w:t>
            </w:r>
            <w:r w:rsidRPr="008762D1">
              <w:rPr>
                <w:rFonts w:ascii="ITC Avant Garde" w:hAnsi="ITC Avant Garde" w:cs="Arial"/>
                <w:color w:val="000000" w:themeColor="text1"/>
                <w:vertAlign w:val="superscript"/>
              </w:rPr>
              <w:t>2</w:t>
            </w:r>
            <w:r w:rsidRPr="008762D1">
              <w:rPr>
                <w:rFonts w:ascii="ITC Avant Garde" w:hAnsi="ITC Avant Garde" w:cs="Arial"/>
                <w:color w:val="000000" w:themeColor="text1"/>
              </w:rPr>
              <w:t xml:space="preserve">, sin ondulaciones, </w:t>
            </w:r>
            <w:smartTag w:uri="urn:schemas-microsoft-com:office:smarttags" w:element="metricconverter">
              <w:smartTagPr>
                <w:attr w:name="ProductID" w:val="3 mm"/>
              </w:smartTagPr>
              <w:r w:rsidRPr="008762D1">
                <w:rPr>
                  <w:rFonts w:ascii="ITC Avant Garde" w:hAnsi="ITC Avant Garde" w:cs="Arial"/>
                  <w:color w:val="000000" w:themeColor="text1"/>
                </w:rPr>
                <w:t>3 mm</w:t>
              </w:r>
            </w:smartTag>
            <w:r w:rsidRPr="008762D1">
              <w:rPr>
                <w:rFonts w:ascii="ITC Avant Garde" w:hAnsi="ITC Avant Garde" w:cs="Arial"/>
                <w:color w:val="000000" w:themeColor="text1"/>
              </w:rPr>
              <w:t xml:space="preserve"> de desnivel cubierto con loseta vinílica.</w:t>
            </w:r>
          </w:p>
        </w:tc>
      </w:tr>
    </w:tbl>
    <w:p w14:paraId="2A64C542" w14:textId="77777777" w:rsidR="000F0B9F" w:rsidRPr="008762D1" w:rsidRDefault="00526FE9" w:rsidP="000F0B9F">
      <w:pPr>
        <w:autoSpaceDE w:val="0"/>
        <w:autoSpaceDN w:val="0"/>
        <w:adjustRightInd w:val="0"/>
        <w:spacing w:before="240"/>
        <w:ind w:left="426"/>
        <w:jc w:val="both"/>
        <w:rPr>
          <w:rFonts w:ascii="ITC Avant Garde" w:hAnsi="ITC Avant Garde" w:cs="Arial"/>
          <w:color w:val="000000" w:themeColor="text1"/>
        </w:rPr>
      </w:pPr>
      <w:r w:rsidRPr="008762D1">
        <w:rPr>
          <w:rFonts w:ascii="ITC Avant Garde" w:hAnsi="ITC Avant Garde" w:cs="Arial"/>
          <w:color w:val="000000" w:themeColor="text1"/>
        </w:rPr>
        <w:t xml:space="preserve">En caso de que dos concesionarios tengan presencia en un mismo punto de interconexión y estén interesados en contratar un Enlace de Transmisión de Interconexión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(interconexión cruzada), es decir la interconexión directa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ésta se realizará por medio de estructuras de soporte y enlaces de transmisión que deberán ser proporcionados y arrendados por el concesionario propietario de las instalaciones en que se encuentren </w:t>
      </w:r>
      <w:proofErr w:type="spellStart"/>
      <w:r w:rsidRPr="008762D1">
        <w:rPr>
          <w:rFonts w:ascii="ITC Avant Garde" w:hAnsi="ITC Avant Garde" w:cs="Arial"/>
          <w:color w:val="000000" w:themeColor="text1"/>
        </w:rPr>
        <w:t>coubicados</w:t>
      </w:r>
      <w:proofErr w:type="spellEnd"/>
      <w:r w:rsidRPr="008762D1">
        <w:rPr>
          <w:rFonts w:ascii="ITC Avant Garde" w:hAnsi="ITC Avant Garde" w:cs="Arial"/>
          <w:color w:val="000000" w:themeColor="text1"/>
        </w:rPr>
        <w:t xml:space="preserve"> los concesionarios interesados.</w:t>
      </w:r>
    </w:p>
    <w:p w14:paraId="79D912F1" w14:textId="5DF0776D" w:rsidR="000F0B9F" w:rsidRPr="008762D1" w:rsidRDefault="00526FE9" w:rsidP="000F0B9F">
      <w:pPr>
        <w:pStyle w:val="Textosinformato"/>
        <w:spacing w:before="240"/>
        <w:ind w:left="425"/>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En caso de que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sz w:val="22"/>
          <w:szCs w:val="22"/>
        </w:rPr>
        <w:t>requiera capacidad adicional de Corriente Directa, Corriente Alterna o clima, deberá solicitar ampliación y pagar por el consumo excedente bajo los términos y condiciones establecidas en el Anexo “B” de este Convenio.</w:t>
      </w:r>
    </w:p>
    <w:p w14:paraId="3EA3169C" w14:textId="46595156" w:rsidR="00526FE9" w:rsidRPr="008762D1" w:rsidRDefault="00526FE9" w:rsidP="000F0B9F">
      <w:pPr>
        <w:autoSpaceDE w:val="0"/>
        <w:autoSpaceDN w:val="0"/>
        <w:adjustRightInd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El presente Anexo A, se firma por triplicado, por los representantes debidamente facultados de las partes, en la Ciudad de México, el </w:t>
      </w:r>
      <w:r w:rsidR="00F031E8" w:rsidRPr="00F031E8">
        <w:rPr>
          <w:rFonts w:ascii="ITC Avant Garde" w:hAnsi="ITC Avant Garde" w:cs="Arial"/>
          <w:b/>
          <w:color w:val="0000FF"/>
        </w:rPr>
        <w:t>[…]</w:t>
      </w:r>
      <w:r w:rsidRPr="008762D1">
        <w:rPr>
          <w:rFonts w:ascii="ITC Avant Garde" w:hAnsi="ITC Avant Garde" w:cs="Arial"/>
          <w:color w:val="000000" w:themeColor="text1"/>
        </w:rPr>
        <w:t xml:space="preserve"> de </w:t>
      </w:r>
      <w:r w:rsidR="00F031E8" w:rsidRPr="00F031E8">
        <w:rPr>
          <w:rFonts w:ascii="ITC Avant Garde" w:hAnsi="ITC Avant Garde" w:cs="Arial"/>
          <w:b/>
          <w:color w:val="0000FF"/>
        </w:rPr>
        <w:t>[…]</w:t>
      </w:r>
      <w:r w:rsidRPr="008762D1">
        <w:rPr>
          <w:rFonts w:ascii="ITC Avant Garde" w:hAnsi="ITC Avant Garde" w:cs="Arial"/>
          <w:color w:val="000000" w:themeColor="text1"/>
        </w:rPr>
        <w:t xml:space="preserve"> de 2018.</w:t>
      </w:r>
    </w:p>
    <w:tbl>
      <w:tblPr>
        <w:tblStyle w:val="Cuadrculadetablaclara"/>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Tabla de firmas"/>
      </w:tblPr>
      <w:tblGrid>
        <w:gridCol w:w="4752"/>
        <w:gridCol w:w="4608"/>
      </w:tblGrid>
      <w:tr w:rsidR="008762D1" w:rsidRPr="008762D1" w14:paraId="6E153D75" w14:textId="77777777" w:rsidTr="00036A6A">
        <w:trPr>
          <w:tblHeader/>
          <w:jc w:val="center"/>
        </w:trPr>
        <w:tc>
          <w:tcPr>
            <w:tcW w:w="4752" w:type="dxa"/>
          </w:tcPr>
          <w:p w14:paraId="548F2986" w14:textId="77777777" w:rsidR="00526FE9" w:rsidRPr="008762D1" w:rsidRDefault="00526FE9" w:rsidP="00F031E8">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TELÉFONOS DE MÉXICO,</w:t>
            </w:r>
          </w:p>
          <w:p w14:paraId="6B5ED36B" w14:textId="77777777" w:rsidR="000F0B9F" w:rsidRPr="008762D1" w:rsidRDefault="00526FE9" w:rsidP="00F031E8">
            <w:pPr>
              <w:spacing w:before="240" w:line="360" w:lineRule="exact"/>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 S.A.B DE C.V.</w:t>
            </w:r>
          </w:p>
          <w:p w14:paraId="022958E6" w14:textId="34D50648" w:rsidR="00526FE9" w:rsidRPr="008762D1" w:rsidRDefault="00526FE9" w:rsidP="00F031E8">
            <w:pPr>
              <w:spacing w:before="240" w:line="276"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ALEJANDRO COCA SÁNCHEZ Apoderado Legal</w:t>
            </w:r>
          </w:p>
        </w:tc>
        <w:tc>
          <w:tcPr>
            <w:tcW w:w="4608" w:type="dxa"/>
          </w:tcPr>
          <w:p w14:paraId="4FB949E9" w14:textId="77777777" w:rsidR="00F031E8" w:rsidRDefault="00F031E8" w:rsidP="00F031E8">
            <w:pPr>
              <w:spacing w:before="240" w:line="276" w:lineRule="auto"/>
              <w:jc w:val="center"/>
              <w:rPr>
                <w:rFonts w:ascii="ITC Avant Garde" w:hAnsi="ITC Avant Garde" w:cs="Arial"/>
                <w:b/>
                <w:color w:val="0000FF"/>
              </w:rPr>
            </w:pPr>
            <w:r w:rsidRPr="00F031E8">
              <w:rPr>
                <w:rFonts w:ascii="ITC Avant Garde" w:hAnsi="ITC Avant Garde" w:cs="Arial"/>
                <w:b/>
                <w:color w:val="0000FF"/>
              </w:rPr>
              <w:t>[…]</w:t>
            </w:r>
          </w:p>
          <w:p w14:paraId="26783EFD" w14:textId="12554691" w:rsidR="00526FE9" w:rsidRPr="008762D1" w:rsidRDefault="00526FE9" w:rsidP="00F031E8">
            <w:pPr>
              <w:spacing w:before="240" w:line="276"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r>
      <w:tr w:rsidR="008762D1" w:rsidRPr="008762D1" w14:paraId="55CAF9A2" w14:textId="77777777" w:rsidTr="00036A6A">
        <w:trPr>
          <w:tblHeader/>
          <w:jc w:val="center"/>
        </w:trPr>
        <w:tc>
          <w:tcPr>
            <w:tcW w:w="4752" w:type="dxa"/>
          </w:tcPr>
          <w:p w14:paraId="6ECFFF80" w14:textId="354CE9E0" w:rsidR="00526FE9" w:rsidRPr="008762D1" w:rsidRDefault="004D25F4" w:rsidP="00F031E8">
            <w:pPr>
              <w:spacing w:before="240" w:line="276" w:lineRule="auto"/>
              <w:jc w:val="center"/>
              <w:rPr>
                <w:rFonts w:ascii="ITC Avant Garde" w:hAnsi="ITC Avant Garde" w:cs="Arial"/>
                <w:b/>
                <w:bCs/>
                <w:color w:val="000000" w:themeColor="text1"/>
                <w:lang w:val="es-ES"/>
              </w:rPr>
            </w:pPr>
            <w:r w:rsidRPr="008762D1">
              <w:rPr>
                <w:rFonts w:ascii="ITC Avant Garde" w:hAnsi="ITC Avant Garde" w:cs="Arial"/>
                <w:b/>
                <w:color w:val="000000" w:themeColor="text1"/>
              </w:rPr>
              <w:t>Testigo</w:t>
            </w:r>
          </w:p>
          <w:p w14:paraId="647DAF2F" w14:textId="77777777" w:rsidR="00F031E8" w:rsidRDefault="00F031E8" w:rsidP="00F031E8">
            <w:pPr>
              <w:spacing w:before="240" w:line="276" w:lineRule="auto"/>
              <w:jc w:val="center"/>
              <w:rPr>
                <w:rFonts w:ascii="ITC Avant Garde" w:hAnsi="ITC Avant Garde" w:cs="Arial"/>
                <w:b/>
                <w:color w:val="0000FF"/>
              </w:rPr>
            </w:pPr>
            <w:r w:rsidRPr="00F031E8">
              <w:rPr>
                <w:rFonts w:ascii="ITC Avant Garde" w:hAnsi="ITC Avant Garde" w:cs="Arial"/>
                <w:b/>
                <w:color w:val="0000FF"/>
              </w:rPr>
              <w:t>[…]</w:t>
            </w:r>
          </w:p>
          <w:p w14:paraId="5E114F82" w14:textId="44B688FF" w:rsidR="00526FE9" w:rsidRPr="008762D1" w:rsidRDefault="00526FE9" w:rsidP="00F031E8">
            <w:pPr>
              <w:spacing w:before="240" w:line="276" w:lineRule="auto"/>
              <w:jc w:val="center"/>
              <w:rPr>
                <w:rFonts w:ascii="ITC Avant Garde" w:hAnsi="ITC Avant Garde" w:cs="Arial"/>
                <w:b/>
                <w:color w:val="000000" w:themeColor="text1"/>
              </w:rPr>
            </w:pPr>
            <w:r w:rsidRPr="008762D1">
              <w:rPr>
                <w:rFonts w:ascii="ITC Avant Garde" w:hAnsi="ITC Avant Garde" w:cs="Arial"/>
                <w:b/>
                <w:bCs/>
                <w:color w:val="000000" w:themeColor="text1"/>
              </w:rPr>
              <w:t>Por: Teléfonos de México, S.A.B. de C.V.</w:t>
            </w:r>
          </w:p>
        </w:tc>
        <w:tc>
          <w:tcPr>
            <w:tcW w:w="4608" w:type="dxa"/>
          </w:tcPr>
          <w:p w14:paraId="59241D32" w14:textId="62B50BB7" w:rsidR="00526FE9" w:rsidRPr="008762D1" w:rsidRDefault="004D25F4" w:rsidP="00F031E8">
            <w:pPr>
              <w:spacing w:before="240" w:line="276" w:lineRule="auto"/>
              <w:jc w:val="center"/>
              <w:rPr>
                <w:rFonts w:ascii="ITC Avant Garde" w:hAnsi="ITC Avant Garde" w:cs="Arial"/>
                <w:b/>
                <w:bCs/>
                <w:color w:val="000000" w:themeColor="text1"/>
              </w:rPr>
            </w:pPr>
            <w:r w:rsidRPr="008762D1">
              <w:rPr>
                <w:rFonts w:ascii="ITC Avant Garde" w:hAnsi="ITC Avant Garde" w:cs="Arial"/>
                <w:b/>
                <w:color w:val="000000" w:themeColor="text1"/>
              </w:rPr>
              <w:t>Testigo</w:t>
            </w:r>
          </w:p>
          <w:p w14:paraId="24D5A980" w14:textId="77777777" w:rsidR="00F031E8" w:rsidRDefault="00F031E8" w:rsidP="00F031E8">
            <w:pPr>
              <w:spacing w:before="240" w:line="276" w:lineRule="auto"/>
              <w:jc w:val="center"/>
              <w:rPr>
                <w:rFonts w:ascii="ITC Avant Garde" w:hAnsi="ITC Avant Garde" w:cs="Arial"/>
                <w:b/>
                <w:color w:val="0000FF"/>
              </w:rPr>
            </w:pPr>
            <w:r w:rsidRPr="00F031E8">
              <w:rPr>
                <w:rFonts w:ascii="ITC Avant Garde" w:hAnsi="ITC Avant Garde" w:cs="Arial"/>
                <w:b/>
                <w:color w:val="0000FF"/>
              </w:rPr>
              <w:t>[…]</w:t>
            </w:r>
          </w:p>
          <w:p w14:paraId="4E42051D" w14:textId="3B88AF3B" w:rsidR="00526FE9" w:rsidRPr="008762D1" w:rsidRDefault="00526FE9" w:rsidP="00F031E8">
            <w:pPr>
              <w:spacing w:before="240" w:line="276" w:lineRule="auto"/>
              <w:jc w:val="center"/>
              <w:rPr>
                <w:rFonts w:ascii="ITC Avant Garde" w:hAnsi="ITC Avant Garde" w:cs="Arial"/>
                <w:b/>
                <w:color w:val="000000" w:themeColor="text1"/>
              </w:rPr>
            </w:pPr>
            <w:r w:rsidRPr="008762D1">
              <w:rPr>
                <w:rFonts w:ascii="ITC Avant Garde" w:hAnsi="ITC Avant Garde" w:cs="Arial"/>
                <w:b/>
                <w:bCs/>
                <w:color w:val="000000" w:themeColor="text1"/>
              </w:rPr>
              <w:t xml:space="preserve">Por </w:t>
            </w:r>
            <w:r w:rsidR="00F031E8" w:rsidRPr="00F031E8">
              <w:rPr>
                <w:rFonts w:ascii="ITC Avant Garde" w:hAnsi="ITC Avant Garde" w:cs="Arial"/>
                <w:b/>
                <w:color w:val="0000FF"/>
              </w:rPr>
              <w:t>[…]</w:t>
            </w:r>
          </w:p>
        </w:tc>
      </w:tr>
    </w:tbl>
    <w:p w14:paraId="66D79C5B" w14:textId="77777777" w:rsidR="00526FE9" w:rsidRPr="008762D1" w:rsidRDefault="00526FE9" w:rsidP="000F0B9F">
      <w:pPr>
        <w:spacing w:before="240"/>
        <w:rPr>
          <w:rFonts w:ascii="ITC Avant Garde" w:hAnsi="ITC Avant Garde"/>
          <w:color w:val="000000" w:themeColor="text1"/>
        </w:rPr>
        <w:sectPr w:rsidR="00526FE9" w:rsidRPr="008762D1">
          <w:pgSz w:w="12240" w:h="15840"/>
          <w:pgMar w:top="1843" w:right="1701" w:bottom="1418" w:left="1701" w:header="720" w:footer="720" w:gutter="0"/>
          <w:pgNumType w:start="1"/>
          <w:cols w:space="720"/>
        </w:sectPr>
      </w:pPr>
    </w:p>
    <w:p w14:paraId="78964D76" w14:textId="66BC9641" w:rsidR="00526FE9" w:rsidRPr="008762D1" w:rsidRDefault="008762D1" w:rsidP="008762D1">
      <w:pPr>
        <w:pStyle w:val="Ttulo3"/>
        <w:spacing w:before="240"/>
        <w:ind w:left="567"/>
        <w:jc w:val="center"/>
        <w:rPr>
          <w:rFonts w:ascii="ITC Avant Garde" w:hAnsi="ITC Avant Garde"/>
          <w:b w:val="0"/>
          <w:color w:val="000000" w:themeColor="text1"/>
          <w:lang w:val="es-ES" w:eastAsia="es-ES"/>
        </w:rPr>
      </w:pPr>
      <w:proofErr w:type="spellStart"/>
      <w:r w:rsidRPr="008762D1">
        <w:rPr>
          <w:rFonts w:ascii="ITC Avant Garde" w:hAnsi="ITC Avant Garde"/>
          <w:color w:val="000000" w:themeColor="text1"/>
        </w:rPr>
        <w:lastRenderedPageBreak/>
        <w:t>Subanexo</w:t>
      </w:r>
      <w:proofErr w:type="spellEnd"/>
      <w:r w:rsidRPr="008762D1">
        <w:rPr>
          <w:rFonts w:ascii="ITC Avant Garde" w:hAnsi="ITC Avant Garde"/>
          <w:color w:val="000000" w:themeColor="text1"/>
        </w:rPr>
        <w:t xml:space="preserve"> A-1 Puntos de Interconexión TDM en la red de Telmex</w:t>
      </w:r>
      <w:r w:rsidRPr="008762D1">
        <w:rPr>
          <w:noProof/>
          <w:color w:val="000000" w:themeColor="text1"/>
          <w:lang w:eastAsia="es-MX"/>
        </w:rPr>
        <w:t xml:space="preserve"> </w:t>
      </w:r>
      <w:r w:rsidR="00526FE9" w:rsidRPr="008762D1">
        <w:rPr>
          <w:noProof/>
          <w:color w:val="000000" w:themeColor="text1"/>
          <w:lang w:eastAsia="es-MX"/>
        </w:rPr>
        <w:drawing>
          <wp:inline distT="0" distB="0" distL="0" distR="0" wp14:anchorId="1DAC4467" wp14:editId="1391FBC0">
            <wp:extent cx="8100060" cy="5444490"/>
            <wp:effectExtent l="0" t="0" r="0" b="3810"/>
            <wp:docPr id="13" name="Imagen 13" descr="Subanexo A-1 Puntos de Interconexión TDM en la red de Telmex." title="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0060" cy="5444490"/>
                    </a:xfrm>
                    <a:prstGeom prst="rect">
                      <a:avLst/>
                    </a:prstGeom>
                    <a:noFill/>
                  </pic:spPr>
                </pic:pic>
              </a:graphicData>
            </a:graphic>
          </wp:inline>
        </w:drawing>
      </w:r>
    </w:p>
    <w:p w14:paraId="3926921E" w14:textId="487E3E3E" w:rsidR="00526FE9" w:rsidRPr="008762D1" w:rsidRDefault="00526FE9" w:rsidP="000F0B9F">
      <w:pPr>
        <w:autoSpaceDE w:val="0"/>
        <w:autoSpaceDN w:val="0"/>
        <w:adjustRightInd w:val="0"/>
        <w:spacing w:before="240" w:line="276" w:lineRule="auto"/>
        <w:jc w:val="both"/>
        <w:rPr>
          <w:rFonts w:ascii="ITC Avant Garde" w:hAnsi="ITC Avant Garde"/>
          <w:noProof/>
          <w:color w:val="000000" w:themeColor="text1"/>
          <w:lang w:eastAsia="es-MX"/>
        </w:rPr>
      </w:pPr>
      <w:r w:rsidRPr="008762D1">
        <w:rPr>
          <w:rFonts w:ascii="Times New Roman" w:hAnsi="Times New Roman"/>
          <w:noProof/>
          <w:color w:val="000000" w:themeColor="text1"/>
          <w:sz w:val="24"/>
          <w:szCs w:val="24"/>
          <w:lang w:eastAsia="es-MX"/>
        </w:rPr>
        <w:lastRenderedPageBreak/>
        <w:drawing>
          <wp:inline distT="0" distB="0" distL="0" distR="0" wp14:anchorId="352B280C" wp14:editId="0E27BB34">
            <wp:extent cx="8100060" cy="5891530"/>
            <wp:effectExtent l="0" t="0" r="0" b="0"/>
            <wp:docPr id="12" name="Imagen 12" descr="Subanexo A-1 Puntos de Interconexión TDM en la red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0060" cy="5891530"/>
                    </a:xfrm>
                    <a:prstGeom prst="rect">
                      <a:avLst/>
                    </a:prstGeom>
                    <a:noFill/>
                  </pic:spPr>
                </pic:pic>
              </a:graphicData>
            </a:graphic>
          </wp:inline>
        </w:drawing>
      </w:r>
    </w:p>
    <w:p w14:paraId="17C05242" w14:textId="1C00D892" w:rsidR="00526FE9" w:rsidRPr="008762D1" w:rsidRDefault="00526FE9" w:rsidP="000F0B9F">
      <w:pPr>
        <w:autoSpaceDE w:val="0"/>
        <w:autoSpaceDN w:val="0"/>
        <w:adjustRightInd w:val="0"/>
        <w:spacing w:before="240" w:line="276" w:lineRule="auto"/>
        <w:jc w:val="both"/>
        <w:rPr>
          <w:rFonts w:ascii="ITC Avant Garde" w:hAnsi="ITC Avant Garde"/>
          <w:noProof/>
          <w:color w:val="000000" w:themeColor="text1"/>
          <w:lang w:eastAsia="es-MX"/>
        </w:rPr>
      </w:pPr>
      <w:r w:rsidRPr="008762D1">
        <w:rPr>
          <w:rFonts w:ascii="Times New Roman" w:hAnsi="Times New Roman"/>
          <w:noProof/>
          <w:color w:val="000000" w:themeColor="text1"/>
          <w:sz w:val="24"/>
          <w:szCs w:val="24"/>
          <w:lang w:eastAsia="es-MX"/>
        </w:rPr>
        <w:lastRenderedPageBreak/>
        <w:drawing>
          <wp:inline distT="0" distB="0" distL="0" distR="0" wp14:anchorId="25457E9A" wp14:editId="5D7AF488">
            <wp:extent cx="8100060" cy="6099810"/>
            <wp:effectExtent l="0" t="0" r="0" b="0"/>
            <wp:docPr id="11" name="Imagen 11" descr="Subanexo A-1 Puntos de Interconexión TDM en la red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0060" cy="6099810"/>
                    </a:xfrm>
                    <a:prstGeom prst="rect">
                      <a:avLst/>
                    </a:prstGeom>
                    <a:noFill/>
                  </pic:spPr>
                </pic:pic>
              </a:graphicData>
            </a:graphic>
          </wp:inline>
        </w:drawing>
      </w:r>
    </w:p>
    <w:p w14:paraId="48205AC9" w14:textId="318C584C" w:rsidR="00526FE9" w:rsidRPr="008762D1" w:rsidRDefault="00526FE9" w:rsidP="000F0B9F">
      <w:pPr>
        <w:autoSpaceDE w:val="0"/>
        <w:autoSpaceDN w:val="0"/>
        <w:adjustRightInd w:val="0"/>
        <w:spacing w:before="240" w:line="276" w:lineRule="auto"/>
        <w:jc w:val="both"/>
        <w:rPr>
          <w:rFonts w:ascii="ITC Avant Garde" w:hAnsi="ITC Avant Garde"/>
          <w:noProof/>
          <w:color w:val="000000" w:themeColor="text1"/>
          <w:lang w:eastAsia="es-MX"/>
        </w:rPr>
      </w:pPr>
      <w:r w:rsidRPr="008762D1">
        <w:rPr>
          <w:rFonts w:ascii="Times New Roman" w:hAnsi="Times New Roman"/>
          <w:noProof/>
          <w:color w:val="000000" w:themeColor="text1"/>
          <w:sz w:val="24"/>
          <w:szCs w:val="24"/>
          <w:lang w:eastAsia="es-MX"/>
        </w:rPr>
        <w:lastRenderedPageBreak/>
        <w:drawing>
          <wp:inline distT="0" distB="0" distL="0" distR="0" wp14:anchorId="5103DD26" wp14:editId="08FDC367">
            <wp:extent cx="8100060" cy="6083300"/>
            <wp:effectExtent l="0" t="0" r="0" b="0"/>
            <wp:docPr id="10" name="Imagen 10" descr="Subanexo A-1 Puntos de Interconexión TDM en la red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0060" cy="6083300"/>
                    </a:xfrm>
                    <a:prstGeom prst="rect">
                      <a:avLst/>
                    </a:prstGeom>
                    <a:noFill/>
                  </pic:spPr>
                </pic:pic>
              </a:graphicData>
            </a:graphic>
          </wp:inline>
        </w:drawing>
      </w:r>
    </w:p>
    <w:p w14:paraId="1C479C53" w14:textId="6F5704AC" w:rsidR="00526FE9" w:rsidRPr="008762D1" w:rsidRDefault="00526FE9" w:rsidP="000F0B9F">
      <w:pPr>
        <w:autoSpaceDE w:val="0"/>
        <w:autoSpaceDN w:val="0"/>
        <w:adjustRightInd w:val="0"/>
        <w:spacing w:before="240" w:line="276" w:lineRule="auto"/>
        <w:jc w:val="both"/>
        <w:rPr>
          <w:rFonts w:ascii="ITC Avant Garde" w:hAnsi="ITC Avant Garde" w:cs="Arial"/>
          <w:b/>
          <w:color w:val="000000" w:themeColor="text1"/>
          <w:lang w:val="es-ES" w:eastAsia="es-ES"/>
        </w:rPr>
      </w:pPr>
      <w:r w:rsidRPr="008762D1">
        <w:rPr>
          <w:rFonts w:ascii="Times New Roman" w:hAnsi="Times New Roman"/>
          <w:noProof/>
          <w:color w:val="000000" w:themeColor="text1"/>
          <w:sz w:val="24"/>
          <w:szCs w:val="24"/>
          <w:lang w:eastAsia="es-MX"/>
        </w:rPr>
        <w:lastRenderedPageBreak/>
        <w:drawing>
          <wp:inline distT="0" distB="0" distL="0" distR="0" wp14:anchorId="0A3E0A28" wp14:editId="740D0112">
            <wp:extent cx="8100060" cy="4067175"/>
            <wp:effectExtent l="0" t="0" r="0" b="9525"/>
            <wp:docPr id="9" name="Imagen 9" descr="Subanexo A-1 Puntos de Interconexión TDM en la red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0060" cy="4067175"/>
                    </a:xfrm>
                    <a:prstGeom prst="rect">
                      <a:avLst/>
                    </a:prstGeom>
                    <a:noFill/>
                  </pic:spPr>
                </pic:pic>
              </a:graphicData>
            </a:graphic>
          </wp:inline>
        </w:drawing>
      </w:r>
    </w:p>
    <w:p w14:paraId="0244E4B0" w14:textId="77777777" w:rsidR="00526FE9" w:rsidRPr="008762D1" w:rsidRDefault="00526FE9" w:rsidP="000F0B9F">
      <w:pPr>
        <w:spacing w:before="240"/>
        <w:jc w:val="center"/>
        <w:rPr>
          <w:rFonts w:ascii="ITC Avant Garde" w:hAnsi="ITC Avant Garde" w:cs="Times New Roman"/>
          <w:b/>
          <w:color w:val="000000" w:themeColor="text1"/>
        </w:rPr>
      </w:pPr>
      <w:r w:rsidRPr="008762D1">
        <w:rPr>
          <w:rFonts w:ascii="ITC Avant Garde" w:hAnsi="ITC Avant Garde"/>
          <w:b/>
          <w:color w:val="000000" w:themeColor="text1"/>
        </w:rPr>
        <w:br w:type="page"/>
      </w:r>
    </w:p>
    <w:p w14:paraId="7D502DBC" w14:textId="77777777" w:rsidR="000F0B9F" w:rsidRPr="008762D1" w:rsidRDefault="00526FE9" w:rsidP="000F0B9F">
      <w:pPr>
        <w:spacing w:before="240"/>
        <w:jc w:val="center"/>
        <w:rPr>
          <w:rFonts w:ascii="ITC Avant Garde" w:hAnsi="ITC Avant Garde"/>
          <w:b/>
          <w:color w:val="000000" w:themeColor="text1"/>
        </w:rPr>
      </w:pPr>
      <w:r w:rsidRPr="008762D1">
        <w:rPr>
          <w:rFonts w:ascii="ITC Avant Garde" w:hAnsi="ITC Avant Garde"/>
          <w:b/>
          <w:color w:val="000000" w:themeColor="text1"/>
        </w:rPr>
        <w:lastRenderedPageBreak/>
        <w:t>Puntos de Interconexión IP en la red de Telmex.</w:t>
      </w:r>
    </w:p>
    <w:p w14:paraId="02D1BEC9" w14:textId="77777777" w:rsidR="000F0B9F" w:rsidRPr="008762D1" w:rsidRDefault="00526FE9" w:rsidP="004207DC">
      <w:pPr>
        <w:spacing w:before="240"/>
        <w:ind w:left="-851"/>
        <w:rPr>
          <w:rFonts w:ascii="ITC Avant Garde" w:hAnsi="ITC Avant Garde"/>
          <w:b/>
          <w:color w:val="000000" w:themeColor="text1"/>
        </w:rPr>
      </w:pPr>
      <w:r w:rsidRPr="008762D1">
        <w:rPr>
          <w:rFonts w:ascii="Times New Roman" w:hAnsi="Times New Roman"/>
          <w:noProof/>
          <w:color w:val="000000" w:themeColor="text1"/>
          <w:sz w:val="24"/>
          <w:szCs w:val="24"/>
          <w:lang w:eastAsia="es-MX"/>
        </w:rPr>
        <w:drawing>
          <wp:inline distT="0" distB="0" distL="0" distR="0" wp14:anchorId="1289B56C" wp14:editId="667C6BFA">
            <wp:extent cx="9296400" cy="3460115"/>
            <wp:effectExtent l="0" t="0" r="0" b="6985"/>
            <wp:docPr id="8" name="Imagen 8" descr="Puntos de Interconexión IP en la red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96400" cy="3460115"/>
                    </a:xfrm>
                    <a:prstGeom prst="rect">
                      <a:avLst/>
                    </a:prstGeom>
                    <a:noFill/>
                  </pic:spPr>
                </pic:pic>
              </a:graphicData>
            </a:graphic>
          </wp:inline>
        </w:drawing>
      </w:r>
    </w:p>
    <w:p w14:paraId="0631187F" w14:textId="4AF0614E" w:rsidR="00526FE9" w:rsidRPr="008762D1" w:rsidRDefault="00526FE9" w:rsidP="000F0B9F">
      <w:pPr>
        <w:spacing w:before="240"/>
        <w:rPr>
          <w:rFonts w:ascii="ITC Avant Garde" w:hAnsi="ITC Avant Garde"/>
          <w:color w:val="000000" w:themeColor="text1"/>
        </w:rPr>
        <w:sectPr w:rsidR="00526FE9" w:rsidRPr="008762D1">
          <w:pgSz w:w="15840" w:h="12240" w:orient="landscape"/>
          <w:pgMar w:top="1440" w:right="1440" w:bottom="1440" w:left="1440" w:header="720" w:footer="720" w:gutter="0"/>
          <w:pgNumType w:start="1"/>
          <w:cols w:space="720"/>
        </w:sectPr>
      </w:pPr>
    </w:p>
    <w:p w14:paraId="4422B0BC" w14:textId="77777777" w:rsidR="000F0B9F" w:rsidRPr="008762D1" w:rsidRDefault="00526FE9" w:rsidP="00DA0894">
      <w:pPr>
        <w:pStyle w:val="Ttulo2"/>
        <w:spacing w:before="240" w:after="0"/>
        <w:jc w:val="center"/>
        <w:rPr>
          <w:color w:val="000000" w:themeColor="text1"/>
        </w:rPr>
      </w:pPr>
      <w:r w:rsidRPr="008762D1">
        <w:rPr>
          <w:color w:val="000000" w:themeColor="text1"/>
        </w:rPr>
        <w:lastRenderedPageBreak/>
        <w:t>ANEXO B</w:t>
      </w:r>
    </w:p>
    <w:p w14:paraId="295AD475" w14:textId="6643158C" w:rsidR="000F0B9F" w:rsidRPr="008762D1" w:rsidRDefault="00526FE9" w:rsidP="000F0B9F">
      <w:pPr>
        <w:autoSpaceDE w:val="0"/>
        <w:autoSpaceDN w:val="0"/>
        <w:adjustRightInd w:val="0"/>
        <w:spacing w:before="240"/>
        <w:jc w:val="both"/>
        <w:rPr>
          <w:rFonts w:ascii="ITC Avant Garde" w:hAnsi="ITC Avant Garde" w:cs="Arial"/>
          <w:b/>
          <w:color w:val="000000" w:themeColor="text1"/>
        </w:rPr>
      </w:pPr>
      <w:r w:rsidRPr="008762D1">
        <w:rPr>
          <w:rFonts w:ascii="ITC Avant Garde" w:hAnsi="ITC Avant Garde" w:cs="Arial"/>
          <w:b/>
          <w:color w:val="000000" w:themeColor="text1"/>
        </w:rPr>
        <w:t xml:space="preserve">ANEXO DE PRECIOS Y TARIFAS QUE SE ADJUNTA AL CONVENIO MARCO DE INTERCONEXIÓN ENTRE LAS REDES DE TELÉFONOS DE MÉXICO, S.A.B. DE C.V.  (EN ADELANTE “TELMEX”) CON LA RED PÚBLICA DE TELECOMUNICACIONES DE </w:t>
      </w:r>
      <w:r w:rsidR="00F031E8" w:rsidRPr="00F031E8">
        <w:rPr>
          <w:rFonts w:ascii="ITC Avant Garde" w:hAnsi="ITC Avant Garde" w:cs="Arial"/>
          <w:b/>
          <w:color w:val="0000FF"/>
        </w:rPr>
        <w:t>[…]</w:t>
      </w:r>
      <w:r w:rsidR="00F031E8">
        <w:rPr>
          <w:rFonts w:ascii="ITC Avant Garde" w:hAnsi="ITC Avant Garde" w:cs="Arial"/>
          <w:b/>
          <w:color w:val="000000" w:themeColor="text1"/>
        </w:rPr>
        <w:t xml:space="preserve"> (EN ADELANTE “</w:t>
      </w:r>
      <w:r w:rsidR="00F031E8" w:rsidRPr="00F031E8">
        <w:rPr>
          <w:rFonts w:ascii="ITC Avant Garde" w:hAnsi="ITC Avant Garde" w:cs="Arial"/>
          <w:b/>
          <w:color w:val="0000FF"/>
        </w:rPr>
        <w:t>[…]</w:t>
      </w:r>
      <w:r w:rsidR="00F031E8" w:rsidRPr="00F031E8">
        <w:rPr>
          <w:rFonts w:ascii="ITC Avant Garde" w:hAnsi="ITC Avant Garde" w:cs="Arial"/>
          <w:b/>
          <w:color w:val="000000" w:themeColor="text1"/>
        </w:rPr>
        <w:t>”</w:t>
      </w:r>
      <w:r w:rsidRPr="008762D1">
        <w:rPr>
          <w:rFonts w:ascii="ITC Avant Garde" w:hAnsi="ITC Avant Garde" w:cs="Arial"/>
          <w:b/>
          <w:color w:val="000000" w:themeColor="text1"/>
        </w:rPr>
        <w:t>.</w:t>
      </w:r>
    </w:p>
    <w:p w14:paraId="55F2B470" w14:textId="4390E981" w:rsidR="000F0B9F" w:rsidRPr="008762D1" w:rsidRDefault="00526FE9" w:rsidP="000F0B9F">
      <w:pPr>
        <w:autoSpaceDE w:val="0"/>
        <w:autoSpaceDN w:val="0"/>
        <w:adjustRightInd w:val="0"/>
        <w:spacing w:before="240"/>
        <w:jc w:val="both"/>
        <w:rPr>
          <w:rFonts w:ascii="ITC Avant Garde" w:hAnsi="ITC Avant Garde" w:cs="Arial"/>
          <w:b/>
          <w:color w:val="000000" w:themeColor="text1"/>
        </w:rPr>
      </w:pPr>
      <w:r w:rsidRPr="008762D1">
        <w:rPr>
          <w:rFonts w:ascii="ITC Avant Garde" w:hAnsi="ITC Avant Garde" w:cs="Arial"/>
          <w:b/>
          <w:color w:val="000000" w:themeColor="text1"/>
        </w:rPr>
        <w:t>1</w:t>
      </w:r>
      <w:r w:rsidRPr="008762D1">
        <w:rPr>
          <w:rFonts w:ascii="ITC Avant Garde" w:hAnsi="ITC Avant Garde" w:cs="Arial"/>
          <w:color w:val="000000" w:themeColor="text1"/>
        </w:rPr>
        <w:t>.</w:t>
      </w:r>
      <w:r w:rsidRPr="008762D1">
        <w:rPr>
          <w:rFonts w:ascii="ITC Avant Garde" w:hAnsi="ITC Avant Garde" w:cs="Arial"/>
          <w:color w:val="000000" w:themeColor="text1"/>
        </w:rPr>
        <w:tab/>
      </w:r>
      <w:r w:rsidRPr="008762D1">
        <w:rPr>
          <w:rFonts w:ascii="ITC Avant Garde" w:hAnsi="ITC Avant Garde" w:cs="Arial"/>
          <w:b/>
          <w:color w:val="000000" w:themeColor="text1"/>
        </w:rPr>
        <w:t>Servicios Conmutados de Interconexión.</w:t>
      </w:r>
    </w:p>
    <w:p w14:paraId="547AB726" w14:textId="1B06DD89" w:rsidR="000F0B9F" w:rsidRPr="008762D1" w:rsidRDefault="00526FE9" w:rsidP="000F0B9F">
      <w:pPr>
        <w:numPr>
          <w:ilvl w:val="1"/>
          <w:numId w:val="55"/>
        </w:numPr>
        <w:spacing w:before="240" w:after="0" w:line="240" w:lineRule="auto"/>
        <w:ind w:left="1440"/>
        <w:jc w:val="both"/>
        <w:rPr>
          <w:rFonts w:ascii="ITC Avant Garde" w:hAnsi="ITC Avant Garde" w:cs="Arial"/>
          <w:color w:val="000000" w:themeColor="text1"/>
        </w:rPr>
      </w:pPr>
      <w:r w:rsidRPr="008762D1">
        <w:rPr>
          <w:rFonts w:ascii="ITC Avant Garde" w:hAnsi="ITC Avant Garde" w:cs="Arial"/>
          <w:color w:val="000000" w:themeColor="text1"/>
        </w:rPr>
        <w:t xml:space="preserve">TELMEX pagará a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la cantidad de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pesos M.N.), por minuto de interconexión por concepto de servicios de terminación del servicio local en usuarios fijos o móviles.</w:t>
      </w:r>
    </w:p>
    <w:p w14:paraId="2A8AFC00" w14:textId="65EBE2F1" w:rsidR="000F0B9F" w:rsidRPr="008762D1" w:rsidRDefault="00526FE9" w:rsidP="00B93C63">
      <w:pPr>
        <w:numPr>
          <w:ilvl w:val="1"/>
          <w:numId w:val="55"/>
        </w:numPr>
        <w:spacing w:after="0" w:line="240" w:lineRule="auto"/>
        <w:ind w:left="1440"/>
        <w:jc w:val="both"/>
        <w:rPr>
          <w:rFonts w:ascii="ITC Avant Garde" w:hAnsi="ITC Avant Garde" w:cs="Arial"/>
          <w:color w:val="000000" w:themeColor="text1"/>
        </w:rPr>
      </w:pPr>
      <w:r w:rsidRPr="008762D1">
        <w:rPr>
          <w:rFonts w:ascii="ITC Avant Garde" w:hAnsi="ITC Avant Garde" w:cs="Arial"/>
          <w:color w:val="000000" w:themeColor="text1"/>
        </w:rPr>
        <w:t xml:space="preserve">TELMEX pagará a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la cantidad de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pesos M.N.), por minuto de interconexión por servicios de </w:t>
      </w:r>
      <w:proofErr w:type="spellStart"/>
      <w:r w:rsidRPr="008762D1">
        <w:rPr>
          <w:rFonts w:ascii="ITC Avant Garde" w:hAnsi="ITC Avant Garde" w:cs="Arial"/>
          <w:color w:val="000000" w:themeColor="text1"/>
        </w:rPr>
        <w:t>originación</w:t>
      </w:r>
      <w:proofErr w:type="spellEnd"/>
      <w:r w:rsidRPr="008762D1">
        <w:rPr>
          <w:rFonts w:ascii="ITC Avant Garde" w:hAnsi="ITC Avant Garde" w:cs="Arial"/>
          <w:color w:val="000000" w:themeColor="text1"/>
        </w:rPr>
        <w:t xml:space="preserve"> del Servicio Local en usuarios fijos o móviles.</w:t>
      </w:r>
    </w:p>
    <w:p w14:paraId="5AB61A42" w14:textId="1657CBA6" w:rsidR="000F0B9F" w:rsidRPr="008762D1" w:rsidRDefault="00F031E8" w:rsidP="00B93C63">
      <w:pPr>
        <w:numPr>
          <w:ilvl w:val="1"/>
          <w:numId w:val="55"/>
        </w:numPr>
        <w:spacing w:after="0" w:line="240" w:lineRule="auto"/>
        <w:ind w:left="1440"/>
        <w:jc w:val="both"/>
        <w:rPr>
          <w:rFonts w:ascii="ITC Avant Garde" w:hAnsi="ITC Avant Garde" w:cs="Arial"/>
          <w:color w:val="000000" w:themeColor="text1"/>
        </w:rPr>
      </w:pPr>
      <w:r w:rsidRPr="00F031E8">
        <w:rPr>
          <w:rFonts w:ascii="ITC Avant Garde" w:hAnsi="ITC Avant Garde" w:cs="Arial"/>
          <w:b/>
          <w:color w:val="0000FF"/>
        </w:rPr>
        <w:t>[…]</w:t>
      </w:r>
      <w:r>
        <w:rPr>
          <w:rFonts w:ascii="ITC Avant Garde" w:hAnsi="ITC Avant Garde" w:cs="Arial"/>
          <w:b/>
          <w:color w:val="0000FF"/>
        </w:rPr>
        <w:t xml:space="preserve"> </w:t>
      </w:r>
      <w:r w:rsidR="00526FE9" w:rsidRPr="008762D1">
        <w:rPr>
          <w:rFonts w:ascii="ITC Avant Garde" w:hAnsi="ITC Avant Garde" w:cs="Arial"/>
          <w:color w:val="000000" w:themeColor="text1"/>
        </w:rPr>
        <w:t xml:space="preserve">no pagará por servicios de terminación del servicio local en usuarios fijos mientras TELMEX tenga el carácter de agente económico preponderante que le fue determinado por el Instituto. </w:t>
      </w:r>
    </w:p>
    <w:p w14:paraId="64D11DC4" w14:textId="4DBC4F52" w:rsidR="000F0B9F" w:rsidRPr="008762D1" w:rsidRDefault="00F031E8" w:rsidP="00B93C63">
      <w:pPr>
        <w:numPr>
          <w:ilvl w:val="1"/>
          <w:numId w:val="55"/>
        </w:numPr>
        <w:spacing w:after="0" w:line="240" w:lineRule="auto"/>
        <w:ind w:left="1440"/>
        <w:jc w:val="both"/>
        <w:rPr>
          <w:rFonts w:ascii="ITC Avant Garde" w:hAnsi="ITC Avant Garde" w:cs="Times New Roman"/>
          <w:color w:val="000000" w:themeColor="text1"/>
          <w:lang w:val="es-ES"/>
        </w:rPr>
      </w:pPr>
      <w:r w:rsidRPr="00F031E8">
        <w:rPr>
          <w:rFonts w:ascii="ITC Avant Garde" w:hAnsi="ITC Avant Garde" w:cs="Arial"/>
          <w:b/>
          <w:color w:val="0000FF"/>
        </w:rPr>
        <w:t>[…]</w:t>
      </w:r>
      <w:r>
        <w:rPr>
          <w:rFonts w:ascii="ITC Avant Garde" w:hAnsi="ITC Avant Garde" w:cs="Arial"/>
          <w:b/>
          <w:color w:val="0000FF"/>
        </w:rPr>
        <w:t xml:space="preserve"> </w:t>
      </w:r>
      <w:r w:rsidR="00526FE9" w:rsidRPr="008762D1">
        <w:rPr>
          <w:rFonts w:ascii="ITC Avant Garde" w:hAnsi="ITC Avant Garde" w:cs="Arial"/>
          <w:color w:val="000000" w:themeColor="text1"/>
        </w:rPr>
        <w:t>pagará a TELMEX la cantidad de $</w:t>
      </w:r>
      <w:r w:rsidRPr="00F031E8">
        <w:rPr>
          <w:rFonts w:ascii="ITC Avant Garde" w:hAnsi="ITC Avant Garde" w:cs="Arial"/>
          <w:b/>
          <w:color w:val="0000FF"/>
        </w:rPr>
        <w:t>[…]</w:t>
      </w:r>
      <w:r>
        <w:rPr>
          <w:rFonts w:ascii="ITC Avant Garde" w:hAnsi="ITC Avant Garde" w:cs="Arial"/>
          <w:b/>
          <w:color w:val="0000FF"/>
        </w:rPr>
        <w:t xml:space="preserve"> </w:t>
      </w:r>
      <w:r w:rsidR="00526FE9" w:rsidRPr="008762D1">
        <w:rPr>
          <w:rFonts w:ascii="ITC Avant Garde" w:hAnsi="ITC Avant Garde" w:cs="Arial"/>
          <w:color w:val="000000" w:themeColor="text1"/>
        </w:rPr>
        <w:t xml:space="preserve">pesos M.N.), por minuto de interconexión por servicios de </w:t>
      </w:r>
      <w:proofErr w:type="spellStart"/>
      <w:r w:rsidR="00526FE9" w:rsidRPr="008762D1">
        <w:rPr>
          <w:rFonts w:ascii="ITC Avant Garde" w:hAnsi="ITC Avant Garde" w:cs="Arial"/>
          <w:color w:val="000000" w:themeColor="text1"/>
        </w:rPr>
        <w:t>originación</w:t>
      </w:r>
      <w:proofErr w:type="spellEnd"/>
      <w:r w:rsidR="00526FE9" w:rsidRPr="008762D1">
        <w:rPr>
          <w:rFonts w:ascii="ITC Avant Garde" w:hAnsi="ITC Avant Garde" w:cs="Arial"/>
          <w:color w:val="000000" w:themeColor="text1"/>
        </w:rPr>
        <w:t xml:space="preserve"> del Servicio Local en usuarios fijos.</w:t>
      </w:r>
    </w:p>
    <w:p w14:paraId="6D8A999C" w14:textId="77777777" w:rsidR="000F0B9F" w:rsidRPr="008762D1" w:rsidRDefault="00526FE9" w:rsidP="000F0B9F">
      <w:pPr>
        <w:pStyle w:val="Textoindependiente3"/>
        <w:spacing w:before="240"/>
        <w:ind w:hanging="1"/>
        <w:jc w:val="both"/>
        <w:rPr>
          <w:rFonts w:ascii="ITC Avant Garde" w:hAnsi="ITC Avant Garde"/>
          <w:color w:val="000000" w:themeColor="text1"/>
          <w:sz w:val="22"/>
          <w:szCs w:val="22"/>
        </w:rPr>
      </w:pPr>
      <w:r w:rsidRPr="008762D1">
        <w:rPr>
          <w:rFonts w:ascii="ITC Avant Garde" w:hAnsi="ITC Avant Garde"/>
          <w:bCs/>
          <w:color w:val="000000" w:themeColor="text1"/>
          <w:sz w:val="22"/>
          <w:szCs w:val="22"/>
        </w:rPr>
        <w:t>2.</w:t>
      </w:r>
      <w:r w:rsidRPr="008762D1">
        <w:rPr>
          <w:rFonts w:ascii="ITC Avant Garde" w:hAnsi="ITC Avant Garde"/>
          <w:bCs/>
          <w:color w:val="000000" w:themeColor="text1"/>
          <w:sz w:val="22"/>
          <w:szCs w:val="22"/>
        </w:rPr>
        <w:tab/>
        <w:t>Contraprestaciones por Servicios de Tránsito.</w:t>
      </w:r>
    </w:p>
    <w:p w14:paraId="5977E39A" w14:textId="3B48A3D8" w:rsidR="000F0B9F" w:rsidRPr="008762D1" w:rsidRDefault="00F031E8" w:rsidP="000F0B9F">
      <w:pPr>
        <w:spacing w:before="240"/>
        <w:ind w:left="1418"/>
        <w:jc w:val="both"/>
        <w:rPr>
          <w:rFonts w:ascii="ITC Avant Garde" w:hAnsi="ITC Avant Garde" w:cs="Arial"/>
          <w:color w:val="000000" w:themeColor="text1"/>
        </w:rPr>
      </w:pPr>
      <w:r w:rsidRPr="00F031E8">
        <w:rPr>
          <w:rFonts w:ascii="ITC Avant Garde" w:hAnsi="ITC Avant Garde" w:cs="Arial"/>
          <w:b/>
          <w:color w:val="0000FF"/>
        </w:rPr>
        <w:t>[…]</w:t>
      </w:r>
      <w:r>
        <w:rPr>
          <w:rFonts w:ascii="ITC Avant Garde" w:hAnsi="ITC Avant Garde" w:cs="Arial"/>
          <w:b/>
          <w:color w:val="0000FF"/>
        </w:rPr>
        <w:t xml:space="preserve"> </w:t>
      </w:r>
      <w:r w:rsidR="00526FE9" w:rsidRPr="008762D1">
        <w:rPr>
          <w:rFonts w:ascii="ITC Avant Garde" w:hAnsi="ITC Avant Garde" w:cs="Arial"/>
          <w:color w:val="000000" w:themeColor="text1"/>
        </w:rPr>
        <w:t>pagará a TELMEX la cantidad de $</w:t>
      </w:r>
      <w:r w:rsidRPr="00F031E8">
        <w:rPr>
          <w:rFonts w:ascii="ITC Avant Garde" w:hAnsi="ITC Avant Garde" w:cs="Arial"/>
          <w:b/>
          <w:color w:val="0000FF"/>
        </w:rPr>
        <w:t>[…]</w:t>
      </w:r>
      <w:r>
        <w:rPr>
          <w:rFonts w:ascii="ITC Avant Garde" w:hAnsi="ITC Avant Garde" w:cs="Arial"/>
          <w:b/>
          <w:color w:val="0000FF"/>
        </w:rPr>
        <w:t xml:space="preserve"> </w:t>
      </w:r>
      <w:r w:rsidR="00526FE9" w:rsidRPr="008762D1">
        <w:rPr>
          <w:rFonts w:ascii="ITC Avant Garde" w:hAnsi="ITC Avant Garde" w:cs="Arial"/>
          <w:color w:val="000000" w:themeColor="text1"/>
        </w:rPr>
        <w:t>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14:paraId="17EC455C" w14:textId="7933F62C" w:rsidR="00526FE9" w:rsidRPr="008762D1" w:rsidRDefault="00526FE9" w:rsidP="000F0B9F">
      <w:pPr>
        <w:spacing w:before="240"/>
        <w:ind w:left="720"/>
        <w:jc w:val="both"/>
        <w:rPr>
          <w:rFonts w:ascii="ITC Avant Garde" w:hAnsi="ITC Avant Garde" w:cs="Arial"/>
          <w:color w:val="000000" w:themeColor="text1"/>
        </w:rPr>
      </w:pPr>
      <w:r w:rsidRPr="008762D1">
        <w:rPr>
          <w:rFonts w:ascii="ITC Avant Garde" w:hAnsi="ITC Avant Garde" w:cs="Arial"/>
          <w:color w:val="000000" w:themeColor="text1"/>
        </w:rPr>
        <w:t>Las tarifas mencionadas en los numerales 1 y 2 anteriores estarán vigentes durante el período comprendido entre el 1 de enero de 2018 y el 31 de diciembre de 2018.</w:t>
      </w:r>
    </w:p>
    <w:p w14:paraId="5E2D9CE2" w14:textId="77777777" w:rsidR="00526FE9" w:rsidRPr="008762D1" w:rsidRDefault="00526FE9" w:rsidP="000F0B9F">
      <w:pPr>
        <w:spacing w:before="240" w:after="100" w:afterAutospacing="1"/>
        <w:ind w:left="720" w:firstLine="24"/>
        <w:jc w:val="both"/>
        <w:rPr>
          <w:rFonts w:ascii="ITC Avant Garde" w:hAnsi="ITC Avant Garde" w:cs="Arial"/>
          <w:color w:val="000000" w:themeColor="text1"/>
        </w:rPr>
      </w:pPr>
      <w:r w:rsidRPr="008762D1">
        <w:rPr>
          <w:rFonts w:ascii="ITC Avant Garde" w:hAnsi="ITC Avant Garde" w:cs="Arial"/>
          <w:color w:val="000000" w:themeColor="text1"/>
        </w:rPr>
        <w:t>Las contraprestaciones a que se refieren los numerales 1 y 2 anteriores ya incluyen las tarifas correspondientes a los Servicios de Puertos de Interconexión en nivel de E1.</w:t>
      </w:r>
    </w:p>
    <w:p w14:paraId="6F62938C" w14:textId="77777777" w:rsidR="000F0B9F" w:rsidRPr="008762D1" w:rsidRDefault="00526FE9" w:rsidP="000F0B9F">
      <w:pPr>
        <w:tabs>
          <w:tab w:val="left" w:pos="709"/>
        </w:tabs>
        <w:spacing w:before="240"/>
        <w:ind w:left="720" w:hanging="11"/>
        <w:jc w:val="both"/>
        <w:rPr>
          <w:rFonts w:ascii="ITC Avant Garde" w:hAnsi="ITC Avant Garde" w:cs="Arial"/>
          <w:color w:val="000000" w:themeColor="text1"/>
        </w:rPr>
      </w:pPr>
      <w:r w:rsidRPr="008762D1">
        <w:rPr>
          <w:rFonts w:ascii="ITC Avant Garde" w:hAnsi="ITC Avant Garde" w:cs="Arial"/>
          <w:color w:val="000000" w:themeColor="text1"/>
        </w:rPr>
        <w:tab/>
        <w:t>En la aplicación de las tarifas indicadas en los numerales 1 y 2 anteriores, se calcularán con base en los términos descritos en el numeral 4 del presente anexo “B”.</w:t>
      </w:r>
    </w:p>
    <w:p w14:paraId="64CD48A6" w14:textId="77777777" w:rsidR="000F0B9F" w:rsidRPr="008762D1" w:rsidRDefault="00526FE9" w:rsidP="000F0B9F">
      <w:pPr>
        <w:pStyle w:val="Textoindependiente3"/>
        <w:numPr>
          <w:ilvl w:val="0"/>
          <w:numId w:val="56"/>
        </w:numPr>
        <w:autoSpaceDE w:val="0"/>
        <w:autoSpaceDN w:val="0"/>
        <w:spacing w:before="240" w:after="0" w:line="240" w:lineRule="auto"/>
        <w:ind w:hanging="720"/>
        <w:jc w:val="both"/>
        <w:rPr>
          <w:rFonts w:ascii="ITC Avant Garde" w:hAnsi="ITC Avant Garde" w:cs="Arial"/>
          <w:color w:val="000000" w:themeColor="text1"/>
          <w:sz w:val="22"/>
          <w:szCs w:val="22"/>
        </w:rPr>
      </w:pPr>
      <w:r w:rsidRPr="008762D1">
        <w:rPr>
          <w:rFonts w:ascii="ITC Avant Garde" w:hAnsi="ITC Avant Garde"/>
          <w:bCs/>
          <w:color w:val="000000" w:themeColor="text1"/>
          <w:sz w:val="22"/>
          <w:szCs w:val="22"/>
        </w:rPr>
        <w:t xml:space="preserve"> Servicios Complementarios.</w:t>
      </w:r>
    </w:p>
    <w:p w14:paraId="0213996E" w14:textId="6CC25B99" w:rsidR="000F0B9F" w:rsidRPr="008762D1" w:rsidRDefault="00526FE9" w:rsidP="000F0B9F">
      <w:pPr>
        <w:pStyle w:val="Textoindependiente3"/>
        <w:spacing w:before="240"/>
        <w:ind w:hanging="1"/>
        <w:jc w:val="both"/>
        <w:rPr>
          <w:rFonts w:ascii="ITC Avant Garde" w:hAnsi="ITC Avant Garde"/>
          <w:b/>
          <w:bCs/>
          <w:color w:val="000000" w:themeColor="text1"/>
          <w:sz w:val="22"/>
          <w:szCs w:val="22"/>
          <w:lang w:val="es-ES"/>
        </w:rPr>
      </w:pPr>
      <w:r w:rsidRPr="008762D1">
        <w:rPr>
          <w:rFonts w:ascii="ITC Avant Garde" w:hAnsi="ITC Avant Garde"/>
          <w:b/>
          <w:bCs/>
          <w:color w:val="000000" w:themeColor="text1"/>
          <w:sz w:val="22"/>
          <w:szCs w:val="22"/>
        </w:rPr>
        <w:lastRenderedPageBreak/>
        <w:t xml:space="preserve">Cada una de las partes será responsable de la infraestructura de transporte necesaria para la Interconexión Local para terminar Tráfico en la Red de destino. </w:t>
      </w:r>
    </w:p>
    <w:p w14:paraId="0896FF0C" w14:textId="77777777" w:rsidR="000F0B9F" w:rsidRPr="008762D1" w:rsidRDefault="00526FE9" w:rsidP="000F0B9F">
      <w:pPr>
        <w:pStyle w:val="Textoindependiente3"/>
        <w:spacing w:before="240"/>
        <w:jc w:val="both"/>
        <w:rPr>
          <w:rFonts w:ascii="ITC Avant Garde" w:hAnsi="ITC Avant Garde"/>
          <w:b/>
          <w:bCs/>
          <w:color w:val="000000" w:themeColor="text1"/>
          <w:sz w:val="22"/>
          <w:szCs w:val="22"/>
        </w:rPr>
      </w:pPr>
      <w:r w:rsidRPr="008762D1">
        <w:rPr>
          <w:rFonts w:ascii="ITC Avant Garde" w:hAnsi="ITC Avant Garde"/>
          <w:b/>
          <w:bCs/>
          <w:color w:val="000000" w:themeColor="text1"/>
          <w:sz w:val="22"/>
          <w:szCs w:val="22"/>
        </w:rPr>
        <w:t xml:space="preserve">Las Partes también serán responsables de cubrir los costos asociados a Puertos de Señalización, Servicios de Enlaces de Interconexión Local, Servicios de Enlaces de Señalización Local y los Servicios de </w:t>
      </w:r>
      <w:proofErr w:type="spellStart"/>
      <w:r w:rsidRPr="008762D1">
        <w:rPr>
          <w:rFonts w:ascii="ITC Avant Garde" w:hAnsi="ITC Avant Garde"/>
          <w:b/>
          <w:bCs/>
          <w:color w:val="000000" w:themeColor="text1"/>
          <w:sz w:val="22"/>
          <w:szCs w:val="22"/>
        </w:rPr>
        <w:t>Coubicación</w:t>
      </w:r>
      <w:proofErr w:type="spellEnd"/>
      <w:r w:rsidRPr="008762D1">
        <w:rPr>
          <w:rFonts w:ascii="ITC Avant Garde" w:hAnsi="ITC Avant Garde"/>
          <w:b/>
          <w:bCs/>
          <w:color w:val="000000" w:themeColor="text1"/>
          <w:sz w:val="22"/>
          <w:szCs w:val="22"/>
        </w:rPr>
        <w:t xml:space="preserve"> que se requieran para llevar a cabo la Interconexión.</w:t>
      </w:r>
    </w:p>
    <w:p w14:paraId="12AB9FEE" w14:textId="77777777" w:rsidR="000F0B9F" w:rsidRPr="008762D1" w:rsidRDefault="00526FE9" w:rsidP="000F0B9F">
      <w:pPr>
        <w:numPr>
          <w:ilvl w:val="0"/>
          <w:numId w:val="56"/>
        </w:numPr>
        <w:autoSpaceDE w:val="0"/>
        <w:autoSpaceDN w:val="0"/>
        <w:adjustRightInd w:val="0"/>
        <w:spacing w:before="240" w:after="0" w:line="240" w:lineRule="auto"/>
        <w:ind w:hanging="720"/>
        <w:jc w:val="both"/>
        <w:rPr>
          <w:rFonts w:ascii="ITC Avant Garde" w:hAnsi="ITC Avant Garde" w:cs="Arial"/>
          <w:b/>
          <w:bCs/>
          <w:color w:val="000000" w:themeColor="text1"/>
        </w:rPr>
      </w:pPr>
      <w:r w:rsidRPr="008762D1">
        <w:rPr>
          <w:rFonts w:ascii="ITC Avant Garde" w:hAnsi="ITC Avant Garde" w:cs="Arial"/>
          <w:b/>
          <w:bCs/>
          <w:color w:val="000000" w:themeColor="text1"/>
        </w:rPr>
        <w:t xml:space="preserve">Medición del Tráfico intercambiado entre las Redes. </w:t>
      </w:r>
    </w:p>
    <w:p w14:paraId="2A8D880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14:paraId="451FF3CA" w14:textId="6BA89AC2"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Teléfonos de México, S.A.B. de C.V. y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no podrán establecer cargos adicionales por intentos de llamadas.</w:t>
      </w:r>
    </w:p>
    <w:p w14:paraId="0BA8156E" w14:textId="77777777" w:rsidR="000F0B9F" w:rsidRPr="008762D1" w:rsidRDefault="00526FE9" w:rsidP="000F0B9F">
      <w:pPr>
        <w:autoSpaceDE w:val="0"/>
        <w:autoSpaceDN w:val="0"/>
        <w:adjustRightInd w:val="0"/>
        <w:spacing w:before="240"/>
        <w:jc w:val="both"/>
        <w:rPr>
          <w:rFonts w:ascii="ITC Avant Garde" w:hAnsi="ITC Avant Garde" w:cs="Arial"/>
          <w:b/>
          <w:color w:val="000000" w:themeColor="text1"/>
        </w:rPr>
      </w:pPr>
      <w:r w:rsidRPr="008762D1">
        <w:rPr>
          <w:rFonts w:ascii="ITC Avant Garde" w:hAnsi="ITC Avant Garde" w:cs="Arial"/>
          <w:b/>
          <w:color w:val="000000" w:themeColor="text1"/>
        </w:rPr>
        <w:t>Servicios No Conmutados de Interconexión.</w:t>
      </w:r>
    </w:p>
    <w:p w14:paraId="36898390" w14:textId="77777777" w:rsidR="000F0B9F" w:rsidRPr="008762D1" w:rsidRDefault="00526FE9" w:rsidP="000F0B9F">
      <w:pPr>
        <w:autoSpaceDE w:val="0"/>
        <w:autoSpaceDN w:val="0"/>
        <w:adjustRightInd w:val="0"/>
        <w:spacing w:before="240"/>
        <w:ind w:firstLine="709"/>
        <w:jc w:val="both"/>
        <w:rPr>
          <w:rFonts w:ascii="ITC Avant Garde" w:hAnsi="ITC Avant Garde" w:cs="Arial"/>
          <w:b/>
          <w:color w:val="000000" w:themeColor="text1"/>
        </w:rPr>
      </w:pPr>
      <w:r w:rsidRPr="008762D1">
        <w:rPr>
          <w:rFonts w:ascii="ITC Avant Garde" w:hAnsi="ITC Avant Garde" w:cs="Arial"/>
          <w:b/>
          <w:color w:val="000000" w:themeColor="text1"/>
        </w:rPr>
        <w:t xml:space="preserve">5 </w:t>
      </w:r>
      <w:r w:rsidRPr="008762D1">
        <w:rPr>
          <w:rFonts w:ascii="ITC Avant Garde" w:hAnsi="ITC Avant Garde" w:cs="Arial"/>
          <w:b/>
          <w:color w:val="000000" w:themeColor="text1"/>
        </w:rPr>
        <w:tab/>
      </w:r>
      <w:r w:rsidRPr="008762D1">
        <w:rPr>
          <w:rFonts w:ascii="ITC Avant Garde" w:hAnsi="ITC Avant Garde" w:cs="Arial"/>
          <w:b/>
          <w:color w:val="000000" w:themeColor="text1"/>
          <w:u w:val="single"/>
        </w:rPr>
        <w:t>Enlaces Dedicados de Interconexión E1.</w:t>
      </w:r>
    </w:p>
    <w:p w14:paraId="2638CA9F" w14:textId="24EC95A7" w:rsidR="000F0B9F" w:rsidRPr="008762D1" w:rsidRDefault="00F031E8" w:rsidP="000F0B9F">
      <w:pPr>
        <w:autoSpaceDE w:val="0"/>
        <w:autoSpaceDN w:val="0"/>
        <w:adjustRightInd w:val="0"/>
        <w:spacing w:before="240"/>
        <w:jc w:val="both"/>
        <w:rPr>
          <w:rFonts w:ascii="ITC Avant Garde" w:hAnsi="ITC Avant Garde" w:cs="Arial"/>
          <w:color w:val="000000" w:themeColor="text1"/>
        </w:rPr>
      </w:pPr>
      <w:r w:rsidRPr="00F031E8">
        <w:rPr>
          <w:rFonts w:ascii="ITC Avant Garde" w:hAnsi="ITC Avant Garde" w:cs="Arial"/>
          <w:b/>
          <w:color w:val="0000FF"/>
        </w:rPr>
        <w:t>[…]</w:t>
      </w:r>
      <w:r>
        <w:rPr>
          <w:rFonts w:ascii="ITC Avant Garde" w:hAnsi="ITC Avant Garde" w:cs="Arial"/>
          <w:b/>
          <w:color w:val="0000FF"/>
        </w:rPr>
        <w:t xml:space="preserve"> </w:t>
      </w:r>
      <w:r w:rsidR="00526FE9" w:rsidRPr="008762D1">
        <w:rPr>
          <w:rFonts w:ascii="ITC Avant Garde" w:hAnsi="ITC Avant Garde" w:cs="Arial"/>
          <w:color w:val="000000" w:themeColor="text1"/>
        </w:rPr>
        <w:t>podrá requerir a TELMEX Enlaces de Transmisión en E1 y pagará las siguientes tarifas:</w:t>
      </w:r>
    </w:p>
    <w:p w14:paraId="09A794A1" w14:textId="77777777" w:rsidR="000F0B9F" w:rsidRPr="008762D1" w:rsidRDefault="00526FE9" w:rsidP="000F0B9F">
      <w:pPr>
        <w:spacing w:before="240"/>
        <w:ind w:left="1440" w:hanging="720"/>
        <w:jc w:val="both"/>
        <w:rPr>
          <w:rFonts w:ascii="ITC Avant Garde" w:hAnsi="ITC Avant Garde" w:cs="Times New Roman"/>
          <w:color w:val="000000" w:themeColor="text1"/>
        </w:rPr>
      </w:pPr>
      <w:r w:rsidRPr="008762D1">
        <w:rPr>
          <w:rFonts w:ascii="ITC Avant Garde" w:hAnsi="ITC Avant Garde"/>
          <w:color w:val="000000" w:themeColor="text1"/>
        </w:rPr>
        <w:t>5.1</w:t>
      </w:r>
      <w:r w:rsidRPr="008762D1">
        <w:rPr>
          <w:rFonts w:ascii="ITC Avant Garde" w:hAnsi="ITC Avant Garde"/>
          <w:color w:val="000000" w:themeColor="text1"/>
        </w:rPr>
        <w:tab/>
        <w:t>Servicios de Enlaces Dedicados para la Interconexión Local (E1).</w:t>
      </w:r>
    </w:p>
    <w:p w14:paraId="26CA3B44" w14:textId="77777777" w:rsidR="000F0B9F" w:rsidRPr="008762D1" w:rsidRDefault="00526FE9" w:rsidP="000F0B9F">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5.1.1</w:t>
      </w:r>
      <w:r w:rsidRPr="008762D1">
        <w:rPr>
          <w:rFonts w:ascii="ITC Avant Garde" w:hAnsi="ITC Avant Garde"/>
          <w:color w:val="000000" w:themeColor="text1"/>
        </w:rPr>
        <w:tab/>
        <w:t>Servicios de Enlaces Dedicados de Interconexión Local (E1). La parte que requiera el servicio pagará a la Parte Prestadora, por cada Enlace Dedicado de Interconexión Local (E1) las siguientes tarifas:</w:t>
      </w:r>
    </w:p>
    <w:p w14:paraId="0E8C4E0A" w14:textId="77777777" w:rsidR="002C0F86" w:rsidRPr="008762D1" w:rsidRDefault="00526FE9" w:rsidP="002C0F86">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5.1.1.1</w:t>
      </w:r>
      <w:r w:rsidRPr="008762D1">
        <w:rPr>
          <w:rFonts w:ascii="ITC Avant Garde" w:hAnsi="ITC Avant Garde"/>
          <w:color w:val="000000" w:themeColor="text1"/>
        </w:rPr>
        <w:tab/>
        <w:t>Gastos de Instalación: $xxx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pesos M.N.) desde el 1 de enero de 2018 y hasta el 31 de diciembre del 2018.</w:t>
      </w:r>
    </w:p>
    <w:p w14:paraId="15A7B4F1" w14:textId="4214401B" w:rsidR="000F0B9F" w:rsidRPr="008762D1" w:rsidRDefault="002C0F86" w:rsidP="002C0F86">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5.1.1.2</w:t>
      </w:r>
      <w:r w:rsidRPr="008762D1">
        <w:rPr>
          <w:rFonts w:ascii="ITC Avant Garde" w:hAnsi="ITC Avant Garde"/>
          <w:color w:val="000000" w:themeColor="text1"/>
        </w:rPr>
        <w:tab/>
      </w:r>
      <w:r w:rsidR="00526FE9" w:rsidRPr="008762D1">
        <w:rPr>
          <w:rFonts w:ascii="ITC Avant Garde" w:hAnsi="ITC Avant Garde"/>
          <w:color w:val="000000" w:themeColor="text1"/>
        </w:rPr>
        <w:t>Renta Mensual: $xxx (</w:t>
      </w:r>
      <w:proofErr w:type="spellStart"/>
      <w:r w:rsidR="00526FE9" w:rsidRPr="008762D1">
        <w:rPr>
          <w:rFonts w:ascii="ITC Avant Garde" w:hAnsi="ITC Avant Garde"/>
          <w:color w:val="000000" w:themeColor="text1"/>
        </w:rPr>
        <w:t>xxxxxx</w:t>
      </w:r>
      <w:proofErr w:type="spellEnd"/>
      <w:r w:rsidR="00526FE9" w:rsidRPr="008762D1">
        <w:rPr>
          <w:rFonts w:ascii="ITC Avant Garde" w:hAnsi="ITC Avant Garde"/>
          <w:color w:val="000000" w:themeColor="text1"/>
        </w:rPr>
        <w:t xml:space="preserve"> pesos M.N.) desde el 1 de enero de 2018 y hasta el 31 de diciembre del 2018.</w:t>
      </w:r>
    </w:p>
    <w:p w14:paraId="56CAA5F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Las Partes se reservan el derecho de modificar estas tarifas, una vez realizada la inscripción en el Registro de Telecomunicaciones que lleva el Instituto. </w:t>
      </w:r>
    </w:p>
    <w:p w14:paraId="1A09723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lang w:val="es-ES"/>
        </w:rPr>
      </w:pPr>
      <w:r w:rsidRPr="008762D1">
        <w:rPr>
          <w:rFonts w:ascii="ITC Avant Garde" w:hAnsi="ITC Avant Garde" w:cs="Arial"/>
          <w:color w:val="000000" w:themeColor="text1"/>
        </w:rPr>
        <w:lastRenderedPageBreak/>
        <w:t>Las tarifas mencionadas en el presente numeral 5 se actualizarán mensualmente durante el periodo comprendido entre el 1 de enero de 2018 y el 31 de diciembre de 2018, con base en la metodología de Actualización del numeral 8 descrita en el presente convenio.</w:t>
      </w:r>
    </w:p>
    <w:p w14:paraId="4F34BB6F" w14:textId="6857FBBE" w:rsidR="00526FE9" w:rsidRPr="00F031E8" w:rsidRDefault="00526FE9" w:rsidP="00F031E8">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Lo anterior con independencia de la posibilidad que tienen los concesionarios de solicitar la intervención del Instituto en caso de existir términos y condiciones </w:t>
      </w:r>
      <w:r w:rsidR="00F031E8">
        <w:rPr>
          <w:rFonts w:ascii="ITC Avant Garde" w:hAnsi="ITC Avant Garde" w:cs="Arial"/>
          <w:color w:val="000000" w:themeColor="text1"/>
        </w:rPr>
        <w:t>no convenidas entre las partes.</w:t>
      </w:r>
    </w:p>
    <w:p w14:paraId="6BAB9959" w14:textId="77777777" w:rsidR="000F0B9F" w:rsidRPr="008762D1" w:rsidRDefault="00526FE9" w:rsidP="000F0B9F">
      <w:pPr>
        <w:spacing w:before="240"/>
        <w:ind w:firstLine="708"/>
        <w:jc w:val="both"/>
        <w:rPr>
          <w:rFonts w:ascii="ITC Avant Garde" w:hAnsi="ITC Avant Garde" w:cs="Arial"/>
          <w:b/>
          <w:color w:val="000000" w:themeColor="text1"/>
          <w:u w:val="single"/>
        </w:rPr>
      </w:pPr>
      <w:r w:rsidRPr="008762D1">
        <w:rPr>
          <w:rFonts w:ascii="ITC Avant Garde" w:hAnsi="ITC Avant Garde" w:cs="Arial"/>
          <w:b/>
          <w:color w:val="000000" w:themeColor="text1"/>
        </w:rPr>
        <w:t>6.</w:t>
      </w:r>
      <w:r w:rsidRPr="008762D1">
        <w:rPr>
          <w:rFonts w:ascii="ITC Avant Garde" w:hAnsi="ITC Avant Garde" w:cs="Arial"/>
          <w:b/>
          <w:color w:val="000000" w:themeColor="text1"/>
        </w:rPr>
        <w:tab/>
      </w:r>
      <w:r w:rsidRPr="008762D1">
        <w:rPr>
          <w:rFonts w:ascii="ITC Avant Garde" w:hAnsi="ITC Avant Garde" w:cs="Arial"/>
          <w:b/>
          <w:color w:val="000000" w:themeColor="text1"/>
          <w:u w:val="single"/>
        </w:rPr>
        <w:t>Servicios de Señalización.</w:t>
      </w:r>
    </w:p>
    <w:p w14:paraId="3B214FCC" w14:textId="77777777" w:rsidR="000F0B9F" w:rsidRPr="008762D1" w:rsidRDefault="00526FE9" w:rsidP="000F0B9F">
      <w:pPr>
        <w:spacing w:before="240"/>
        <w:ind w:left="1416"/>
        <w:jc w:val="both"/>
        <w:rPr>
          <w:rFonts w:ascii="ITC Avant Garde" w:hAnsi="ITC Avant Garde" w:cs="Arial"/>
          <w:color w:val="000000" w:themeColor="text1"/>
        </w:rPr>
      </w:pPr>
      <w:r w:rsidRPr="008762D1">
        <w:rPr>
          <w:rFonts w:ascii="ITC Avant Garde" w:hAnsi="ITC Avant Garde" w:cs="Arial"/>
          <w:color w:val="000000" w:themeColor="text1"/>
        </w:rPr>
        <w:t>En caso de interconexión utilizando PAUSI–MX y que las redes de las partes cuenten con puntos de transferencia de señalización, la interconexión de estos se realizará bajo el principio de que cada una de las partes cubrirá sus propios costos, compartiendo el enlace correspondiente, o bien, utilizando los enlaces de transmisión existentes para el manejo de tráfico publico conmutado cuando sea técnicamente factible, previamente acordado en cada caso.</w:t>
      </w:r>
    </w:p>
    <w:p w14:paraId="5E7BE2AB" w14:textId="77777777" w:rsidR="000F0B9F" w:rsidRPr="008762D1" w:rsidRDefault="00526FE9" w:rsidP="000F0B9F">
      <w:pPr>
        <w:spacing w:before="240"/>
        <w:ind w:left="1416"/>
        <w:jc w:val="both"/>
        <w:rPr>
          <w:rFonts w:ascii="ITC Avant Garde" w:hAnsi="ITC Avant Garde" w:cs="Arial"/>
          <w:color w:val="000000" w:themeColor="text1"/>
        </w:rPr>
      </w:pPr>
      <w:r w:rsidRPr="008762D1">
        <w:rPr>
          <w:rFonts w:ascii="ITC Avant Garde" w:hAnsi="ITC Avant Garde" w:cs="Arial"/>
          <w:color w:val="000000" w:themeColor="text1"/>
        </w:rPr>
        <w:t>Las partes reconocen y acuerdan que ambas redes cuentan con al menos un punto de transferencia de señalización, por lo que cada una cubrirá sus propios costos, en los términos del primer párrafo de este numeral 6.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 pagando las siguientes tarifas.</w:t>
      </w:r>
    </w:p>
    <w:p w14:paraId="72346B0B" w14:textId="77777777" w:rsidR="000F0B9F" w:rsidRPr="008762D1" w:rsidRDefault="00526FE9" w:rsidP="000F0B9F">
      <w:pPr>
        <w:pStyle w:val="Level3"/>
        <w:numPr>
          <w:ilvl w:val="1"/>
          <w:numId w:val="58"/>
        </w:numPr>
        <w:tabs>
          <w:tab w:val="left" w:pos="-1440"/>
        </w:tabs>
        <w:spacing w:before="240"/>
        <w:jc w:val="both"/>
        <w:rPr>
          <w:rFonts w:ascii="ITC Avant Garde" w:hAnsi="ITC Avant Garde"/>
          <w:color w:val="000000" w:themeColor="text1"/>
          <w:sz w:val="22"/>
          <w:szCs w:val="22"/>
          <w:lang w:val="es-MX"/>
        </w:rPr>
      </w:pPr>
      <w:r w:rsidRPr="008762D1">
        <w:rPr>
          <w:rFonts w:ascii="ITC Avant Garde" w:hAnsi="ITC Avant Garde"/>
          <w:b/>
          <w:color w:val="000000" w:themeColor="text1"/>
          <w:sz w:val="22"/>
          <w:szCs w:val="22"/>
          <w:u w:val="single"/>
          <w:lang w:val="es-MX"/>
        </w:rPr>
        <w:t>Servicios de Puertos de Señalización</w:t>
      </w:r>
      <w:r w:rsidRPr="008762D1">
        <w:rPr>
          <w:rFonts w:ascii="ITC Avant Garde" w:hAnsi="ITC Avant Garde"/>
          <w:color w:val="000000" w:themeColor="text1"/>
          <w:sz w:val="22"/>
          <w:szCs w:val="22"/>
          <w:lang w:val="es-MX"/>
        </w:rPr>
        <w:t xml:space="preserve">. El concesionario solicitante del servicio pagará a la parte prestadora, por cada Puerto de Señalización de 64 Kilobits por segundo de señalización local con capacidad de 0.4 </w:t>
      </w:r>
      <w:proofErr w:type="spellStart"/>
      <w:r w:rsidRPr="008762D1">
        <w:rPr>
          <w:rFonts w:ascii="ITC Avant Garde" w:hAnsi="ITC Avant Garde"/>
          <w:color w:val="000000" w:themeColor="text1"/>
          <w:sz w:val="22"/>
          <w:szCs w:val="22"/>
          <w:lang w:val="es-MX"/>
        </w:rPr>
        <w:t>erlangs</w:t>
      </w:r>
      <w:proofErr w:type="spellEnd"/>
      <w:r w:rsidRPr="008762D1">
        <w:rPr>
          <w:rFonts w:ascii="ITC Avant Garde" w:hAnsi="ITC Avant Garde"/>
          <w:color w:val="000000" w:themeColor="text1"/>
          <w:sz w:val="22"/>
          <w:szCs w:val="22"/>
          <w:lang w:val="es-MX"/>
        </w:rPr>
        <w:t>, las siguientes tarifas:</w:t>
      </w:r>
    </w:p>
    <w:p w14:paraId="4E5FF0CA" w14:textId="77777777" w:rsidR="000F0B9F" w:rsidRPr="008762D1" w:rsidRDefault="00526FE9" w:rsidP="002C0F86">
      <w:pPr>
        <w:spacing w:before="240"/>
        <w:ind w:left="1091" w:firstLine="709"/>
        <w:rPr>
          <w:rFonts w:ascii="ITC Avant Garde" w:hAnsi="ITC Avant Garde"/>
          <w:color w:val="000000" w:themeColor="text1"/>
        </w:rPr>
      </w:pPr>
      <w:r w:rsidRPr="008762D1">
        <w:rPr>
          <w:rFonts w:ascii="ITC Avant Garde" w:hAnsi="ITC Avant Garde"/>
          <w:color w:val="000000" w:themeColor="text1"/>
        </w:rPr>
        <w:t>6.1.1.</w:t>
      </w:r>
      <w:r w:rsidRPr="008762D1">
        <w:rPr>
          <w:rFonts w:ascii="ITC Avant Garde" w:hAnsi="ITC Avant Garde"/>
          <w:color w:val="000000" w:themeColor="text1"/>
        </w:rPr>
        <w:tab/>
        <w:t>Gastos de Instalación: $xxx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pesos M.N.)</w:t>
      </w:r>
    </w:p>
    <w:p w14:paraId="4EF9A293" w14:textId="77777777" w:rsidR="000F0B9F" w:rsidRPr="008762D1" w:rsidRDefault="00526FE9" w:rsidP="002C0F86">
      <w:pPr>
        <w:spacing w:before="240"/>
        <w:ind w:left="1091" w:firstLine="709"/>
        <w:rPr>
          <w:rFonts w:ascii="ITC Avant Garde" w:hAnsi="ITC Avant Garde"/>
          <w:color w:val="000000" w:themeColor="text1"/>
        </w:rPr>
      </w:pPr>
      <w:r w:rsidRPr="008762D1">
        <w:rPr>
          <w:rFonts w:ascii="ITC Avant Garde" w:hAnsi="ITC Avant Garde"/>
          <w:color w:val="000000" w:themeColor="text1"/>
        </w:rPr>
        <w:t xml:space="preserve">6.1.2 </w:t>
      </w:r>
      <w:r w:rsidRPr="008762D1">
        <w:rPr>
          <w:rFonts w:ascii="ITC Avant Garde" w:hAnsi="ITC Avant Garde"/>
          <w:color w:val="000000" w:themeColor="text1"/>
        </w:rPr>
        <w:tab/>
        <w:t>Renta Mensual: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M.N.)</w:t>
      </w:r>
    </w:p>
    <w:p w14:paraId="52CA53C9" w14:textId="77777777" w:rsidR="000F0B9F" w:rsidRPr="008762D1" w:rsidRDefault="00526FE9" w:rsidP="000F0B9F">
      <w:pPr>
        <w:spacing w:before="240"/>
        <w:ind w:left="2124" w:hanging="708"/>
        <w:jc w:val="both"/>
        <w:rPr>
          <w:rFonts w:ascii="ITC Avant Garde" w:hAnsi="ITC Avant Garde"/>
          <w:color w:val="000000" w:themeColor="text1"/>
        </w:rPr>
      </w:pPr>
      <w:r w:rsidRPr="008762D1">
        <w:rPr>
          <w:rFonts w:ascii="ITC Avant Garde" w:hAnsi="ITC Avant Garde"/>
          <w:b/>
          <w:color w:val="000000" w:themeColor="text1"/>
        </w:rPr>
        <w:lastRenderedPageBreak/>
        <w:t>6.2.</w:t>
      </w:r>
      <w:r w:rsidRPr="008762D1">
        <w:rPr>
          <w:rFonts w:ascii="ITC Avant Garde" w:hAnsi="ITC Avant Garde"/>
          <w:b/>
          <w:color w:val="000000" w:themeColor="text1"/>
        </w:rPr>
        <w:tab/>
      </w:r>
      <w:r w:rsidRPr="008762D1">
        <w:rPr>
          <w:rFonts w:ascii="ITC Avant Garde" w:hAnsi="ITC Avant Garde"/>
          <w:b/>
          <w:color w:val="000000" w:themeColor="text1"/>
          <w:u w:val="single"/>
        </w:rPr>
        <w:t>Servicios de Enlaces de Señalización Local (E1)</w:t>
      </w:r>
      <w:r w:rsidRPr="008762D1">
        <w:rPr>
          <w:rFonts w:ascii="ITC Avant Garde" w:hAnsi="ITC Avant Garde"/>
          <w:color w:val="000000" w:themeColor="text1"/>
        </w:rPr>
        <w:t>. La parte que requiera el servicio pagará a la Parte Prestadora, por cada Enlace de Señalización Local (E1) las siguientes tarifas:</w:t>
      </w:r>
    </w:p>
    <w:p w14:paraId="2ADE0883" w14:textId="77777777" w:rsidR="000F0B9F" w:rsidRPr="008762D1" w:rsidRDefault="00526FE9" w:rsidP="000F0B9F">
      <w:pPr>
        <w:spacing w:before="240"/>
        <w:ind w:left="3534" w:hanging="1410"/>
        <w:jc w:val="both"/>
        <w:rPr>
          <w:rFonts w:ascii="ITC Avant Garde" w:hAnsi="ITC Avant Garde"/>
          <w:color w:val="000000" w:themeColor="text1"/>
        </w:rPr>
      </w:pPr>
      <w:r w:rsidRPr="008762D1">
        <w:rPr>
          <w:rFonts w:ascii="ITC Avant Garde" w:hAnsi="ITC Avant Garde"/>
          <w:b/>
          <w:color w:val="000000" w:themeColor="text1"/>
        </w:rPr>
        <w:t>6.2.1</w:t>
      </w:r>
      <w:r w:rsidRPr="008762D1">
        <w:rPr>
          <w:rFonts w:ascii="ITC Avant Garde" w:hAnsi="ITC Avant Garde"/>
          <w:b/>
          <w:color w:val="000000" w:themeColor="text1"/>
        </w:rPr>
        <w:tab/>
      </w:r>
      <w:r w:rsidRPr="008762D1">
        <w:rPr>
          <w:rFonts w:ascii="ITC Avant Garde" w:hAnsi="ITC Avant Garde"/>
          <w:b/>
          <w:color w:val="000000" w:themeColor="text1"/>
          <w:u w:val="single"/>
        </w:rPr>
        <w:t>Gastos de Instalación</w:t>
      </w:r>
      <w:r w:rsidRPr="008762D1">
        <w:rPr>
          <w:rFonts w:ascii="ITC Avant Garde" w:hAnsi="ITC Avant Garde"/>
          <w:color w:val="000000" w:themeColor="text1"/>
        </w:rPr>
        <w:t>: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pesos </w:t>
      </w:r>
      <w:r w:rsidRPr="008762D1">
        <w:rPr>
          <w:rFonts w:ascii="ITC Avant Garde" w:hAnsi="ITC Avant Garde" w:cs="Arial"/>
          <w:color w:val="000000" w:themeColor="text1"/>
        </w:rPr>
        <w:t>M.N.</w:t>
      </w:r>
      <w:r w:rsidRPr="008762D1">
        <w:rPr>
          <w:rFonts w:ascii="ITC Avant Garde" w:hAnsi="ITC Avant Garde"/>
          <w:color w:val="000000" w:themeColor="text1"/>
        </w:rPr>
        <w:t>) desde el 1</w:t>
      </w:r>
      <w:r w:rsidRPr="008762D1">
        <w:rPr>
          <w:rFonts w:ascii="ITC Avant Garde" w:hAnsi="ITC Avant Garde" w:cs="Arial"/>
          <w:color w:val="000000" w:themeColor="text1"/>
        </w:rPr>
        <w:t xml:space="preserve"> de enero </w:t>
      </w:r>
      <w:r w:rsidRPr="008762D1">
        <w:rPr>
          <w:rFonts w:ascii="ITC Avant Garde" w:hAnsi="ITC Avant Garde"/>
          <w:color w:val="000000" w:themeColor="text1"/>
        </w:rPr>
        <w:t>de 2018 y hasta el 31 de diciembre del 2018.</w:t>
      </w:r>
    </w:p>
    <w:p w14:paraId="54822378" w14:textId="77777777" w:rsidR="000F0B9F" w:rsidRPr="008762D1" w:rsidRDefault="00526FE9" w:rsidP="000F0B9F">
      <w:pPr>
        <w:spacing w:before="240"/>
        <w:ind w:left="3534" w:hanging="1410"/>
        <w:jc w:val="both"/>
        <w:rPr>
          <w:rFonts w:ascii="ITC Avant Garde" w:hAnsi="ITC Avant Garde"/>
          <w:color w:val="000000" w:themeColor="text1"/>
        </w:rPr>
      </w:pPr>
      <w:r w:rsidRPr="008762D1">
        <w:rPr>
          <w:rFonts w:ascii="ITC Avant Garde" w:hAnsi="ITC Avant Garde"/>
          <w:b/>
          <w:color w:val="000000" w:themeColor="text1"/>
        </w:rPr>
        <w:t>6.2.2</w:t>
      </w:r>
      <w:r w:rsidRPr="008762D1">
        <w:rPr>
          <w:rFonts w:ascii="ITC Avant Garde" w:hAnsi="ITC Avant Garde"/>
          <w:b/>
          <w:color w:val="000000" w:themeColor="text1"/>
        </w:rPr>
        <w:tab/>
      </w:r>
      <w:r w:rsidRPr="008762D1">
        <w:rPr>
          <w:rFonts w:ascii="ITC Avant Garde" w:hAnsi="ITC Avant Garde"/>
          <w:b/>
          <w:color w:val="000000" w:themeColor="text1"/>
          <w:u w:val="single"/>
        </w:rPr>
        <w:t>Renta Mensual</w:t>
      </w:r>
      <w:r w:rsidRPr="008762D1">
        <w:rPr>
          <w:rFonts w:ascii="ITC Avant Garde" w:hAnsi="ITC Avant Garde"/>
          <w:color w:val="000000" w:themeColor="text1"/>
        </w:rPr>
        <w:t>: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w:t>
      </w:r>
      <w:r w:rsidRPr="008762D1">
        <w:rPr>
          <w:rFonts w:ascii="ITC Avant Garde" w:hAnsi="ITC Avant Garde" w:cs="Arial"/>
          <w:color w:val="000000" w:themeColor="text1"/>
        </w:rPr>
        <w:t>M.N.</w:t>
      </w:r>
      <w:r w:rsidRPr="008762D1">
        <w:rPr>
          <w:rFonts w:ascii="ITC Avant Garde" w:hAnsi="ITC Avant Garde"/>
          <w:color w:val="000000" w:themeColor="text1"/>
        </w:rPr>
        <w:t>) desde el 1</w:t>
      </w:r>
      <w:r w:rsidRPr="008762D1">
        <w:rPr>
          <w:rFonts w:ascii="ITC Avant Garde" w:hAnsi="ITC Avant Garde" w:cs="Arial"/>
          <w:color w:val="000000" w:themeColor="text1"/>
        </w:rPr>
        <w:t xml:space="preserve"> de enero </w:t>
      </w:r>
      <w:r w:rsidRPr="008762D1">
        <w:rPr>
          <w:rFonts w:ascii="ITC Avant Garde" w:hAnsi="ITC Avant Garde"/>
          <w:color w:val="000000" w:themeColor="text1"/>
        </w:rPr>
        <w:t>de 2018 y hasta el 31 de diciembre del 2018.</w:t>
      </w:r>
    </w:p>
    <w:p w14:paraId="1412EE94" w14:textId="77777777" w:rsidR="000F0B9F" w:rsidRPr="008762D1" w:rsidRDefault="00526FE9" w:rsidP="000F0B9F">
      <w:pPr>
        <w:pStyle w:val="Level4"/>
        <w:tabs>
          <w:tab w:val="left" w:pos="-1440"/>
        </w:tabs>
        <w:spacing w:before="240"/>
        <w:ind w:left="1440" w:firstLine="0"/>
        <w:jc w:val="both"/>
        <w:rPr>
          <w:rFonts w:ascii="ITC Avant Garde" w:hAnsi="ITC Avant Garde"/>
          <w:color w:val="000000" w:themeColor="text1"/>
          <w:sz w:val="22"/>
          <w:szCs w:val="22"/>
          <w:lang w:val="es-MX"/>
        </w:rPr>
      </w:pPr>
      <w:r w:rsidRPr="008762D1">
        <w:rPr>
          <w:rFonts w:ascii="ITC Avant Garde" w:hAnsi="ITC Avant Garde"/>
          <w:color w:val="000000" w:themeColor="text1"/>
          <w:sz w:val="22"/>
          <w:szCs w:val="22"/>
          <w:lang w:val="es-MX"/>
        </w:rPr>
        <w:t>Las tarifas mencionadas en el presente numeral 6 se actualizarán mensualmente durante el periodo comprendido entre el 1</w:t>
      </w:r>
      <w:r w:rsidRPr="008762D1">
        <w:rPr>
          <w:rFonts w:ascii="ITC Avant Garde" w:hAnsi="ITC Avant Garde" w:cs="Arial"/>
          <w:color w:val="000000" w:themeColor="text1"/>
          <w:sz w:val="22"/>
          <w:szCs w:val="22"/>
          <w:lang w:val="es-MX"/>
        </w:rPr>
        <w:t xml:space="preserve"> de enero </w:t>
      </w:r>
      <w:r w:rsidRPr="008762D1">
        <w:rPr>
          <w:rFonts w:ascii="ITC Avant Garde" w:hAnsi="ITC Avant Garde"/>
          <w:color w:val="000000" w:themeColor="text1"/>
          <w:sz w:val="22"/>
          <w:szCs w:val="22"/>
          <w:lang w:val="es-MX"/>
        </w:rPr>
        <w:t>de 2018 y el 31 de diciembre de 2018, con base en la metodología de Actualización del numeral 8 descrita en el presente convenio.</w:t>
      </w:r>
    </w:p>
    <w:p w14:paraId="719E23FF" w14:textId="77777777" w:rsidR="000F0B9F" w:rsidRPr="008762D1" w:rsidRDefault="00526FE9" w:rsidP="000F0B9F">
      <w:pPr>
        <w:autoSpaceDE w:val="0"/>
        <w:autoSpaceDN w:val="0"/>
        <w:adjustRightInd w:val="0"/>
        <w:spacing w:before="240"/>
        <w:ind w:left="1418"/>
        <w:jc w:val="both"/>
        <w:rPr>
          <w:rFonts w:ascii="ITC Avant Garde" w:hAnsi="ITC Avant Garde" w:cs="Arial"/>
          <w:color w:val="000000" w:themeColor="text1"/>
          <w:lang w:val="es-ES"/>
        </w:rPr>
      </w:pPr>
      <w:r w:rsidRPr="008762D1">
        <w:rPr>
          <w:rFonts w:ascii="ITC Avant Garde" w:hAnsi="ITC Avant Garde" w:cs="Arial"/>
          <w:color w:val="000000" w:themeColor="text1"/>
        </w:rPr>
        <w:t>Lo anterior con independencia de la posibilidad que tienen los concesionarios de solicitar la intervención del Instituto en caso de existir términos y condiciones no convenidas entre las partes.</w:t>
      </w:r>
    </w:p>
    <w:p w14:paraId="26A15BE4" w14:textId="77777777" w:rsidR="000F0B9F" w:rsidRPr="008762D1" w:rsidRDefault="00526FE9" w:rsidP="000F0B9F">
      <w:pPr>
        <w:spacing w:before="240"/>
        <w:ind w:left="1440" w:hanging="720"/>
        <w:jc w:val="both"/>
        <w:rPr>
          <w:rFonts w:ascii="ITC Avant Garde" w:hAnsi="ITC Avant Garde" w:cs="Arial"/>
          <w:color w:val="000000" w:themeColor="text1"/>
        </w:rPr>
      </w:pPr>
      <w:r w:rsidRPr="008762D1">
        <w:rPr>
          <w:rFonts w:ascii="ITC Avant Garde" w:hAnsi="ITC Avant Garde" w:cs="Arial"/>
          <w:b/>
          <w:color w:val="000000" w:themeColor="text1"/>
        </w:rPr>
        <w:t>7.</w:t>
      </w:r>
      <w:r w:rsidRPr="008762D1">
        <w:rPr>
          <w:rFonts w:ascii="ITC Avant Garde" w:hAnsi="ITC Avant Garde" w:cs="Arial"/>
          <w:b/>
          <w:color w:val="000000" w:themeColor="text1"/>
        </w:rPr>
        <w:tab/>
      </w:r>
      <w:r w:rsidRPr="008762D1">
        <w:rPr>
          <w:rFonts w:ascii="ITC Avant Garde" w:hAnsi="ITC Avant Garde" w:cs="Arial"/>
          <w:b/>
          <w:color w:val="000000" w:themeColor="text1"/>
          <w:u w:val="single"/>
        </w:rPr>
        <w:t xml:space="preserve">Servicios de </w:t>
      </w:r>
      <w:proofErr w:type="spellStart"/>
      <w:r w:rsidRPr="008762D1">
        <w:rPr>
          <w:rFonts w:ascii="ITC Avant Garde" w:hAnsi="ITC Avant Garde" w:cs="Arial"/>
          <w:b/>
          <w:color w:val="000000" w:themeColor="text1"/>
          <w:u w:val="single"/>
        </w:rPr>
        <w:t>Coubicación</w:t>
      </w:r>
      <w:proofErr w:type="spellEnd"/>
      <w:r w:rsidRPr="008762D1">
        <w:rPr>
          <w:rFonts w:ascii="ITC Avant Garde" w:hAnsi="ITC Avant Garde" w:cs="Arial"/>
          <w:color w:val="000000" w:themeColor="text1"/>
        </w:rPr>
        <w:t xml:space="preserve">. La parte que requiera el servicio pagará a la Parte Prestadora, por Servicios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xml:space="preserve"> las siguientes tarifas:</w:t>
      </w:r>
    </w:p>
    <w:p w14:paraId="4A6E3572" w14:textId="77777777" w:rsidR="000F0B9F" w:rsidRPr="008762D1" w:rsidRDefault="00526FE9" w:rsidP="000F0B9F">
      <w:pPr>
        <w:spacing w:before="240"/>
        <w:ind w:left="2160" w:hanging="720"/>
        <w:jc w:val="both"/>
        <w:rPr>
          <w:rFonts w:ascii="ITC Avant Garde" w:hAnsi="ITC Avant Garde" w:cs="Arial"/>
          <w:color w:val="000000" w:themeColor="text1"/>
        </w:rPr>
      </w:pPr>
      <w:r w:rsidRPr="008762D1">
        <w:rPr>
          <w:rFonts w:ascii="ITC Avant Garde" w:hAnsi="ITC Avant Garde" w:cs="Arial"/>
          <w:b/>
          <w:color w:val="000000" w:themeColor="text1"/>
        </w:rPr>
        <w:t>7.1.</w:t>
      </w:r>
      <w:r w:rsidRPr="008762D1">
        <w:rPr>
          <w:rFonts w:ascii="ITC Avant Garde" w:hAnsi="ITC Avant Garde" w:cs="Arial"/>
          <w:b/>
          <w:color w:val="000000" w:themeColor="text1"/>
        </w:rPr>
        <w:tab/>
      </w:r>
      <w:r w:rsidRPr="008762D1">
        <w:rPr>
          <w:rFonts w:ascii="ITC Avant Garde" w:hAnsi="ITC Avant Garde" w:cs="Arial"/>
          <w:b/>
          <w:color w:val="000000" w:themeColor="text1"/>
          <w:u w:val="single"/>
        </w:rPr>
        <w:t>Gastos de Instalación</w:t>
      </w:r>
      <w:r w:rsidRPr="008762D1">
        <w:rPr>
          <w:rFonts w:ascii="ITC Avant Garde" w:hAnsi="ITC Avant Garde" w:cs="Arial"/>
          <w:color w:val="000000" w:themeColor="text1"/>
        </w:rPr>
        <w:t>: $xxx (</w:t>
      </w:r>
      <w:proofErr w:type="spellStart"/>
      <w:r w:rsidRPr="008762D1">
        <w:rPr>
          <w:rFonts w:ascii="ITC Avant Garde" w:hAnsi="ITC Avant Garde" w:cs="Arial"/>
          <w:color w:val="000000" w:themeColor="text1"/>
        </w:rPr>
        <w:t>xxxxx</w:t>
      </w:r>
      <w:proofErr w:type="spellEnd"/>
      <w:r w:rsidRPr="008762D1">
        <w:rPr>
          <w:rFonts w:ascii="ITC Avant Garde" w:hAnsi="ITC Avant Garde" w:cs="Arial"/>
          <w:color w:val="000000" w:themeColor="text1"/>
        </w:rPr>
        <w:t xml:space="preserve"> pesos M.N.), por </w:t>
      </w:r>
      <w:smartTag w:uri="urn:schemas-microsoft-com:office:smarttags" w:element="metricconverter">
        <w:smartTagPr>
          <w:attr w:name="ProductID" w:val="4.00 m2"/>
        </w:smartTagPr>
        <w:r w:rsidRPr="008762D1">
          <w:rPr>
            <w:rFonts w:ascii="ITC Avant Garde" w:hAnsi="ITC Avant Garde" w:cs="Arial"/>
            <w:color w:val="000000" w:themeColor="text1"/>
          </w:rPr>
          <w:t>4.00 m</w:t>
        </w:r>
        <w:r w:rsidRPr="008762D1">
          <w:rPr>
            <w:rFonts w:ascii="ITC Avant Garde" w:hAnsi="ITC Avant Garde" w:cs="Arial"/>
            <w:color w:val="000000" w:themeColor="text1"/>
            <w:vertAlign w:val="superscript"/>
          </w:rPr>
          <w:t>2</w:t>
        </w:r>
      </w:smartTag>
      <w:r w:rsidRPr="008762D1">
        <w:rPr>
          <w:rFonts w:ascii="ITC Avant Garde" w:hAnsi="ITC Avant Garde" w:cs="Arial"/>
          <w:color w:val="000000" w:themeColor="text1"/>
        </w:rPr>
        <w:t xml:space="preserve"> (2m x 2m) de espacio en Sitios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w:t>
      </w:r>
    </w:p>
    <w:p w14:paraId="413846D8" w14:textId="77777777" w:rsidR="000F0B9F" w:rsidRPr="008762D1" w:rsidRDefault="00526FE9" w:rsidP="000F0B9F">
      <w:pPr>
        <w:spacing w:before="240"/>
        <w:ind w:left="2160" w:hanging="720"/>
        <w:jc w:val="both"/>
        <w:rPr>
          <w:rFonts w:ascii="ITC Avant Garde" w:hAnsi="ITC Avant Garde" w:cs="Arial"/>
          <w:color w:val="000000" w:themeColor="text1"/>
        </w:rPr>
      </w:pPr>
      <w:r w:rsidRPr="008762D1">
        <w:rPr>
          <w:rFonts w:ascii="ITC Avant Garde" w:hAnsi="ITC Avant Garde" w:cs="Arial"/>
          <w:b/>
          <w:color w:val="000000" w:themeColor="text1"/>
        </w:rPr>
        <w:t>7.2.</w:t>
      </w:r>
      <w:r w:rsidRPr="008762D1">
        <w:rPr>
          <w:rFonts w:ascii="ITC Avant Garde" w:hAnsi="ITC Avant Garde" w:cs="Arial"/>
          <w:b/>
          <w:color w:val="000000" w:themeColor="text1"/>
        </w:rPr>
        <w:tab/>
      </w:r>
      <w:r w:rsidRPr="008762D1">
        <w:rPr>
          <w:rFonts w:ascii="ITC Avant Garde" w:hAnsi="ITC Avant Garde" w:cs="Arial"/>
          <w:b/>
          <w:color w:val="000000" w:themeColor="text1"/>
          <w:u w:val="single"/>
        </w:rPr>
        <w:t>Renta Mensual por metro cuadrado</w:t>
      </w:r>
      <w:r w:rsidRPr="008762D1">
        <w:rPr>
          <w:rFonts w:ascii="ITC Avant Garde" w:hAnsi="ITC Avant Garde" w:cs="Arial"/>
          <w:color w:val="000000" w:themeColor="text1"/>
        </w:rPr>
        <w:t xml:space="preserve">: Dependerá del nivel de costo de la región económica de que se trata, conforme al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B-1 adjunto al presente, siendo éstas:</w:t>
      </w:r>
    </w:p>
    <w:p w14:paraId="29E436A9" w14:textId="77777777" w:rsidR="000F0B9F" w:rsidRPr="008762D1" w:rsidRDefault="00526FE9" w:rsidP="002C0F86">
      <w:pPr>
        <w:spacing w:before="240"/>
        <w:ind w:left="3534" w:hanging="1410"/>
        <w:jc w:val="both"/>
        <w:rPr>
          <w:rFonts w:ascii="ITC Avant Garde" w:hAnsi="ITC Avant Garde" w:cs="Arial"/>
          <w:b/>
          <w:color w:val="000000" w:themeColor="text1"/>
        </w:rPr>
      </w:pPr>
      <w:r w:rsidRPr="008762D1">
        <w:rPr>
          <w:rFonts w:ascii="ITC Avant Garde" w:hAnsi="ITC Avant Garde" w:cs="Arial"/>
          <w:b/>
          <w:color w:val="000000" w:themeColor="text1"/>
        </w:rPr>
        <w:t>7.2.1</w:t>
      </w:r>
      <w:r w:rsidRPr="008762D1">
        <w:rPr>
          <w:rFonts w:ascii="ITC Avant Garde" w:hAnsi="ITC Avant Garde" w:cs="Arial"/>
          <w:b/>
          <w:color w:val="000000" w:themeColor="text1"/>
        </w:rPr>
        <w:tab/>
        <w:t>Región de costo alto: $xxx (</w:t>
      </w:r>
      <w:proofErr w:type="spellStart"/>
      <w:r w:rsidRPr="008762D1">
        <w:rPr>
          <w:rFonts w:ascii="ITC Avant Garde" w:hAnsi="ITC Avant Garde" w:cs="Arial"/>
          <w:b/>
          <w:color w:val="000000" w:themeColor="text1"/>
        </w:rPr>
        <w:t>xxxxx</w:t>
      </w:r>
      <w:proofErr w:type="spellEnd"/>
      <w:r w:rsidRPr="008762D1">
        <w:rPr>
          <w:rFonts w:ascii="ITC Avant Garde" w:hAnsi="ITC Avant Garde" w:cs="Arial"/>
          <w:b/>
          <w:color w:val="000000" w:themeColor="text1"/>
        </w:rPr>
        <w:t xml:space="preserve"> pesos M.N.).</w:t>
      </w:r>
    </w:p>
    <w:p w14:paraId="475C0BC5" w14:textId="77777777" w:rsidR="000F0B9F" w:rsidRPr="008762D1" w:rsidRDefault="00526FE9" w:rsidP="002C0F86">
      <w:pPr>
        <w:spacing w:before="240"/>
        <w:ind w:left="3534" w:hanging="1410"/>
        <w:jc w:val="both"/>
        <w:rPr>
          <w:rFonts w:ascii="ITC Avant Garde" w:hAnsi="ITC Avant Garde" w:cs="Arial"/>
          <w:b/>
          <w:color w:val="000000" w:themeColor="text1"/>
        </w:rPr>
      </w:pPr>
      <w:r w:rsidRPr="008762D1">
        <w:rPr>
          <w:rFonts w:ascii="ITC Avant Garde" w:hAnsi="ITC Avant Garde" w:cs="Arial"/>
          <w:b/>
          <w:color w:val="000000" w:themeColor="text1"/>
        </w:rPr>
        <w:t>7.2.2</w:t>
      </w:r>
      <w:r w:rsidRPr="008762D1">
        <w:rPr>
          <w:rFonts w:ascii="ITC Avant Garde" w:hAnsi="ITC Avant Garde" w:cs="Arial"/>
          <w:b/>
          <w:color w:val="000000" w:themeColor="text1"/>
        </w:rPr>
        <w:tab/>
        <w:t>Región de costo medio: $</w:t>
      </w:r>
      <w:proofErr w:type="spellStart"/>
      <w:r w:rsidRPr="008762D1">
        <w:rPr>
          <w:rFonts w:ascii="ITC Avant Garde" w:hAnsi="ITC Avant Garde" w:cs="Arial"/>
          <w:b/>
          <w:color w:val="000000" w:themeColor="text1"/>
        </w:rPr>
        <w:t>xxxx</w:t>
      </w:r>
      <w:proofErr w:type="spellEnd"/>
      <w:r w:rsidRPr="008762D1">
        <w:rPr>
          <w:rFonts w:ascii="ITC Avant Garde" w:hAnsi="ITC Avant Garde" w:cs="Arial"/>
          <w:b/>
          <w:color w:val="000000" w:themeColor="text1"/>
        </w:rPr>
        <w:t xml:space="preserve"> (</w:t>
      </w:r>
      <w:proofErr w:type="spellStart"/>
      <w:r w:rsidRPr="008762D1">
        <w:rPr>
          <w:rFonts w:ascii="ITC Avant Garde" w:hAnsi="ITC Avant Garde" w:cs="Arial"/>
          <w:b/>
          <w:color w:val="000000" w:themeColor="text1"/>
        </w:rPr>
        <w:t>xxxxx</w:t>
      </w:r>
      <w:proofErr w:type="spellEnd"/>
      <w:r w:rsidRPr="008762D1">
        <w:rPr>
          <w:rFonts w:ascii="ITC Avant Garde" w:hAnsi="ITC Avant Garde" w:cs="Arial"/>
          <w:b/>
          <w:color w:val="000000" w:themeColor="text1"/>
        </w:rPr>
        <w:t xml:space="preserve"> pesos M.N.).</w:t>
      </w:r>
    </w:p>
    <w:p w14:paraId="25EF4468" w14:textId="77777777" w:rsidR="000F0B9F" w:rsidRPr="008762D1" w:rsidRDefault="00526FE9" w:rsidP="000F0B9F">
      <w:pPr>
        <w:spacing w:before="240"/>
        <w:ind w:left="3534" w:hanging="1410"/>
        <w:jc w:val="both"/>
        <w:rPr>
          <w:rFonts w:ascii="ITC Avant Garde" w:hAnsi="ITC Avant Garde" w:cs="Arial"/>
          <w:color w:val="000000" w:themeColor="text1"/>
        </w:rPr>
      </w:pPr>
      <w:r w:rsidRPr="008762D1">
        <w:rPr>
          <w:rFonts w:ascii="ITC Avant Garde" w:hAnsi="ITC Avant Garde" w:cs="Arial"/>
          <w:b/>
          <w:color w:val="000000" w:themeColor="text1"/>
        </w:rPr>
        <w:t>7.2.3</w:t>
      </w:r>
      <w:r w:rsidRPr="008762D1">
        <w:rPr>
          <w:rFonts w:ascii="ITC Avant Garde" w:hAnsi="ITC Avant Garde" w:cs="Arial"/>
          <w:color w:val="000000" w:themeColor="text1"/>
        </w:rPr>
        <w:tab/>
      </w:r>
      <w:r w:rsidRPr="008762D1">
        <w:rPr>
          <w:rFonts w:ascii="ITC Avant Garde" w:hAnsi="ITC Avant Garde" w:cs="Arial"/>
          <w:b/>
          <w:color w:val="000000" w:themeColor="text1"/>
          <w:u w:val="single"/>
        </w:rPr>
        <w:t>Región de costo bajo</w:t>
      </w:r>
      <w:r w:rsidRPr="008762D1">
        <w:rPr>
          <w:rFonts w:ascii="ITC Avant Garde" w:hAnsi="ITC Avant Garde" w:cs="Arial"/>
          <w:b/>
          <w:color w:val="000000" w:themeColor="text1"/>
        </w:rPr>
        <w:t>:</w:t>
      </w:r>
      <w:r w:rsidRPr="008762D1">
        <w:rPr>
          <w:rFonts w:ascii="ITC Avant Garde" w:hAnsi="ITC Avant Garde" w:cs="Arial"/>
          <w:color w:val="000000" w:themeColor="text1"/>
        </w:rPr>
        <w:t xml:space="preserve"> $xxx (</w:t>
      </w:r>
      <w:proofErr w:type="spellStart"/>
      <w:r w:rsidRPr="008762D1">
        <w:rPr>
          <w:rFonts w:ascii="ITC Avant Garde" w:hAnsi="ITC Avant Garde" w:cs="Arial"/>
          <w:color w:val="000000" w:themeColor="text1"/>
        </w:rPr>
        <w:t>xxxx</w:t>
      </w:r>
      <w:proofErr w:type="spellEnd"/>
      <w:r w:rsidRPr="008762D1">
        <w:rPr>
          <w:rFonts w:ascii="ITC Avant Garde" w:hAnsi="ITC Avant Garde" w:cs="Arial"/>
          <w:color w:val="000000" w:themeColor="text1"/>
        </w:rPr>
        <w:t xml:space="preserve"> pesos M.N.).</w:t>
      </w:r>
    </w:p>
    <w:p w14:paraId="078549FA" w14:textId="1C9547C6" w:rsidR="000F0B9F" w:rsidRPr="008762D1" w:rsidRDefault="00526FE9" w:rsidP="000F0B9F">
      <w:pPr>
        <w:spacing w:before="240"/>
        <w:ind w:left="2160" w:hanging="720"/>
        <w:jc w:val="both"/>
        <w:rPr>
          <w:rFonts w:ascii="ITC Avant Garde" w:hAnsi="ITC Avant Garde" w:cs="Arial"/>
          <w:color w:val="000000" w:themeColor="text1"/>
        </w:rPr>
      </w:pPr>
      <w:r w:rsidRPr="008762D1">
        <w:rPr>
          <w:rFonts w:ascii="ITC Avant Garde" w:hAnsi="ITC Avant Garde" w:cs="Arial"/>
          <w:b/>
          <w:color w:val="000000" w:themeColor="text1"/>
        </w:rPr>
        <w:t>7.3.</w:t>
      </w:r>
      <w:r w:rsidRPr="008762D1">
        <w:rPr>
          <w:rFonts w:ascii="ITC Avant Garde" w:hAnsi="ITC Avant Garde" w:cs="Arial"/>
          <w:b/>
          <w:color w:val="000000" w:themeColor="text1"/>
        </w:rPr>
        <w:tab/>
      </w:r>
      <w:r w:rsidRPr="008762D1">
        <w:rPr>
          <w:rFonts w:ascii="ITC Avant Garde" w:hAnsi="ITC Avant Garde" w:cs="Arial"/>
          <w:b/>
          <w:color w:val="000000" w:themeColor="text1"/>
          <w:u w:val="single"/>
        </w:rPr>
        <w:t>Gastos de Instalación</w:t>
      </w:r>
      <w:r w:rsidRPr="008762D1">
        <w:rPr>
          <w:rFonts w:ascii="ITC Avant Garde" w:hAnsi="ITC Avant Garde" w:cs="Arial"/>
          <w:color w:val="000000" w:themeColor="text1"/>
        </w:rPr>
        <w:t>: $xxx (</w:t>
      </w:r>
      <w:proofErr w:type="spellStart"/>
      <w:r w:rsidRPr="008762D1">
        <w:rPr>
          <w:rFonts w:ascii="ITC Avant Garde" w:hAnsi="ITC Avant Garde" w:cs="Arial"/>
          <w:color w:val="000000" w:themeColor="text1"/>
        </w:rPr>
        <w:t>xxxxx</w:t>
      </w:r>
      <w:proofErr w:type="spellEnd"/>
      <w:r w:rsidRPr="008762D1">
        <w:rPr>
          <w:rFonts w:ascii="ITC Avant Garde" w:hAnsi="ITC Avant Garde" w:cs="Arial"/>
          <w:color w:val="000000" w:themeColor="text1"/>
        </w:rPr>
        <w:t xml:space="preserve"> pesos M.N.), por 9.00 m</w:t>
      </w:r>
      <w:r w:rsidRPr="008762D1">
        <w:rPr>
          <w:rFonts w:ascii="ITC Avant Garde" w:hAnsi="ITC Avant Garde" w:cs="Arial"/>
          <w:color w:val="000000" w:themeColor="text1"/>
          <w:vertAlign w:val="superscript"/>
        </w:rPr>
        <w:t>2</w:t>
      </w:r>
      <w:r w:rsidRPr="008762D1">
        <w:rPr>
          <w:rFonts w:ascii="ITC Avant Garde" w:hAnsi="ITC Avant Garde" w:cs="Arial"/>
          <w:color w:val="000000" w:themeColor="text1"/>
        </w:rPr>
        <w:t xml:space="preserve"> (3m x 3m) de espacio en Sitios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w:t>
      </w:r>
    </w:p>
    <w:p w14:paraId="355D99AB" w14:textId="77777777" w:rsidR="000F0B9F" w:rsidRPr="008762D1" w:rsidRDefault="00526FE9" w:rsidP="000F0B9F">
      <w:pPr>
        <w:spacing w:before="240"/>
        <w:ind w:left="2160" w:hanging="720"/>
        <w:jc w:val="both"/>
        <w:rPr>
          <w:rFonts w:ascii="ITC Avant Garde" w:hAnsi="ITC Avant Garde" w:cs="Arial"/>
          <w:color w:val="000000" w:themeColor="text1"/>
        </w:rPr>
      </w:pPr>
      <w:r w:rsidRPr="008762D1">
        <w:rPr>
          <w:rFonts w:ascii="ITC Avant Garde" w:hAnsi="ITC Avant Garde" w:cs="Arial"/>
          <w:b/>
          <w:color w:val="000000" w:themeColor="text1"/>
        </w:rPr>
        <w:t>7.4.</w:t>
      </w:r>
      <w:r w:rsidRPr="008762D1">
        <w:rPr>
          <w:rFonts w:ascii="ITC Avant Garde" w:hAnsi="ITC Avant Garde" w:cs="Arial"/>
          <w:b/>
          <w:color w:val="000000" w:themeColor="text1"/>
        </w:rPr>
        <w:tab/>
      </w:r>
      <w:r w:rsidRPr="008762D1">
        <w:rPr>
          <w:rFonts w:ascii="ITC Avant Garde" w:hAnsi="ITC Avant Garde" w:cs="Arial"/>
          <w:b/>
          <w:color w:val="000000" w:themeColor="text1"/>
          <w:u w:val="single"/>
        </w:rPr>
        <w:t>Renta Mensual por metro cuadrado</w:t>
      </w:r>
      <w:r w:rsidRPr="008762D1">
        <w:rPr>
          <w:rFonts w:ascii="ITC Avant Garde" w:hAnsi="ITC Avant Garde" w:cs="Arial"/>
          <w:color w:val="000000" w:themeColor="text1"/>
        </w:rPr>
        <w:t xml:space="preserve">: Dependerá del nivel de costo de la región económica de que se trata, conforme al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B-1 adjunto al presente, siendo éstas:</w:t>
      </w:r>
    </w:p>
    <w:p w14:paraId="54B66EFF" w14:textId="77777777" w:rsidR="000F0B9F" w:rsidRPr="008762D1" w:rsidRDefault="00526FE9" w:rsidP="002C0F86">
      <w:pPr>
        <w:spacing w:before="240"/>
        <w:ind w:left="3534" w:hanging="1410"/>
        <w:jc w:val="both"/>
        <w:rPr>
          <w:rFonts w:ascii="ITC Avant Garde" w:hAnsi="ITC Avant Garde" w:cs="Arial"/>
          <w:b/>
          <w:color w:val="000000" w:themeColor="text1"/>
        </w:rPr>
      </w:pPr>
      <w:r w:rsidRPr="008762D1">
        <w:rPr>
          <w:rFonts w:ascii="ITC Avant Garde" w:hAnsi="ITC Avant Garde" w:cs="Arial"/>
          <w:b/>
          <w:color w:val="000000" w:themeColor="text1"/>
        </w:rPr>
        <w:t>7.4.1</w:t>
      </w:r>
      <w:r w:rsidRPr="008762D1">
        <w:rPr>
          <w:rFonts w:ascii="ITC Avant Garde" w:hAnsi="ITC Avant Garde" w:cs="Arial"/>
          <w:b/>
          <w:color w:val="000000" w:themeColor="text1"/>
        </w:rPr>
        <w:tab/>
        <w:t>Región de costo alto: $xxx (</w:t>
      </w:r>
      <w:proofErr w:type="spellStart"/>
      <w:r w:rsidRPr="008762D1">
        <w:rPr>
          <w:rFonts w:ascii="ITC Avant Garde" w:hAnsi="ITC Avant Garde" w:cs="Arial"/>
          <w:b/>
          <w:color w:val="000000" w:themeColor="text1"/>
        </w:rPr>
        <w:t>xxxxx</w:t>
      </w:r>
      <w:proofErr w:type="spellEnd"/>
      <w:r w:rsidRPr="008762D1">
        <w:rPr>
          <w:rFonts w:ascii="ITC Avant Garde" w:hAnsi="ITC Avant Garde" w:cs="Arial"/>
          <w:b/>
          <w:color w:val="000000" w:themeColor="text1"/>
        </w:rPr>
        <w:t xml:space="preserve"> pesos M.N.).</w:t>
      </w:r>
    </w:p>
    <w:p w14:paraId="56FC96CA" w14:textId="77777777" w:rsidR="000F0B9F" w:rsidRPr="008762D1" w:rsidRDefault="00526FE9" w:rsidP="002C0F86">
      <w:pPr>
        <w:spacing w:before="240"/>
        <w:ind w:left="3534" w:hanging="1410"/>
        <w:jc w:val="both"/>
        <w:rPr>
          <w:rFonts w:ascii="ITC Avant Garde" w:hAnsi="ITC Avant Garde" w:cs="Arial"/>
          <w:b/>
          <w:color w:val="000000" w:themeColor="text1"/>
        </w:rPr>
      </w:pPr>
      <w:r w:rsidRPr="008762D1">
        <w:rPr>
          <w:rFonts w:ascii="ITC Avant Garde" w:hAnsi="ITC Avant Garde" w:cs="Arial"/>
          <w:b/>
          <w:color w:val="000000" w:themeColor="text1"/>
        </w:rPr>
        <w:lastRenderedPageBreak/>
        <w:t>7.4.2</w:t>
      </w:r>
      <w:r w:rsidRPr="008762D1">
        <w:rPr>
          <w:rFonts w:ascii="ITC Avant Garde" w:hAnsi="ITC Avant Garde" w:cs="Arial"/>
          <w:b/>
          <w:color w:val="000000" w:themeColor="text1"/>
        </w:rPr>
        <w:tab/>
        <w:t>Región de costo medio: $</w:t>
      </w:r>
      <w:proofErr w:type="spellStart"/>
      <w:r w:rsidRPr="008762D1">
        <w:rPr>
          <w:rFonts w:ascii="ITC Avant Garde" w:hAnsi="ITC Avant Garde" w:cs="Arial"/>
          <w:b/>
          <w:color w:val="000000" w:themeColor="text1"/>
        </w:rPr>
        <w:t>xxxx</w:t>
      </w:r>
      <w:proofErr w:type="spellEnd"/>
      <w:r w:rsidRPr="008762D1">
        <w:rPr>
          <w:rFonts w:ascii="ITC Avant Garde" w:hAnsi="ITC Avant Garde" w:cs="Arial"/>
          <w:b/>
          <w:color w:val="000000" w:themeColor="text1"/>
        </w:rPr>
        <w:t xml:space="preserve"> (</w:t>
      </w:r>
      <w:proofErr w:type="spellStart"/>
      <w:r w:rsidRPr="008762D1">
        <w:rPr>
          <w:rFonts w:ascii="ITC Avant Garde" w:hAnsi="ITC Avant Garde" w:cs="Arial"/>
          <w:b/>
          <w:color w:val="000000" w:themeColor="text1"/>
        </w:rPr>
        <w:t>xxxxx</w:t>
      </w:r>
      <w:proofErr w:type="spellEnd"/>
      <w:r w:rsidRPr="008762D1">
        <w:rPr>
          <w:rFonts w:ascii="ITC Avant Garde" w:hAnsi="ITC Avant Garde" w:cs="Arial"/>
          <w:b/>
          <w:color w:val="000000" w:themeColor="text1"/>
        </w:rPr>
        <w:t xml:space="preserve"> pesos M.N.).</w:t>
      </w:r>
    </w:p>
    <w:p w14:paraId="55F52897" w14:textId="77777777" w:rsidR="000F0B9F" w:rsidRPr="008762D1" w:rsidRDefault="00526FE9" w:rsidP="000F0B9F">
      <w:pPr>
        <w:spacing w:before="240"/>
        <w:ind w:left="3534" w:hanging="1410"/>
        <w:jc w:val="both"/>
        <w:rPr>
          <w:rFonts w:ascii="ITC Avant Garde" w:hAnsi="ITC Avant Garde" w:cs="Arial"/>
          <w:color w:val="000000" w:themeColor="text1"/>
        </w:rPr>
      </w:pPr>
      <w:r w:rsidRPr="008762D1">
        <w:rPr>
          <w:rFonts w:ascii="ITC Avant Garde" w:hAnsi="ITC Avant Garde" w:cs="Arial"/>
          <w:b/>
          <w:color w:val="000000" w:themeColor="text1"/>
        </w:rPr>
        <w:t>7.4.3</w:t>
      </w:r>
      <w:r w:rsidRPr="008762D1">
        <w:rPr>
          <w:rFonts w:ascii="ITC Avant Garde" w:hAnsi="ITC Avant Garde" w:cs="Arial"/>
          <w:color w:val="000000" w:themeColor="text1"/>
        </w:rPr>
        <w:tab/>
      </w:r>
      <w:r w:rsidRPr="008762D1">
        <w:rPr>
          <w:rFonts w:ascii="ITC Avant Garde" w:hAnsi="ITC Avant Garde" w:cs="Arial"/>
          <w:b/>
          <w:color w:val="000000" w:themeColor="text1"/>
          <w:u w:val="single"/>
        </w:rPr>
        <w:t>Región de costo bajo</w:t>
      </w:r>
      <w:r w:rsidRPr="008762D1">
        <w:rPr>
          <w:rFonts w:ascii="ITC Avant Garde" w:hAnsi="ITC Avant Garde" w:cs="Arial"/>
          <w:b/>
          <w:color w:val="000000" w:themeColor="text1"/>
        </w:rPr>
        <w:t>:</w:t>
      </w:r>
      <w:r w:rsidRPr="008762D1">
        <w:rPr>
          <w:rFonts w:ascii="ITC Avant Garde" w:hAnsi="ITC Avant Garde" w:cs="Arial"/>
          <w:color w:val="000000" w:themeColor="text1"/>
        </w:rPr>
        <w:t xml:space="preserve"> $xxx (</w:t>
      </w:r>
      <w:proofErr w:type="spellStart"/>
      <w:r w:rsidRPr="008762D1">
        <w:rPr>
          <w:rFonts w:ascii="ITC Avant Garde" w:hAnsi="ITC Avant Garde" w:cs="Arial"/>
          <w:color w:val="000000" w:themeColor="text1"/>
        </w:rPr>
        <w:t>xxxx</w:t>
      </w:r>
      <w:proofErr w:type="spellEnd"/>
      <w:r w:rsidRPr="008762D1">
        <w:rPr>
          <w:rFonts w:ascii="ITC Avant Garde" w:hAnsi="ITC Avant Garde" w:cs="Arial"/>
          <w:color w:val="000000" w:themeColor="text1"/>
        </w:rPr>
        <w:t xml:space="preserve"> pesos M.N.).</w:t>
      </w:r>
    </w:p>
    <w:p w14:paraId="7E459EB5" w14:textId="67201C93" w:rsidR="000F0B9F" w:rsidRPr="008762D1" w:rsidRDefault="00526FE9" w:rsidP="000F0B9F">
      <w:pPr>
        <w:spacing w:before="240"/>
        <w:ind w:left="2160" w:hanging="720"/>
        <w:jc w:val="both"/>
        <w:rPr>
          <w:rFonts w:ascii="ITC Avant Garde" w:hAnsi="ITC Avant Garde" w:cs="Arial"/>
          <w:color w:val="000000" w:themeColor="text1"/>
        </w:rPr>
      </w:pPr>
      <w:r w:rsidRPr="008762D1">
        <w:rPr>
          <w:rFonts w:ascii="ITC Avant Garde" w:hAnsi="ITC Avant Garde" w:cs="Arial"/>
          <w:b/>
          <w:color w:val="000000" w:themeColor="text1"/>
          <w:u w:val="single"/>
        </w:rPr>
        <w:t>7.5</w:t>
      </w:r>
      <w:r w:rsidRPr="008762D1">
        <w:rPr>
          <w:rFonts w:ascii="ITC Avant Garde" w:hAnsi="ITC Avant Garde" w:cs="Arial"/>
          <w:b/>
          <w:color w:val="000000" w:themeColor="text1"/>
          <w:u w:val="single"/>
        </w:rPr>
        <w:tab/>
        <w:t>Gastos de Instalación</w:t>
      </w:r>
      <w:r w:rsidRPr="008762D1">
        <w:rPr>
          <w:rFonts w:ascii="ITC Avant Garde" w:hAnsi="ITC Avant Garde" w:cs="Arial"/>
          <w:color w:val="000000" w:themeColor="text1"/>
        </w:rPr>
        <w:t>: $xxx (</w:t>
      </w:r>
      <w:proofErr w:type="spellStart"/>
      <w:r w:rsidRPr="008762D1">
        <w:rPr>
          <w:rFonts w:ascii="ITC Avant Garde" w:hAnsi="ITC Avant Garde" w:cs="Arial"/>
          <w:color w:val="000000" w:themeColor="text1"/>
        </w:rPr>
        <w:t>xxxxx</w:t>
      </w:r>
      <w:proofErr w:type="spellEnd"/>
      <w:r w:rsidRPr="008762D1">
        <w:rPr>
          <w:rFonts w:ascii="ITC Avant Garde" w:hAnsi="ITC Avant Garde" w:cs="Arial"/>
          <w:color w:val="000000" w:themeColor="text1"/>
        </w:rPr>
        <w:t xml:space="preserve"> pesos M.N.), por 9.00 m</w:t>
      </w:r>
      <w:r w:rsidRPr="008762D1">
        <w:rPr>
          <w:rFonts w:ascii="ITC Avant Garde" w:hAnsi="ITC Avant Garde" w:cs="Arial"/>
          <w:color w:val="000000" w:themeColor="text1"/>
          <w:vertAlign w:val="superscript"/>
        </w:rPr>
        <w:t>2</w:t>
      </w:r>
      <w:r w:rsidRPr="008762D1">
        <w:rPr>
          <w:rFonts w:ascii="ITC Avant Garde" w:hAnsi="ITC Avant Garde" w:cs="Arial"/>
          <w:color w:val="000000" w:themeColor="text1"/>
        </w:rPr>
        <w:t xml:space="preserve"> (3m x 3m) de espacio en Sitios de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w:t>
      </w:r>
    </w:p>
    <w:p w14:paraId="574C752B" w14:textId="3B149A62" w:rsidR="000F0B9F" w:rsidRPr="008762D1" w:rsidRDefault="00526FE9" w:rsidP="000F0B9F">
      <w:pPr>
        <w:spacing w:before="240"/>
        <w:ind w:left="2160" w:hanging="720"/>
        <w:jc w:val="both"/>
        <w:rPr>
          <w:rFonts w:ascii="ITC Avant Garde" w:hAnsi="ITC Avant Garde" w:cs="Arial"/>
          <w:color w:val="000000" w:themeColor="text1"/>
        </w:rPr>
      </w:pPr>
      <w:r w:rsidRPr="008762D1">
        <w:rPr>
          <w:rFonts w:ascii="ITC Avant Garde" w:hAnsi="ITC Avant Garde" w:cs="Arial"/>
          <w:b/>
          <w:color w:val="000000" w:themeColor="text1"/>
          <w:u w:val="single"/>
        </w:rPr>
        <w:t>7.6</w:t>
      </w:r>
      <w:r w:rsidR="00D666B9" w:rsidRPr="008762D1">
        <w:rPr>
          <w:rFonts w:ascii="ITC Avant Garde" w:hAnsi="ITC Avant Garde" w:cs="Arial"/>
          <w:b/>
          <w:color w:val="000000" w:themeColor="text1"/>
          <w:u w:val="single"/>
        </w:rPr>
        <w:tab/>
      </w:r>
      <w:r w:rsidRPr="008762D1">
        <w:rPr>
          <w:rFonts w:ascii="ITC Avant Garde" w:hAnsi="ITC Avant Garde" w:cs="Arial"/>
          <w:b/>
          <w:color w:val="000000" w:themeColor="text1"/>
          <w:u w:val="single"/>
        </w:rPr>
        <w:t>Renta Mensual por metro cuadrado</w:t>
      </w:r>
      <w:r w:rsidRPr="008762D1">
        <w:rPr>
          <w:rFonts w:ascii="ITC Avant Garde" w:hAnsi="ITC Avant Garde" w:cs="Arial"/>
          <w:color w:val="000000" w:themeColor="text1"/>
        </w:rPr>
        <w:t xml:space="preserve">: Dependerá del nivel de costo de la región económica de que se trata, conforme al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B-1 adjunto al presente, siendo éstas:</w:t>
      </w:r>
    </w:p>
    <w:p w14:paraId="1658404B" w14:textId="77777777" w:rsidR="000F0B9F" w:rsidRPr="008762D1" w:rsidRDefault="00526FE9" w:rsidP="002C0F86">
      <w:pPr>
        <w:spacing w:before="240"/>
        <w:ind w:left="3534" w:hanging="1410"/>
        <w:jc w:val="both"/>
        <w:rPr>
          <w:rFonts w:ascii="ITC Avant Garde" w:hAnsi="ITC Avant Garde" w:cs="Arial"/>
          <w:b/>
          <w:color w:val="000000" w:themeColor="text1"/>
        </w:rPr>
      </w:pPr>
      <w:r w:rsidRPr="008762D1">
        <w:rPr>
          <w:rFonts w:ascii="ITC Avant Garde" w:hAnsi="ITC Avant Garde" w:cs="Arial"/>
          <w:b/>
          <w:color w:val="000000" w:themeColor="text1"/>
        </w:rPr>
        <w:t>7.6.1</w:t>
      </w:r>
      <w:r w:rsidRPr="008762D1">
        <w:rPr>
          <w:rFonts w:ascii="ITC Avant Garde" w:hAnsi="ITC Avant Garde" w:cs="Arial"/>
          <w:b/>
          <w:color w:val="000000" w:themeColor="text1"/>
        </w:rPr>
        <w:tab/>
        <w:t>Región de costo alto: $xxx (</w:t>
      </w:r>
      <w:proofErr w:type="spellStart"/>
      <w:r w:rsidRPr="008762D1">
        <w:rPr>
          <w:rFonts w:ascii="ITC Avant Garde" w:hAnsi="ITC Avant Garde" w:cs="Arial"/>
          <w:b/>
          <w:color w:val="000000" w:themeColor="text1"/>
        </w:rPr>
        <w:t>xxxxx</w:t>
      </w:r>
      <w:proofErr w:type="spellEnd"/>
      <w:r w:rsidRPr="008762D1">
        <w:rPr>
          <w:rFonts w:ascii="ITC Avant Garde" w:hAnsi="ITC Avant Garde" w:cs="Arial"/>
          <w:b/>
          <w:color w:val="000000" w:themeColor="text1"/>
        </w:rPr>
        <w:t xml:space="preserve"> pesos M.N.).</w:t>
      </w:r>
    </w:p>
    <w:p w14:paraId="739D5406" w14:textId="77777777" w:rsidR="000F0B9F" w:rsidRPr="008762D1" w:rsidRDefault="00526FE9" w:rsidP="002C0F86">
      <w:pPr>
        <w:spacing w:before="240"/>
        <w:ind w:left="3534" w:hanging="1410"/>
        <w:jc w:val="both"/>
        <w:rPr>
          <w:rFonts w:ascii="ITC Avant Garde" w:hAnsi="ITC Avant Garde" w:cs="Arial"/>
          <w:b/>
          <w:color w:val="000000" w:themeColor="text1"/>
        </w:rPr>
      </w:pPr>
      <w:r w:rsidRPr="008762D1">
        <w:rPr>
          <w:rFonts w:ascii="ITC Avant Garde" w:hAnsi="ITC Avant Garde" w:cs="Arial"/>
          <w:b/>
          <w:color w:val="000000" w:themeColor="text1"/>
        </w:rPr>
        <w:t>7.6.2</w:t>
      </w:r>
      <w:r w:rsidRPr="008762D1">
        <w:rPr>
          <w:rFonts w:ascii="ITC Avant Garde" w:hAnsi="ITC Avant Garde" w:cs="Arial"/>
          <w:b/>
          <w:color w:val="000000" w:themeColor="text1"/>
        </w:rPr>
        <w:tab/>
        <w:t>Región de costo medio: $</w:t>
      </w:r>
      <w:proofErr w:type="spellStart"/>
      <w:r w:rsidRPr="008762D1">
        <w:rPr>
          <w:rFonts w:ascii="ITC Avant Garde" w:hAnsi="ITC Avant Garde" w:cs="Arial"/>
          <w:b/>
          <w:color w:val="000000" w:themeColor="text1"/>
        </w:rPr>
        <w:t>xxxx</w:t>
      </w:r>
      <w:proofErr w:type="spellEnd"/>
      <w:r w:rsidRPr="008762D1">
        <w:rPr>
          <w:rFonts w:ascii="ITC Avant Garde" w:hAnsi="ITC Avant Garde" w:cs="Arial"/>
          <w:b/>
          <w:color w:val="000000" w:themeColor="text1"/>
        </w:rPr>
        <w:t xml:space="preserve"> (</w:t>
      </w:r>
      <w:proofErr w:type="spellStart"/>
      <w:r w:rsidRPr="008762D1">
        <w:rPr>
          <w:rFonts w:ascii="ITC Avant Garde" w:hAnsi="ITC Avant Garde" w:cs="Arial"/>
          <w:b/>
          <w:color w:val="000000" w:themeColor="text1"/>
        </w:rPr>
        <w:t>xxxxx</w:t>
      </w:r>
      <w:proofErr w:type="spellEnd"/>
      <w:r w:rsidRPr="008762D1">
        <w:rPr>
          <w:rFonts w:ascii="ITC Avant Garde" w:hAnsi="ITC Avant Garde" w:cs="Arial"/>
          <w:b/>
          <w:color w:val="000000" w:themeColor="text1"/>
        </w:rPr>
        <w:t xml:space="preserve"> pesos M.N.).</w:t>
      </w:r>
    </w:p>
    <w:p w14:paraId="0FA9B2A6" w14:textId="77777777" w:rsidR="000F0B9F" w:rsidRPr="008762D1" w:rsidRDefault="00526FE9" w:rsidP="000F0B9F">
      <w:pPr>
        <w:spacing w:before="240"/>
        <w:ind w:left="3534" w:hanging="1410"/>
        <w:jc w:val="both"/>
        <w:rPr>
          <w:rFonts w:ascii="ITC Avant Garde" w:hAnsi="ITC Avant Garde" w:cs="Arial"/>
          <w:color w:val="000000" w:themeColor="text1"/>
        </w:rPr>
      </w:pPr>
      <w:r w:rsidRPr="008762D1">
        <w:rPr>
          <w:rFonts w:ascii="ITC Avant Garde" w:hAnsi="ITC Avant Garde" w:cs="Arial"/>
          <w:b/>
          <w:color w:val="000000" w:themeColor="text1"/>
        </w:rPr>
        <w:t>7.6.3</w:t>
      </w:r>
      <w:r w:rsidRPr="008762D1">
        <w:rPr>
          <w:rFonts w:ascii="ITC Avant Garde" w:hAnsi="ITC Avant Garde" w:cs="Arial"/>
          <w:color w:val="000000" w:themeColor="text1"/>
        </w:rPr>
        <w:tab/>
      </w:r>
      <w:r w:rsidRPr="008762D1">
        <w:rPr>
          <w:rFonts w:ascii="ITC Avant Garde" w:hAnsi="ITC Avant Garde" w:cs="Arial"/>
          <w:b/>
          <w:color w:val="000000" w:themeColor="text1"/>
          <w:u w:val="single"/>
        </w:rPr>
        <w:t>Región de costo bajo</w:t>
      </w:r>
      <w:r w:rsidRPr="008762D1">
        <w:rPr>
          <w:rFonts w:ascii="ITC Avant Garde" w:hAnsi="ITC Avant Garde" w:cs="Arial"/>
          <w:b/>
          <w:color w:val="000000" w:themeColor="text1"/>
        </w:rPr>
        <w:t>:</w:t>
      </w:r>
      <w:r w:rsidRPr="008762D1">
        <w:rPr>
          <w:rFonts w:ascii="ITC Avant Garde" w:hAnsi="ITC Avant Garde" w:cs="Arial"/>
          <w:color w:val="000000" w:themeColor="text1"/>
        </w:rPr>
        <w:t xml:space="preserve"> $xxx (</w:t>
      </w:r>
      <w:proofErr w:type="spellStart"/>
      <w:r w:rsidRPr="008762D1">
        <w:rPr>
          <w:rFonts w:ascii="ITC Avant Garde" w:hAnsi="ITC Avant Garde" w:cs="Arial"/>
          <w:color w:val="000000" w:themeColor="text1"/>
        </w:rPr>
        <w:t>xxxx</w:t>
      </w:r>
      <w:proofErr w:type="spellEnd"/>
      <w:r w:rsidRPr="008762D1">
        <w:rPr>
          <w:rFonts w:ascii="ITC Avant Garde" w:hAnsi="ITC Avant Garde" w:cs="Arial"/>
          <w:color w:val="000000" w:themeColor="text1"/>
        </w:rPr>
        <w:t xml:space="preserve"> pesos M.N.).</w:t>
      </w:r>
    </w:p>
    <w:p w14:paraId="1A6579F8" w14:textId="392305FE" w:rsidR="000F0B9F" w:rsidRPr="008762D1" w:rsidRDefault="00526FE9" w:rsidP="000F0B9F">
      <w:pPr>
        <w:spacing w:before="240"/>
        <w:ind w:left="2160" w:hanging="720"/>
        <w:jc w:val="both"/>
        <w:rPr>
          <w:rFonts w:ascii="ITC Avant Garde" w:hAnsi="ITC Avant Garde" w:cs="Arial"/>
          <w:b/>
          <w:color w:val="000000" w:themeColor="text1"/>
        </w:rPr>
      </w:pPr>
      <w:r w:rsidRPr="008762D1">
        <w:rPr>
          <w:rFonts w:ascii="ITC Avant Garde" w:hAnsi="ITC Avant Garde" w:cs="Arial"/>
          <w:b/>
          <w:color w:val="000000" w:themeColor="text1"/>
        </w:rPr>
        <w:t>7.7</w:t>
      </w:r>
      <w:r w:rsidRPr="008762D1">
        <w:rPr>
          <w:rFonts w:ascii="ITC Avant Garde" w:hAnsi="ITC Avant Garde" w:cs="Arial"/>
          <w:b/>
          <w:color w:val="000000" w:themeColor="text1"/>
        </w:rPr>
        <w:tab/>
        <w:t xml:space="preserve">Por el servicio de enlace de transmisión de interconexión entre </w:t>
      </w:r>
      <w:proofErr w:type="spellStart"/>
      <w:r w:rsidRPr="008762D1">
        <w:rPr>
          <w:rFonts w:ascii="ITC Avant Garde" w:hAnsi="ITC Avant Garde" w:cs="Arial"/>
          <w:b/>
          <w:color w:val="000000" w:themeColor="text1"/>
        </w:rPr>
        <w:t>coubicaciones</w:t>
      </w:r>
      <w:proofErr w:type="spellEnd"/>
      <w:r w:rsidRPr="008762D1">
        <w:rPr>
          <w:rFonts w:ascii="ITC Avant Garde" w:hAnsi="ITC Avant Garde" w:cs="Arial"/>
          <w:b/>
          <w:color w:val="000000" w:themeColor="text1"/>
        </w:rPr>
        <w:t xml:space="preserve"> gestionado, se tienen las siguientes tarifas:</w:t>
      </w:r>
    </w:p>
    <w:p w14:paraId="51FD0F72" w14:textId="77777777" w:rsidR="000F0B9F" w:rsidRPr="008762D1" w:rsidRDefault="00526FE9" w:rsidP="000F0B9F">
      <w:pPr>
        <w:spacing w:before="240"/>
        <w:ind w:left="2123"/>
        <w:jc w:val="both"/>
        <w:rPr>
          <w:rFonts w:ascii="ITC Avant Garde" w:hAnsi="ITC Avant Garde" w:cs="Arial"/>
          <w:color w:val="000000" w:themeColor="text1"/>
        </w:rPr>
      </w:pPr>
      <w:r w:rsidRPr="008762D1">
        <w:rPr>
          <w:rFonts w:ascii="ITC Avant Garde" w:hAnsi="ITC Avant Garde" w:cs="Arial"/>
          <w:color w:val="000000" w:themeColor="text1"/>
        </w:rPr>
        <w:t>Por costos de instalación de una sola vez y dependiendo de la velocidad del enlace contratado:</w:t>
      </w:r>
    </w:p>
    <w:p w14:paraId="3233CE26" w14:textId="4204ECCB" w:rsidR="00526FE9" w:rsidRPr="008762D1" w:rsidRDefault="00526FE9" w:rsidP="002C0F86">
      <w:pPr>
        <w:pStyle w:val="Prrafodelista"/>
        <w:numPr>
          <w:ilvl w:val="0"/>
          <w:numId w:val="102"/>
        </w:numPr>
        <w:rPr>
          <w:rFonts w:ascii="ITC Avant Garde" w:hAnsi="ITC Avant Garde"/>
          <w:color w:val="000000" w:themeColor="text1"/>
        </w:rPr>
      </w:pPr>
      <w:r w:rsidRPr="008762D1">
        <w:rPr>
          <w:rFonts w:ascii="ITC Avant Garde" w:hAnsi="ITC Avant Garde"/>
          <w:color w:val="000000" w:themeColor="text1"/>
        </w:rPr>
        <w:t xml:space="preserve">Por cada </w:t>
      </w:r>
      <w:proofErr w:type="spellStart"/>
      <w:r w:rsidRPr="008762D1">
        <w:rPr>
          <w:rFonts w:ascii="ITC Avant Garde" w:hAnsi="ITC Avant Garde"/>
          <w:color w:val="000000" w:themeColor="text1"/>
        </w:rPr>
        <w:t>coubicacion</w:t>
      </w:r>
      <w:proofErr w:type="spellEnd"/>
      <w:r w:rsidRPr="008762D1">
        <w:rPr>
          <w:rFonts w:ascii="ITC Avant Garde" w:hAnsi="ITC Avant Garde"/>
          <w:color w:val="000000" w:themeColor="text1"/>
        </w:rPr>
        <w:t xml:space="preserve"> y tratándose de un enlace de 1 </w:t>
      </w:r>
      <w:proofErr w:type="spellStart"/>
      <w:r w:rsidRPr="008762D1">
        <w:rPr>
          <w:rFonts w:ascii="ITC Avant Garde" w:hAnsi="ITC Avant Garde"/>
          <w:color w:val="000000" w:themeColor="text1"/>
        </w:rPr>
        <w:t>Gbps</w:t>
      </w:r>
      <w:proofErr w:type="spellEnd"/>
      <w:r w:rsidRPr="008762D1">
        <w:rPr>
          <w:rFonts w:ascii="ITC Avant Garde" w:hAnsi="ITC Avant Garde"/>
          <w:color w:val="000000" w:themeColor="text1"/>
        </w:rPr>
        <w:t>: $xxx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M.N.).</w:t>
      </w:r>
    </w:p>
    <w:p w14:paraId="08785CDA" w14:textId="77777777" w:rsidR="00526FE9" w:rsidRPr="008762D1" w:rsidRDefault="00526FE9" w:rsidP="002C0F86">
      <w:pPr>
        <w:pStyle w:val="Prrafodelista"/>
        <w:numPr>
          <w:ilvl w:val="0"/>
          <w:numId w:val="102"/>
        </w:numPr>
        <w:rPr>
          <w:rFonts w:ascii="ITC Avant Garde" w:hAnsi="ITC Avant Garde"/>
          <w:color w:val="000000" w:themeColor="text1"/>
        </w:rPr>
      </w:pPr>
      <w:r w:rsidRPr="008762D1">
        <w:rPr>
          <w:rFonts w:ascii="ITC Avant Garde" w:hAnsi="ITC Avant Garde"/>
          <w:color w:val="000000" w:themeColor="text1"/>
        </w:rPr>
        <w:t>Despliegue de fibra por metro lineal: $xxx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M.N.)</w:t>
      </w:r>
    </w:p>
    <w:p w14:paraId="4D730F6B" w14:textId="77777777" w:rsidR="000F0B9F" w:rsidRPr="008762D1" w:rsidRDefault="00526FE9" w:rsidP="002C0F86">
      <w:pPr>
        <w:pStyle w:val="Prrafodelista"/>
        <w:numPr>
          <w:ilvl w:val="0"/>
          <w:numId w:val="102"/>
        </w:numPr>
        <w:rPr>
          <w:rFonts w:ascii="ITC Avant Garde" w:hAnsi="ITC Avant Garde"/>
          <w:color w:val="000000" w:themeColor="text1"/>
        </w:rPr>
      </w:pPr>
      <w:r w:rsidRPr="008762D1">
        <w:rPr>
          <w:rFonts w:ascii="ITC Avant Garde" w:hAnsi="ITC Avant Garde"/>
          <w:color w:val="000000" w:themeColor="text1"/>
        </w:rPr>
        <w:t>Construcción de escalerilla por metro lineal: $xxx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M.N.)</w:t>
      </w:r>
    </w:p>
    <w:p w14:paraId="3387572A" w14:textId="77777777" w:rsidR="000F0B9F" w:rsidRPr="008762D1" w:rsidRDefault="00526FE9" w:rsidP="000F0B9F">
      <w:pPr>
        <w:spacing w:before="240"/>
        <w:ind w:left="1417" w:firstLine="707"/>
        <w:jc w:val="both"/>
        <w:rPr>
          <w:rFonts w:ascii="ITC Avant Garde" w:hAnsi="ITC Avant Garde" w:cs="Arial"/>
          <w:color w:val="000000" w:themeColor="text1"/>
        </w:rPr>
      </w:pPr>
      <w:r w:rsidRPr="008762D1">
        <w:rPr>
          <w:rFonts w:ascii="ITC Avant Garde" w:hAnsi="ITC Avant Garde" w:cs="Arial"/>
          <w:color w:val="000000" w:themeColor="text1"/>
        </w:rPr>
        <w:t>Por gastos de mantenimiento mensuales:</w:t>
      </w:r>
    </w:p>
    <w:p w14:paraId="4618CCD2" w14:textId="2892BEE9" w:rsidR="00526FE9" w:rsidRPr="008762D1" w:rsidRDefault="00526FE9" w:rsidP="002C0F86">
      <w:pPr>
        <w:pStyle w:val="Prrafodelista"/>
        <w:numPr>
          <w:ilvl w:val="0"/>
          <w:numId w:val="103"/>
        </w:numPr>
        <w:rPr>
          <w:rFonts w:ascii="ITC Avant Garde" w:hAnsi="ITC Avant Garde"/>
          <w:color w:val="000000" w:themeColor="text1"/>
        </w:rPr>
      </w:pPr>
      <w:r w:rsidRPr="008762D1">
        <w:rPr>
          <w:rFonts w:ascii="ITC Avant Garde" w:hAnsi="ITC Avant Garde"/>
          <w:color w:val="000000" w:themeColor="text1"/>
        </w:rPr>
        <w:t xml:space="preserve">Por cada </w:t>
      </w:r>
      <w:proofErr w:type="spellStart"/>
      <w:r w:rsidRPr="008762D1">
        <w:rPr>
          <w:rFonts w:ascii="ITC Avant Garde" w:hAnsi="ITC Avant Garde"/>
          <w:color w:val="000000" w:themeColor="text1"/>
        </w:rPr>
        <w:t>coubicacion</w:t>
      </w:r>
      <w:proofErr w:type="spellEnd"/>
      <w:r w:rsidRPr="008762D1">
        <w:rPr>
          <w:rFonts w:ascii="ITC Avant Garde" w:hAnsi="ITC Avant Garde"/>
          <w:color w:val="000000" w:themeColor="text1"/>
        </w:rPr>
        <w:t xml:space="preserve"> y tratándose de un enlace de 1 </w:t>
      </w:r>
      <w:proofErr w:type="spellStart"/>
      <w:r w:rsidRPr="008762D1">
        <w:rPr>
          <w:rFonts w:ascii="ITC Avant Garde" w:hAnsi="ITC Avant Garde"/>
          <w:color w:val="000000" w:themeColor="text1"/>
        </w:rPr>
        <w:t>Gbps</w:t>
      </w:r>
      <w:proofErr w:type="spellEnd"/>
      <w:r w:rsidRPr="008762D1">
        <w:rPr>
          <w:rFonts w:ascii="ITC Avant Garde" w:hAnsi="ITC Avant Garde"/>
          <w:color w:val="000000" w:themeColor="text1"/>
        </w:rPr>
        <w:t>: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olor w:val="000000" w:themeColor="text1"/>
        </w:rPr>
        <w:t>pesos M.N.).</w:t>
      </w:r>
    </w:p>
    <w:p w14:paraId="12578CE1" w14:textId="77777777" w:rsidR="000F0B9F" w:rsidRPr="008762D1" w:rsidRDefault="00526FE9" w:rsidP="002C0F86">
      <w:pPr>
        <w:pStyle w:val="Prrafodelista"/>
        <w:numPr>
          <w:ilvl w:val="0"/>
          <w:numId w:val="103"/>
        </w:numPr>
        <w:rPr>
          <w:rFonts w:ascii="ITC Avant Garde" w:hAnsi="ITC Avant Garde"/>
          <w:color w:val="000000" w:themeColor="text1"/>
        </w:rPr>
      </w:pPr>
      <w:r w:rsidRPr="008762D1">
        <w:rPr>
          <w:rFonts w:ascii="ITC Avant Garde" w:hAnsi="ITC Avant Garde"/>
          <w:color w:val="000000" w:themeColor="text1"/>
        </w:rPr>
        <w:t>Escalerilla y fibra por metro lineal: $xxx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M.N.)</w:t>
      </w:r>
    </w:p>
    <w:p w14:paraId="5A93EA2C" w14:textId="77777777" w:rsidR="000F0B9F" w:rsidRPr="008762D1" w:rsidRDefault="00526FE9" w:rsidP="000F0B9F">
      <w:pPr>
        <w:spacing w:before="240"/>
        <w:ind w:left="1418" w:firstLine="11"/>
        <w:jc w:val="both"/>
        <w:rPr>
          <w:rFonts w:ascii="ITC Avant Garde" w:hAnsi="ITC Avant Garde" w:cs="Arial"/>
          <w:color w:val="000000" w:themeColor="text1"/>
        </w:rPr>
      </w:pPr>
      <w:r w:rsidRPr="008762D1">
        <w:rPr>
          <w:rFonts w:ascii="ITC Avant Garde" w:hAnsi="ITC Avant Garde" w:cs="Arial"/>
          <w:color w:val="000000" w:themeColor="text1"/>
        </w:rPr>
        <w:t>Las tarifas anteriores estarán vigentes del 1 de enero de 2018 al 31 de diciembre de 2018.</w:t>
      </w:r>
    </w:p>
    <w:p w14:paraId="3B34FF58" w14:textId="77777777" w:rsidR="000F0B9F" w:rsidRPr="008762D1" w:rsidRDefault="00526FE9" w:rsidP="000F0B9F">
      <w:pPr>
        <w:spacing w:before="240"/>
        <w:ind w:left="2160" w:hanging="720"/>
        <w:jc w:val="both"/>
        <w:rPr>
          <w:rFonts w:ascii="ITC Avant Garde" w:hAnsi="ITC Avant Garde" w:cs="Arial"/>
          <w:b/>
          <w:color w:val="000000" w:themeColor="text1"/>
        </w:rPr>
      </w:pPr>
      <w:r w:rsidRPr="008762D1">
        <w:rPr>
          <w:rFonts w:ascii="ITC Avant Garde" w:hAnsi="ITC Avant Garde" w:cs="Arial"/>
          <w:b/>
          <w:color w:val="000000" w:themeColor="text1"/>
        </w:rPr>
        <w:t>7.8</w:t>
      </w:r>
      <w:r w:rsidRPr="008762D1">
        <w:rPr>
          <w:rFonts w:ascii="ITC Avant Garde" w:hAnsi="ITC Avant Garde" w:cs="Arial"/>
          <w:b/>
          <w:color w:val="000000" w:themeColor="text1"/>
        </w:rPr>
        <w:tab/>
        <w:t xml:space="preserve">Por el servicio de enlace de transmisión de interconexión entre </w:t>
      </w:r>
      <w:proofErr w:type="spellStart"/>
      <w:r w:rsidRPr="008762D1">
        <w:rPr>
          <w:rFonts w:ascii="ITC Avant Garde" w:hAnsi="ITC Avant Garde" w:cs="Arial"/>
          <w:b/>
          <w:color w:val="000000" w:themeColor="text1"/>
        </w:rPr>
        <w:t>coubicaciones</w:t>
      </w:r>
      <w:proofErr w:type="spellEnd"/>
      <w:r w:rsidRPr="008762D1">
        <w:rPr>
          <w:rFonts w:ascii="ITC Avant Garde" w:hAnsi="ITC Avant Garde" w:cs="Arial"/>
          <w:b/>
          <w:color w:val="000000" w:themeColor="text1"/>
        </w:rPr>
        <w:t xml:space="preserve"> no gestionado, se tienen las siguientes tarifas:</w:t>
      </w:r>
    </w:p>
    <w:p w14:paraId="2CD0EA27" w14:textId="77777777" w:rsidR="000F0B9F" w:rsidRPr="008762D1" w:rsidRDefault="00526FE9" w:rsidP="000F0B9F">
      <w:pPr>
        <w:spacing w:before="240"/>
        <w:ind w:left="1417" w:firstLine="707"/>
        <w:jc w:val="both"/>
        <w:rPr>
          <w:rFonts w:ascii="ITC Avant Garde" w:hAnsi="ITC Avant Garde" w:cs="Arial"/>
          <w:color w:val="000000" w:themeColor="text1"/>
        </w:rPr>
      </w:pPr>
      <w:r w:rsidRPr="008762D1">
        <w:rPr>
          <w:rFonts w:ascii="ITC Avant Garde" w:hAnsi="ITC Avant Garde" w:cs="Arial"/>
          <w:color w:val="000000" w:themeColor="text1"/>
        </w:rPr>
        <w:t>Por costos de instalación de una sola vez:</w:t>
      </w:r>
    </w:p>
    <w:p w14:paraId="65FF6498" w14:textId="7B349F51" w:rsidR="00526FE9" w:rsidRPr="008762D1" w:rsidRDefault="00526FE9" w:rsidP="002C0F86">
      <w:pPr>
        <w:pStyle w:val="Prrafodelista"/>
        <w:numPr>
          <w:ilvl w:val="0"/>
          <w:numId w:val="104"/>
        </w:numPr>
        <w:rPr>
          <w:rFonts w:ascii="ITC Avant Garde" w:hAnsi="ITC Avant Garde"/>
          <w:color w:val="000000" w:themeColor="text1"/>
        </w:rPr>
      </w:pPr>
      <w:r w:rsidRPr="008762D1">
        <w:rPr>
          <w:rFonts w:ascii="ITC Avant Garde" w:hAnsi="ITC Avant Garde"/>
          <w:color w:val="000000" w:themeColor="text1"/>
        </w:rPr>
        <w:lastRenderedPageBreak/>
        <w:t>Despliegue de fibra por metro lineal: $xxx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M.N.)</w:t>
      </w:r>
    </w:p>
    <w:p w14:paraId="3630AEE3" w14:textId="77777777" w:rsidR="000F0B9F" w:rsidRPr="008762D1" w:rsidRDefault="00526FE9" w:rsidP="002C0F86">
      <w:pPr>
        <w:pStyle w:val="Prrafodelista"/>
        <w:numPr>
          <w:ilvl w:val="0"/>
          <w:numId w:val="104"/>
        </w:numPr>
        <w:rPr>
          <w:rFonts w:ascii="ITC Avant Garde" w:hAnsi="ITC Avant Garde"/>
          <w:color w:val="000000" w:themeColor="text1"/>
        </w:rPr>
      </w:pPr>
      <w:r w:rsidRPr="008762D1">
        <w:rPr>
          <w:rFonts w:ascii="ITC Avant Garde" w:hAnsi="ITC Avant Garde"/>
          <w:color w:val="000000" w:themeColor="text1"/>
        </w:rPr>
        <w:t>Construcción de escalerilla por metro lineal: $xxx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M.N.)</w:t>
      </w:r>
    </w:p>
    <w:p w14:paraId="3E6B89E3" w14:textId="77777777" w:rsidR="000F0B9F" w:rsidRPr="008762D1" w:rsidRDefault="00526FE9" w:rsidP="000F0B9F">
      <w:pPr>
        <w:spacing w:before="240"/>
        <w:ind w:left="1417" w:firstLine="707"/>
        <w:jc w:val="both"/>
        <w:rPr>
          <w:rFonts w:ascii="ITC Avant Garde" w:hAnsi="ITC Avant Garde" w:cs="Arial"/>
          <w:color w:val="000000" w:themeColor="text1"/>
        </w:rPr>
      </w:pPr>
      <w:r w:rsidRPr="008762D1">
        <w:rPr>
          <w:rFonts w:ascii="ITC Avant Garde" w:hAnsi="ITC Avant Garde" w:cs="Arial"/>
          <w:color w:val="000000" w:themeColor="text1"/>
        </w:rPr>
        <w:t>Por gastos de mantenimiento mensuales:</w:t>
      </w:r>
    </w:p>
    <w:p w14:paraId="0EDD2B0B" w14:textId="77777777" w:rsidR="000F0B9F" w:rsidRPr="008762D1" w:rsidRDefault="00526FE9" w:rsidP="002C0F86">
      <w:pPr>
        <w:pStyle w:val="Prrafodelista"/>
        <w:numPr>
          <w:ilvl w:val="0"/>
          <w:numId w:val="105"/>
        </w:numPr>
        <w:rPr>
          <w:rFonts w:ascii="ITC Avant Garde" w:hAnsi="ITC Avant Garde"/>
          <w:color w:val="000000" w:themeColor="text1"/>
        </w:rPr>
      </w:pPr>
      <w:r w:rsidRPr="008762D1">
        <w:rPr>
          <w:rFonts w:ascii="ITC Avant Garde" w:hAnsi="ITC Avant Garde"/>
          <w:color w:val="000000" w:themeColor="text1"/>
        </w:rPr>
        <w:t>Escalerilla y fibra por metro lineal: $xxx (</w:t>
      </w:r>
      <w:proofErr w:type="spellStart"/>
      <w:r w:rsidRPr="008762D1">
        <w:rPr>
          <w:rFonts w:ascii="ITC Avant Garde" w:hAnsi="ITC Avant Garde"/>
          <w:color w:val="000000" w:themeColor="text1"/>
        </w:rPr>
        <w:t>xxxxx</w:t>
      </w:r>
      <w:proofErr w:type="spellEnd"/>
      <w:r w:rsidRPr="008762D1">
        <w:rPr>
          <w:rFonts w:ascii="ITC Avant Garde" w:hAnsi="ITC Avant Garde"/>
          <w:color w:val="000000" w:themeColor="text1"/>
        </w:rPr>
        <w:t xml:space="preserve"> pesos M.N.)</w:t>
      </w:r>
    </w:p>
    <w:p w14:paraId="1C2A3206" w14:textId="77777777" w:rsidR="000F0B9F" w:rsidRPr="008762D1" w:rsidRDefault="00526FE9" w:rsidP="000F0B9F">
      <w:pPr>
        <w:spacing w:before="240"/>
        <w:ind w:left="1418" w:firstLine="11"/>
        <w:jc w:val="both"/>
        <w:rPr>
          <w:rFonts w:ascii="ITC Avant Garde" w:hAnsi="ITC Avant Garde" w:cs="Arial"/>
          <w:color w:val="000000" w:themeColor="text1"/>
        </w:rPr>
      </w:pPr>
      <w:r w:rsidRPr="008762D1">
        <w:rPr>
          <w:rFonts w:ascii="ITC Avant Garde" w:hAnsi="ITC Avant Garde" w:cs="Arial"/>
          <w:color w:val="000000" w:themeColor="text1"/>
        </w:rPr>
        <w:t>Las tarifas anteriores estarán vigentes del 1 de enero de 2018 al 31 de diciembre de 2018</w:t>
      </w:r>
    </w:p>
    <w:p w14:paraId="09F9A61D" w14:textId="046233B0" w:rsidR="000F0B9F" w:rsidRPr="008762D1" w:rsidRDefault="00526FE9" w:rsidP="000F0B9F">
      <w:pPr>
        <w:spacing w:before="240"/>
        <w:ind w:left="1418" w:firstLine="22"/>
        <w:jc w:val="both"/>
        <w:rPr>
          <w:rFonts w:ascii="ITC Avant Garde" w:hAnsi="ITC Avant Garde" w:cs="Arial"/>
          <w:b/>
          <w:color w:val="000000" w:themeColor="text1"/>
        </w:rPr>
      </w:pPr>
      <w:r w:rsidRPr="008762D1">
        <w:rPr>
          <w:rFonts w:ascii="ITC Avant Garde" w:hAnsi="ITC Avant Garde" w:cs="Arial"/>
          <w:b/>
          <w:color w:val="000000" w:themeColor="text1"/>
        </w:rPr>
        <w:t>7.9</w:t>
      </w:r>
      <w:r w:rsidRPr="008762D1">
        <w:rPr>
          <w:rFonts w:ascii="ITC Avant Garde" w:hAnsi="ITC Avant Garde" w:cs="Arial"/>
          <w:b/>
          <w:color w:val="000000" w:themeColor="text1"/>
        </w:rPr>
        <w:tab/>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s="Arial"/>
          <w:color w:val="000000" w:themeColor="text1"/>
        </w:rPr>
        <w:t xml:space="preserve">podrá elegir la utilización de enlaces de transmisión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gestionados o enlaces de transmisión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no gestionados, mismos que deberán ser ofrecidos por Telmex, en términos del Convenio marco de Interconexión y aplicando las tarifas establecidas en los numerales 7.3 y 7.4.</w:t>
      </w:r>
    </w:p>
    <w:p w14:paraId="7938987F" w14:textId="77777777" w:rsidR="000F0B9F" w:rsidRPr="008762D1" w:rsidRDefault="00526FE9" w:rsidP="000F0B9F">
      <w:pPr>
        <w:spacing w:before="240"/>
        <w:ind w:left="1418" w:firstLine="22"/>
        <w:jc w:val="both"/>
        <w:rPr>
          <w:rFonts w:ascii="ITC Avant Garde" w:hAnsi="ITC Avant Garde" w:cs="Arial"/>
          <w:b/>
          <w:color w:val="000000" w:themeColor="text1"/>
        </w:rPr>
      </w:pPr>
      <w:r w:rsidRPr="008762D1">
        <w:rPr>
          <w:rFonts w:ascii="ITC Avant Garde" w:hAnsi="ITC Avant Garde" w:cs="Arial"/>
          <w:color w:val="000000" w:themeColor="text1"/>
        </w:rPr>
        <w:t xml:space="preserve">La prestación de los servicios de enlaces de transmisión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gestionados o enlaces de transmisión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no gestionados, se realizará de conformidad con lo establecido en el Convenio Marco de Interconexión y Anexos vigentes firmados entre las partes.</w:t>
      </w:r>
    </w:p>
    <w:p w14:paraId="13B9A52F" w14:textId="77777777" w:rsidR="000F0B9F" w:rsidRPr="008762D1" w:rsidRDefault="00526FE9" w:rsidP="000F0B9F">
      <w:pPr>
        <w:spacing w:before="240"/>
        <w:ind w:left="1418"/>
        <w:jc w:val="both"/>
        <w:rPr>
          <w:rFonts w:ascii="ITC Avant Garde" w:hAnsi="ITC Avant Garde" w:cs="Arial"/>
          <w:color w:val="000000" w:themeColor="text1"/>
        </w:rPr>
      </w:pPr>
      <w:r w:rsidRPr="008762D1">
        <w:rPr>
          <w:rFonts w:ascii="ITC Avant Garde" w:hAnsi="ITC Avant Garde" w:cs="Arial"/>
          <w:color w:val="000000" w:themeColor="text1"/>
        </w:rPr>
        <w:t>Las cantidades descritas en las tarifas registradas en el presente Anexo, relativas a los Servicios No Conmutados objeto de la Interconexión Local, son las aplicables al mes de enero de 1999 por lo que están expresadas en unidades monetarias de valor constante del mes de noviembre de 1998.</w:t>
      </w:r>
    </w:p>
    <w:p w14:paraId="08010FC9" w14:textId="77777777" w:rsidR="000F0B9F" w:rsidRPr="008762D1" w:rsidRDefault="00526FE9" w:rsidP="000F0B9F">
      <w:pPr>
        <w:pStyle w:val="Level4"/>
        <w:tabs>
          <w:tab w:val="left" w:pos="-1440"/>
        </w:tabs>
        <w:spacing w:before="240"/>
        <w:ind w:left="1440" w:firstLine="0"/>
        <w:jc w:val="both"/>
        <w:rPr>
          <w:rFonts w:ascii="ITC Avant Garde" w:hAnsi="ITC Avant Garde"/>
          <w:color w:val="000000" w:themeColor="text1"/>
          <w:sz w:val="22"/>
          <w:szCs w:val="22"/>
          <w:lang w:val="es-MX"/>
        </w:rPr>
      </w:pPr>
      <w:r w:rsidRPr="008762D1">
        <w:rPr>
          <w:rFonts w:ascii="ITC Avant Garde" w:hAnsi="ITC Avant Garde"/>
          <w:color w:val="000000" w:themeColor="text1"/>
          <w:sz w:val="22"/>
          <w:szCs w:val="22"/>
          <w:lang w:val="es-MX"/>
        </w:rPr>
        <w:t>Las tarifas mencionadas en el presente numeral 7 se actualizarán mensualmente durante el periodo comprendido entre el 1</w:t>
      </w:r>
      <w:r w:rsidRPr="008762D1">
        <w:rPr>
          <w:rFonts w:ascii="ITC Avant Garde" w:hAnsi="ITC Avant Garde" w:cs="Arial"/>
          <w:color w:val="000000" w:themeColor="text1"/>
          <w:sz w:val="22"/>
          <w:szCs w:val="22"/>
          <w:lang w:val="es-MX"/>
        </w:rPr>
        <w:t xml:space="preserve"> de enero </w:t>
      </w:r>
      <w:r w:rsidRPr="008762D1">
        <w:rPr>
          <w:rFonts w:ascii="ITC Avant Garde" w:hAnsi="ITC Avant Garde"/>
          <w:color w:val="000000" w:themeColor="text1"/>
          <w:sz w:val="22"/>
          <w:szCs w:val="22"/>
          <w:lang w:val="es-MX"/>
        </w:rPr>
        <w:t>de 2018 y el 31 de diciembre de 2018, con base en la metodología de Actualización del numeral 8 descrita en el presente convenio.</w:t>
      </w:r>
    </w:p>
    <w:p w14:paraId="14916408" w14:textId="77777777" w:rsidR="000F0B9F" w:rsidRPr="008762D1" w:rsidRDefault="00526FE9" w:rsidP="000F0B9F">
      <w:pPr>
        <w:autoSpaceDE w:val="0"/>
        <w:autoSpaceDN w:val="0"/>
        <w:adjustRightInd w:val="0"/>
        <w:spacing w:before="240"/>
        <w:ind w:left="1418"/>
        <w:jc w:val="both"/>
        <w:rPr>
          <w:rFonts w:ascii="ITC Avant Garde" w:hAnsi="ITC Avant Garde" w:cs="Arial"/>
          <w:color w:val="000000" w:themeColor="text1"/>
          <w:lang w:val="es-ES"/>
        </w:rPr>
      </w:pPr>
      <w:r w:rsidRPr="008762D1">
        <w:rPr>
          <w:rFonts w:ascii="ITC Avant Garde" w:hAnsi="ITC Avant Garde" w:cs="Arial"/>
          <w:color w:val="000000" w:themeColor="text1"/>
        </w:rPr>
        <w:t>Lo anterior con independencia de la posibilidad que tienen los concesionarios de solicitar la intervención del Instituto en caso de existir términos y condiciones no convenidas entre las partes.</w:t>
      </w:r>
    </w:p>
    <w:p w14:paraId="17E8B78B" w14:textId="77777777" w:rsidR="000F0B9F" w:rsidRPr="008762D1" w:rsidRDefault="00526FE9" w:rsidP="000F0B9F">
      <w:pPr>
        <w:spacing w:before="240"/>
        <w:ind w:left="1418" w:hanging="710"/>
        <w:jc w:val="both"/>
        <w:rPr>
          <w:rFonts w:ascii="ITC Avant Garde" w:hAnsi="ITC Avant Garde" w:cs="Arial"/>
          <w:b/>
          <w:color w:val="000000" w:themeColor="text1"/>
        </w:rPr>
      </w:pPr>
      <w:r w:rsidRPr="008762D1">
        <w:rPr>
          <w:rFonts w:ascii="ITC Avant Garde" w:hAnsi="ITC Avant Garde" w:cs="Arial"/>
          <w:b/>
          <w:color w:val="000000" w:themeColor="text1"/>
        </w:rPr>
        <w:t>8.</w:t>
      </w:r>
      <w:r w:rsidRPr="008762D1">
        <w:rPr>
          <w:rFonts w:ascii="ITC Avant Garde" w:hAnsi="ITC Avant Garde" w:cs="Arial"/>
          <w:b/>
          <w:color w:val="000000" w:themeColor="text1"/>
        </w:rPr>
        <w:tab/>
      </w:r>
      <w:r w:rsidRPr="008762D1">
        <w:rPr>
          <w:rFonts w:ascii="ITC Avant Garde" w:hAnsi="ITC Avant Garde" w:cs="Arial"/>
          <w:b/>
          <w:color w:val="000000" w:themeColor="text1"/>
          <w:u w:val="single"/>
        </w:rPr>
        <w:t>Actualización</w:t>
      </w:r>
      <w:r w:rsidRPr="008762D1">
        <w:rPr>
          <w:rFonts w:ascii="ITC Avant Garde" w:hAnsi="ITC Avant Garde" w:cs="Arial"/>
          <w:b/>
          <w:color w:val="000000" w:themeColor="text1"/>
        </w:rPr>
        <w:t>.</w:t>
      </w:r>
    </w:p>
    <w:p w14:paraId="114D98D3" w14:textId="77777777" w:rsidR="000F0B9F" w:rsidRPr="008762D1" w:rsidRDefault="00526FE9" w:rsidP="000F0B9F">
      <w:pPr>
        <w:pStyle w:val="Sangradetextonormal"/>
        <w:spacing w:before="240" w:after="0"/>
        <w:ind w:hanging="3"/>
        <w:jc w:val="both"/>
        <w:rPr>
          <w:rFonts w:ascii="ITC Avant Garde" w:hAnsi="ITC Avant Garde"/>
          <w:color w:val="000000" w:themeColor="text1"/>
        </w:rPr>
      </w:pPr>
      <w:r w:rsidRPr="008762D1">
        <w:rPr>
          <w:rFonts w:ascii="ITC Avant Garde" w:hAnsi="ITC Avant Garde"/>
          <w:color w:val="000000" w:themeColor="text1"/>
        </w:rPr>
        <w:t xml:space="preserve">Las tarifas para los servicios indicados, convenidas por las partes, en los puntos 5, 6 y 7 anteriores, corresponden a noviembre de 1998 y servirán como base para su actualización mensual, observando la mecánica siguiente: Se obtendrá un </w:t>
      </w:r>
      <w:r w:rsidRPr="008762D1">
        <w:rPr>
          <w:rFonts w:ascii="ITC Avant Garde" w:hAnsi="ITC Avant Garde"/>
          <w:color w:val="000000" w:themeColor="text1"/>
        </w:rPr>
        <w:lastRenderedPageBreak/>
        <w:t xml:space="preserve">factor de actualización dividiendo el Índice Nacional de Precios al Consumidor (INPC) publicado por el Banco de México en el Diario Oficial de la Federación de dos meses anteriores al de aplicación, entre el INPC de noviembre de 1998; este factor de actualización se multiplicará siempre por las tarifas base (noviembre de 1998), dando como resultado las tarifas del mes requerido. </w:t>
      </w:r>
    </w:p>
    <w:p w14:paraId="594A59D1" w14:textId="77777777" w:rsidR="000F0B9F" w:rsidRPr="008762D1" w:rsidRDefault="00526FE9" w:rsidP="000F0B9F">
      <w:pPr>
        <w:numPr>
          <w:ilvl w:val="0"/>
          <w:numId w:val="63"/>
        </w:numPr>
        <w:spacing w:before="240" w:after="0" w:line="240" w:lineRule="auto"/>
        <w:jc w:val="both"/>
        <w:rPr>
          <w:rFonts w:ascii="ITC Avant Garde" w:hAnsi="ITC Avant Garde" w:cs="Times New Roman"/>
          <w:b/>
          <w:color w:val="000000" w:themeColor="text1"/>
          <w:lang w:val="es-ES"/>
        </w:rPr>
      </w:pPr>
      <w:r w:rsidRPr="008762D1">
        <w:rPr>
          <w:rFonts w:ascii="ITC Avant Garde" w:hAnsi="ITC Avant Garde"/>
          <w:b/>
          <w:color w:val="000000" w:themeColor="text1"/>
          <w:u w:val="single"/>
        </w:rPr>
        <w:t>Enlaces de Interconexión (E3, Ethernet).</w:t>
      </w:r>
      <w:r w:rsidRPr="008762D1">
        <w:rPr>
          <w:rFonts w:ascii="ITC Avant Garde" w:hAnsi="ITC Avant Garde"/>
          <w:b/>
          <w:color w:val="000000" w:themeColor="text1"/>
        </w:rPr>
        <w:t xml:space="preserve"> </w:t>
      </w:r>
    </w:p>
    <w:p w14:paraId="71F6EAFB" w14:textId="42BA544F" w:rsidR="000F0B9F" w:rsidRPr="008762D1" w:rsidRDefault="00526FE9" w:rsidP="000F0B9F">
      <w:pPr>
        <w:spacing w:before="240"/>
        <w:ind w:left="1410"/>
        <w:jc w:val="both"/>
        <w:rPr>
          <w:rFonts w:ascii="ITC Avant Garde" w:hAnsi="ITC Avant Garde"/>
          <w:color w:val="000000" w:themeColor="text1"/>
        </w:rPr>
      </w:pPr>
      <w:r w:rsidRPr="008762D1">
        <w:rPr>
          <w:rFonts w:ascii="ITC Avant Garde" w:hAnsi="ITC Avant Garde"/>
          <w:b/>
          <w:color w:val="000000" w:themeColor="text1"/>
        </w:rPr>
        <w:t xml:space="preserve">9.1. </w:t>
      </w:r>
      <w:r w:rsidRPr="008762D1">
        <w:rPr>
          <w:rFonts w:ascii="ITC Avant Garde" w:hAnsi="ITC Avant Garde"/>
          <w:b/>
          <w:color w:val="000000" w:themeColor="text1"/>
          <w:u w:val="single"/>
        </w:rPr>
        <w:t>Gastos de Instalación</w:t>
      </w:r>
      <w:r w:rsidRPr="008762D1">
        <w:rPr>
          <w:rFonts w:ascii="ITC Avant Garde" w:hAnsi="ITC Avant Garde"/>
          <w:color w:val="000000" w:themeColor="text1"/>
        </w:rPr>
        <w:t xml:space="preserve">: </w:t>
      </w:r>
      <w:r w:rsidR="00F031E8" w:rsidRPr="00F031E8">
        <w:rPr>
          <w:rFonts w:ascii="ITC Avant Garde" w:hAnsi="ITC Avant Garde" w:cs="Arial"/>
          <w:b/>
          <w:color w:val="0000FF"/>
        </w:rPr>
        <w:t>[…]</w:t>
      </w:r>
      <w:r w:rsidR="00F031E8">
        <w:rPr>
          <w:rFonts w:ascii="ITC Avant Garde" w:hAnsi="ITC Avant Garde" w:cs="Arial"/>
          <w:b/>
          <w:color w:val="0000FF"/>
        </w:rPr>
        <w:t xml:space="preserve"> </w:t>
      </w:r>
      <w:r w:rsidRPr="008762D1">
        <w:rPr>
          <w:rFonts w:ascii="ITC Avant Garde" w:hAnsi="ITC Avant Garde"/>
          <w:color w:val="000000" w:themeColor="text1"/>
        </w:rPr>
        <w:t xml:space="preserve">pagará a TELMEX por concepto de Gastos de Instalación correspondiente a los Enlaces Dedicados de Interconexión E3,  y Ethernet de 1 </w:t>
      </w:r>
      <w:proofErr w:type="spellStart"/>
      <w:r w:rsidRPr="008762D1">
        <w:rPr>
          <w:rFonts w:ascii="ITC Avant Garde" w:hAnsi="ITC Avant Garde"/>
          <w:color w:val="000000" w:themeColor="text1"/>
        </w:rPr>
        <w:t>Gbps</w:t>
      </w:r>
      <w:proofErr w:type="spellEnd"/>
      <w:r w:rsidRPr="008762D1">
        <w:rPr>
          <w:rFonts w:ascii="ITC Avant Garde" w:hAnsi="ITC Avant Garde"/>
          <w:color w:val="000000" w:themeColor="text1"/>
        </w:rPr>
        <w:t xml:space="preserve"> las tarifas que se muestran en la Tabla siguiente:</w:t>
      </w:r>
    </w:p>
    <w:p w14:paraId="58A0AAFD" w14:textId="77777777" w:rsidR="000F0B9F" w:rsidRPr="008762D1" w:rsidRDefault="00526FE9" w:rsidP="000F0B9F">
      <w:pPr>
        <w:spacing w:before="240"/>
        <w:ind w:left="1440" w:hanging="720"/>
        <w:jc w:val="both"/>
        <w:rPr>
          <w:rFonts w:ascii="ITC Avant Garde" w:hAnsi="ITC Avant Garde"/>
          <w:color w:val="000000" w:themeColor="text1"/>
        </w:rPr>
      </w:pPr>
      <w:r w:rsidRPr="008762D1">
        <w:rPr>
          <w:rFonts w:ascii="ITC Avant Garde" w:hAnsi="ITC Avant Garde"/>
          <w:color w:val="000000" w:themeColor="text1"/>
        </w:rPr>
        <w:t>9.1.1</w:t>
      </w:r>
      <w:r w:rsidRPr="008762D1">
        <w:rPr>
          <w:rFonts w:ascii="ITC Avant Garde" w:hAnsi="ITC Avant Garde"/>
          <w:color w:val="000000" w:themeColor="text1"/>
        </w:rPr>
        <w:tab/>
        <w:t>Servicios de Enlaces para la Interconexión Local (E3).</w:t>
      </w:r>
    </w:p>
    <w:p w14:paraId="0FC681D4" w14:textId="77777777" w:rsidR="000F0B9F" w:rsidRPr="008762D1" w:rsidRDefault="00526FE9" w:rsidP="000F0B9F">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9.1.1.1</w:t>
      </w:r>
      <w:r w:rsidRPr="008762D1">
        <w:rPr>
          <w:rFonts w:ascii="ITC Avant Garde" w:hAnsi="ITC Avant Garde"/>
          <w:color w:val="000000" w:themeColor="text1"/>
        </w:rPr>
        <w:tab/>
        <w:t>Servicios de Enlaces de Interconexión Local (E3). La parte que requiera el servicio pagará a la Parte Prestadora, por cada Enlace de Interconexión Local (E3) las siguientes tarifas:</w:t>
      </w:r>
    </w:p>
    <w:p w14:paraId="461DD2B1" w14:textId="77777777" w:rsidR="000F0B9F" w:rsidRPr="008762D1" w:rsidRDefault="00526FE9" w:rsidP="002C0F86">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9.1.1.2</w:t>
      </w:r>
      <w:r w:rsidRPr="008762D1">
        <w:rPr>
          <w:rFonts w:ascii="ITC Avant Garde" w:hAnsi="ITC Avant Garde"/>
          <w:color w:val="000000" w:themeColor="text1"/>
        </w:rPr>
        <w:tab/>
        <w:t>Gastos de Instalación: $xxx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pesos M.N.) desde el 1 de enero de 2018 y hasta el 31 de diciembre del 2018.</w:t>
      </w:r>
    </w:p>
    <w:p w14:paraId="0FCC1BFD" w14:textId="0C82EA4F" w:rsidR="000F0B9F" w:rsidRPr="008762D1" w:rsidRDefault="002C0F86" w:rsidP="002C0F86">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9.1.1.3</w:t>
      </w:r>
      <w:r w:rsidRPr="008762D1">
        <w:rPr>
          <w:rFonts w:ascii="ITC Avant Garde" w:hAnsi="ITC Avant Garde"/>
          <w:color w:val="000000" w:themeColor="text1"/>
        </w:rPr>
        <w:tab/>
      </w:r>
      <w:r w:rsidR="00526FE9" w:rsidRPr="008762D1">
        <w:rPr>
          <w:rFonts w:ascii="ITC Avant Garde" w:hAnsi="ITC Avant Garde"/>
          <w:color w:val="000000" w:themeColor="text1"/>
        </w:rPr>
        <w:t>Renta Mensual: $xxx (</w:t>
      </w:r>
      <w:proofErr w:type="spellStart"/>
      <w:r w:rsidR="00526FE9" w:rsidRPr="008762D1">
        <w:rPr>
          <w:rFonts w:ascii="ITC Avant Garde" w:hAnsi="ITC Avant Garde"/>
          <w:color w:val="000000" w:themeColor="text1"/>
        </w:rPr>
        <w:t>xxxxxx</w:t>
      </w:r>
      <w:proofErr w:type="spellEnd"/>
      <w:r w:rsidR="00526FE9" w:rsidRPr="008762D1">
        <w:rPr>
          <w:rFonts w:ascii="ITC Avant Garde" w:hAnsi="ITC Avant Garde"/>
          <w:color w:val="000000" w:themeColor="text1"/>
        </w:rPr>
        <w:t xml:space="preserve"> pesos M.N.) desde el 1 de enero de 2018 y hasta el 31 de diciembre del 2018.</w:t>
      </w:r>
    </w:p>
    <w:p w14:paraId="3A1CE4BC" w14:textId="77777777" w:rsidR="000F0B9F" w:rsidRPr="008762D1" w:rsidRDefault="00526FE9" w:rsidP="000F0B9F">
      <w:pPr>
        <w:spacing w:before="240"/>
        <w:ind w:left="1440" w:hanging="720"/>
        <w:jc w:val="both"/>
        <w:rPr>
          <w:rFonts w:ascii="ITC Avant Garde" w:hAnsi="ITC Avant Garde"/>
          <w:color w:val="000000" w:themeColor="text1"/>
        </w:rPr>
      </w:pPr>
      <w:r w:rsidRPr="008762D1">
        <w:rPr>
          <w:rFonts w:ascii="ITC Avant Garde" w:hAnsi="ITC Avant Garde"/>
          <w:color w:val="000000" w:themeColor="text1"/>
        </w:rPr>
        <w:t>9.1.2</w:t>
      </w:r>
      <w:r w:rsidRPr="008762D1">
        <w:rPr>
          <w:rFonts w:ascii="ITC Avant Garde" w:hAnsi="ITC Avant Garde"/>
          <w:color w:val="000000" w:themeColor="text1"/>
        </w:rPr>
        <w:tab/>
        <w:t>Servicios de Enlaces para la Interconexión Local (STM1).</w:t>
      </w:r>
    </w:p>
    <w:p w14:paraId="22A7DDDA" w14:textId="77777777" w:rsidR="000F0B9F" w:rsidRPr="008762D1" w:rsidRDefault="00526FE9" w:rsidP="000F0B9F">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9.1.2.1</w:t>
      </w:r>
      <w:r w:rsidRPr="008762D1">
        <w:rPr>
          <w:rFonts w:ascii="ITC Avant Garde" w:hAnsi="ITC Avant Garde"/>
          <w:color w:val="000000" w:themeColor="text1"/>
        </w:rPr>
        <w:tab/>
        <w:t>Servicios de Enlaces de Interconexión Local (STM1). La parte que requiera el servicio pagará a la Parte Prestadora, por cada Enlace de Interconexión Local (STM1) las siguientes tarifas:</w:t>
      </w:r>
    </w:p>
    <w:p w14:paraId="428D54FB" w14:textId="77777777" w:rsidR="000F0B9F" w:rsidRPr="008762D1" w:rsidRDefault="00526FE9" w:rsidP="002C0F86">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9.1.2.2</w:t>
      </w:r>
      <w:r w:rsidRPr="008762D1">
        <w:rPr>
          <w:rFonts w:ascii="ITC Avant Garde" w:hAnsi="ITC Avant Garde"/>
          <w:color w:val="000000" w:themeColor="text1"/>
        </w:rPr>
        <w:tab/>
        <w:t>Gastos de Instalación: $xxx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pesos M.N.) desde el 1 de enero de 2018 y hasta el 31 de diciembre del 2018.</w:t>
      </w:r>
    </w:p>
    <w:p w14:paraId="3AED1AA6" w14:textId="23B81853" w:rsidR="000F0B9F" w:rsidRPr="008762D1" w:rsidRDefault="002C0F86" w:rsidP="002C0F86">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9.1.2.3</w:t>
      </w:r>
      <w:r w:rsidRPr="008762D1">
        <w:rPr>
          <w:rFonts w:ascii="ITC Avant Garde" w:hAnsi="ITC Avant Garde"/>
          <w:color w:val="000000" w:themeColor="text1"/>
        </w:rPr>
        <w:tab/>
      </w:r>
      <w:r w:rsidR="00526FE9" w:rsidRPr="008762D1">
        <w:rPr>
          <w:rFonts w:ascii="ITC Avant Garde" w:hAnsi="ITC Avant Garde"/>
          <w:color w:val="000000" w:themeColor="text1"/>
        </w:rPr>
        <w:t>Renta Mensual: $xxx (</w:t>
      </w:r>
      <w:proofErr w:type="spellStart"/>
      <w:r w:rsidR="00526FE9" w:rsidRPr="008762D1">
        <w:rPr>
          <w:rFonts w:ascii="ITC Avant Garde" w:hAnsi="ITC Avant Garde"/>
          <w:color w:val="000000" w:themeColor="text1"/>
        </w:rPr>
        <w:t>xxxxxx</w:t>
      </w:r>
      <w:proofErr w:type="spellEnd"/>
      <w:r w:rsidR="00526FE9" w:rsidRPr="008762D1">
        <w:rPr>
          <w:rFonts w:ascii="ITC Avant Garde" w:hAnsi="ITC Avant Garde"/>
          <w:color w:val="000000" w:themeColor="text1"/>
        </w:rPr>
        <w:t xml:space="preserve"> pesos M.N.) desde el 1 de enero de 2018 y hasta el 31 de diciembre del 2018.</w:t>
      </w:r>
    </w:p>
    <w:p w14:paraId="467C6799" w14:textId="77777777" w:rsidR="000F0B9F" w:rsidRPr="008762D1" w:rsidRDefault="00526FE9" w:rsidP="000F0B9F">
      <w:pPr>
        <w:spacing w:before="240"/>
        <w:ind w:left="1440" w:hanging="720"/>
        <w:jc w:val="both"/>
        <w:rPr>
          <w:rFonts w:ascii="ITC Avant Garde" w:hAnsi="ITC Avant Garde"/>
          <w:color w:val="000000" w:themeColor="text1"/>
        </w:rPr>
      </w:pPr>
      <w:r w:rsidRPr="008762D1">
        <w:rPr>
          <w:rFonts w:ascii="ITC Avant Garde" w:hAnsi="ITC Avant Garde"/>
          <w:color w:val="000000" w:themeColor="text1"/>
        </w:rPr>
        <w:t>9.1.3</w:t>
      </w:r>
      <w:r w:rsidRPr="008762D1">
        <w:rPr>
          <w:rFonts w:ascii="ITC Avant Garde" w:hAnsi="ITC Avant Garde"/>
          <w:color w:val="000000" w:themeColor="text1"/>
        </w:rPr>
        <w:tab/>
        <w:t xml:space="preserve">Servicios de Enlaces para la Interconexión Local (Ethernet de 1 </w:t>
      </w:r>
      <w:proofErr w:type="spellStart"/>
      <w:r w:rsidRPr="008762D1">
        <w:rPr>
          <w:rFonts w:ascii="ITC Avant Garde" w:hAnsi="ITC Avant Garde"/>
          <w:color w:val="000000" w:themeColor="text1"/>
        </w:rPr>
        <w:t>Gbps</w:t>
      </w:r>
      <w:proofErr w:type="spellEnd"/>
      <w:r w:rsidRPr="008762D1">
        <w:rPr>
          <w:rFonts w:ascii="ITC Avant Garde" w:hAnsi="ITC Avant Garde"/>
          <w:color w:val="000000" w:themeColor="text1"/>
        </w:rPr>
        <w:t>).</w:t>
      </w:r>
    </w:p>
    <w:p w14:paraId="4F7AE99D" w14:textId="77777777" w:rsidR="000F0B9F" w:rsidRPr="008762D1" w:rsidRDefault="00526FE9" w:rsidP="000F0B9F">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9.1.3.1</w:t>
      </w:r>
      <w:r w:rsidRPr="008762D1">
        <w:rPr>
          <w:rFonts w:ascii="ITC Avant Garde" w:hAnsi="ITC Avant Garde"/>
          <w:color w:val="000000" w:themeColor="text1"/>
        </w:rPr>
        <w:tab/>
        <w:t xml:space="preserve">Servicios de Enlaces de Interconexión Local (Ethernet de 1 </w:t>
      </w:r>
      <w:proofErr w:type="spellStart"/>
      <w:r w:rsidRPr="008762D1">
        <w:rPr>
          <w:rFonts w:ascii="ITC Avant Garde" w:hAnsi="ITC Avant Garde"/>
          <w:color w:val="000000" w:themeColor="text1"/>
        </w:rPr>
        <w:t>Gbps</w:t>
      </w:r>
      <w:proofErr w:type="spellEnd"/>
      <w:r w:rsidRPr="008762D1">
        <w:rPr>
          <w:rFonts w:ascii="ITC Avant Garde" w:hAnsi="ITC Avant Garde"/>
          <w:color w:val="000000" w:themeColor="text1"/>
        </w:rPr>
        <w:t xml:space="preserve">). La parte que requiera el servicio pagará a la </w:t>
      </w:r>
      <w:r w:rsidRPr="008762D1">
        <w:rPr>
          <w:rFonts w:ascii="ITC Avant Garde" w:hAnsi="ITC Avant Garde"/>
          <w:color w:val="000000" w:themeColor="text1"/>
        </w:rPr>
        <w:lastRenderedPageBreak/>
        <w:t xml:space="preserve">Parte Prestadora, por cada Enlace de Interconexión Local (Ethernet de 1 </w:t>
      </w:r>
      <w:proofErr w:type="spellStart"/>
      <w:r w:rsidRPr="008762D1">
        <w:rPr>
          <w:rFonts w:ascii="ITC Avant Garde" w:hAnsi="ITC Avant Garde"/>
          <w:color w:val="000000" w:themeColor="text1"/>
        </w:rPr>
        <w:t>Gbps</w:t>
      </w:r>
      <w:proofErr w:type="spellEnd"/>
      <w:r w:rsidRPr="008762D1">
        <w:rPr>
          <w:rFonts w:ascii="ITC Avant Garde" w:hAnsi="ITC Avant Garde"/>
          <w:color w:val="000000" w:themeColor="text1"/>
        </w:rPr>
        <w:t>) las siguientes tarifas:</w:t>
      </w:r>
    </w:p>
    <w:p w14:paraId="59ACB9BC" w14:textId="77777777" w:rsidR="000F0B9F" w:rsidRPr="008762D1" w:rsidRDefault="00526FE9" w:rsidP="002C0F86">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9.1.3.2</w:t>
      </w:r>
      <w:r w:rsidRPr="008762D1">
        <w:rPr>
          <w:rFonts w:ascii="ITC Avant Garde" w:hAnsi="ITC Avant Garde"/>
          <w:color w:val="000000" w:themeColor="text1"/>
        </w:rPr>
        <w:tab/>
        <w:t>Gastos de Instalación: $xxx (</w:t>
      </w:r>
      <w:proofErr w:type="spellStart"/>
      <w:r w:rsidRPr="008762D1">
        <w:rPr>
          <w:rFonts w:ascii="ITC Avant Garde" w:hAnsi="ITC Avant Garde"/>
          <w:color w:val="000000" w:themeColor="text1"/>
        </w:rPr>
        <w:t>xxxx</w:t>
      </w:r>
      <w:proofErr w:type="spellEnd"/>
      <w:r w:rsidRPr="008762D1">
        <w:rPr>
          <w:rFonts w:ascii="ITC Avant Garde" w:hAnsi="ITC Avant Garde"/>
          <w:color w:val="000000" w:themeColor="text1"/>
        </w:rPr>
        <w:t xml:space="preserve"> pesos M.N.) desde el 1 de enero de 2018 y hasta el 31 de diciembre del 2018.</w:t>
      </w:r>
    </w:p>
    <w:p w14:paraId="082B900F" w14:textId="77777777" w:rsidR="000F0B9F" w:rsidRPr="008762D1" w:rsidRDefault="00526FE9" w:rsidP="002C0F86">
      <w:pPr>
        <w:spacing w:before="240"/>
        <w:ind w:left="2832" w:hanging="1392"/>
        <w:jc w:val="both"/>
        <w:rPr>
          <w:rFonts w:ascii="ITC Avant Garde" w:hAnsi="ITC Avant Garde"/>
          <w:color w:val="000000" w:themeColor="text1"/>
        </w:rPr>
      </w:pPr>
      <w:r w:rsidRPr="008762D1">
        <w:rPr>
          <w:rFonts w:ascii="ITC Avant Garde" w:hAnsi="ITC Avant Garde"/>
          <w:color w:val="000000" w:themeColor="text1"/>
        </w:rPr>
        <w:t>9.1.3.3</w:t>
      </w:r>
      <w:r w:rsidRPr="008762D1">
        <w:rPr>
          <w:rFonts w:ascii="ITC Avant Garde" w:hAnsi="ITC Avant Garde"/>
          <w:color w:val="000000" w:themeColor="text1"/>
        </w:rPr>
        <w:tab/>
        <w:t>Renta Mensual: $xxx (</w:t>
      </w:r>
      <w:proofErr w:type="spellStart"/>
      <w:r w:rsidRPr="008762D1">
        <w:rPr>
          <w:rFonts w:ascii="ITC Avant Garde" w:hAnsi="ITC Avant Garde"/>
          <w:color w:val="000000" w:themeColor="text1"/>
        </w:rPr>
        <w:t>xxxxxx</w:t>
      </w:r>
      <w:proofErr w:type="spellEnd"/>
      <w:r w:rsidRPr="008762D1">
        <w:rPr>
          <w:rFonts w:ascii="ITC Avant Garde" w:hAnsi="ITC Avant Garde"/>
          <w:color w:val="000000" w:themeColor="text1"/>
        </w:rPr>
        <w:t xml:space="preserve"> pesos M.N.) desde el 1 de enero de 2018 y hasta el 31 de diciembre del 2018.</w:t>
      </w:r>
    </w:p>
    <w:p w14:paraId="292B657F" w14:textId="77777777" w:rsidR="000F0B9F" w:rsidRPr="008762D1" w:rsidRDefault="00526FE9" w:rsidP="000F0B9F">
      <w:pPr>
        <w:spacing w:before="240"/>
        <w:ind w:left="1413"/>
        <w:jc w:val="both"/>
        <w:rPr>
          <w:rFonts w:ascii="ITC Avant Garde" w:hAnsi="ITC Avant Garde"/>
          <w:color w:val="000000" w:themeColor="text1"/>
        </w:rPr>
      </w:pPr>
      <w:r w:rsidRPr="008762D1">
        <w:rPr>
          <w:rFonts w:ascii="ITC Avant Garde" w:hAnsi="ITC Avant Garde"/>
          <w:color w:val="000000" w:themeColor="text1"/>
        </w:rPr>
        <w:t>Para los Enlaces Dedicados de Interconexión no aplican  cargos por bajas anticipadas.</w:t>
      </w:r>
    </w:p>
    <w:p w14:paraId="69041029" w14:textId="77777777" w:rsidR="000F0B9F" w:rsidRPr="008762D1" w:rsidRDefault="00526FE9" w:rsidP="000F0B9F">
      <w:pPr>
        <w:pStyle w:val="Level4"/>
        <w:tabs>
          <w:tab w:val="left" w:pos="-1440"/>
        </w:tabs>
        <w:spacing w:before="240"/>
        <w:ind w:left="1440" w:firstLine="0"/>
        <w:jc w:val="both"/>
        <w:rPr>
          <w:rFonts w:ascii="ITC Avant Garde" w:hAnsi="ITC Avant Garde"/>
          <w:color w:val="000000" w:themeColor="text1"/>
          <w:sz w:val="22"/>
          <w:szCs w:val="22"/>
          <w:lang w:val="es-MX"/>
        </w:rPr>
      </w:pPr>
      <w:r w:rsidRPr="008762D1">
        <w:rPr>
          <w:rFonts w:ascii="ITC Avant Garde" w:hAnsi="ITC Avant Garde"/>
          <w:color w:val="000000" w:themeColor="text1"/>
          <w:sz w:val="22"/>
          <w:szCs w:val="22"/>
          <w:lang w:val="es-MX"/>
        </w:rPr>
        <w:t>Las tarifas mencionadas en el presente numeral 9 se actualizarán mensualmente durante el periodo comprendido entre el 1</w:t>
      </w:r>
      <w:r w:rsidRPr="008762D1">
        <w:rPr>
          <w:rFonts w:ascii="ITC Avant Garde" w:hAnsi="ITC Avant Garde" w:cs="Arial"/>
          <w:color w:val="000000" w:themeColor="text1"/>
          <w:sz w:val="22"/>
          <w:szCs w:val="22"/>
          <w:lang w:val="es-MX"/>
        </w:rPr>
        <w:t xml:space="preserve"> de enero </w:t>
      </w:r>
      <w:r w:rsidRPr="008762D1">
        <w:rPr>
          <w:rFonts w:ascii="ITC Avant Garde" w:hAnsi="ITC Avant Garde"/>
          <w:color w:val="000000" w:themeColor="text1"/>
          <w:sz w:val="22"/>
          <w:szCs w:val="22"/>
          <w:lang w:val="es-MX"/>
        </w:rPr>
        <w:t>de 2018 y el 31 de diciembre de 2018, con base en la metodología de Actualización del numeral 8 descrita en el presente convenio.</w:t>
      </w:r>
    </w:p>
    <w:p w14:paraId="4E2D4424" w14:textId="01413B5C" w:rsidR="00526FE9" w:rsidRPr="00F031E8" w:rsidRDefault="00526FE9" w:rsidP="00F031E8">
      <w:pPr>
        <w:autoSpaceDE w:val="0"/>
        <w:autoSpaceDN w:val="0"/>
        <w:adjustRightInd w:val="0"/>
        <w:spacing w:before="240"/>
        <w:ind w:left="1418"/>
        <w:jc w:val="both"/>
        <w:rPr>
          <w:rFonts w:ascii="ITC Avant Garde" w:hAnsi="ITC Avant Garde" w:cs="Arial"/>
          <w:color w:val="000000" w:themeColor="text1"/>
          <w:lang w:val="es-ES"/>
        </w:rPr>
      </w:pPr>
      <w:r w:rsidRPr="008762D1">
        <w:rPr>
          <w:rFonts w:ascii="ITC Avant Garde" w:hAnsi="ITC Avant Garde" w:cs="Arial"/>
          <w:color w:val="000000" w:themeColor="text1"/>
        </w:rPr>
        <w:t>Lo anterior con independencia de la posibilidad que tienen los concesionarios de solicitar la intervención del Instituto en caso de existir términos y condiciones no convenidas entre las partes.</w:t>
      </w:r>
    </w:p>
    <w:p w14:paraId="2CD41999" w14:textId="77777777" w:rsidR="000F0B9F" w:rsidRPr="008762D1" w:rsidRDefault="00526FE9" w:rsidP="000F0B9F">
      <w:pPr>
        <w:numPr>
          <w:ilvl w:val="0"/>
          <w:numId w:val="63"/>
        </w:numPr>
        <w:spacing w:before="240" w:after="0" w:line="240" w:lineRule="auto"/>
        <w:ind w:left="709"/>
        <w:jc w:val="both"/>
        <w:rPr>
          <w:rFonts w:ascii="ITC Avant Garde" w:hAnsi="ITC Avant Garde" w:cs="Times New Roman"/>
          <w:color w:val="000000" w:themeColor="text1"/>
          <w:lang w:val="es-ES"/>
        </w:rPr>
      </w:pPr>
      <w:r w:rsidRPr="008762D1">
        <w:rPr>
          <w:rFonts w:ascii="ITC Avant Garde" w:hAnsi="ITC Avant Garde"/>
          <w:color w:val="000000" w:themeColor="text1"/>
        </w:rPr>
        <w:t>Las partes se obligan a negociar la modificación  del presente Anexo B en todo lo que sea necesario, en el momento en que TELMEX deje de tener el carácter de agente económico preponderante en telecomunicaciones que le fue determinado por el Instituto, ya sea porque así le sea notificado a TELMEX por el propio Instituto o porque TELMEX haya obtenido resolución favorable en cualesquiera de los litigios que a que se hace mención en la cláusula respectiva de este Convenio, obligándose a aplicar  las tarifas que para tales efectos acuerden las partes.</w:t>
      </w:r>
    </w:p>
    <w:p w14:paraId="56D9170E" w14:textId="3F5DA036" w:rsidR="00526FE9" w:rsidRPr="00F031E8" w:rsidRDefault="00526FE9" w:rsidP="00F031E8">
      <w:pPr>
        <w:spacing w:before="240"/>
        <w:ind w:left="705" w:hanging="705"/>
        <w:jc w:val="both"/>
        <w:rPr>
          <w:rFonts w:ascii="ITC Avant Garde" w:hAnsi="ITC Avant Garde"/>
          <w:color w:val="000000" w:themeColor="text1"/>
        </w:rPr>
      </w:pPr>
      <w:r w:rsidRPr="008762D1">
        <w:rPr>
          <w:rFonts w:ascii="ITC Avant Garde" w:hAnsi="ITC Avant Garde"/>
          <w:b/>
          <w:color w:val="000000" w:themeColor="text1"/>
        </w:rPr>
        <w:t>11.</w:t>
      </w:r>
      <w:r w:rsidRPr="008762D1">
        <w:rPr>
          <w:rFonts w:ascii="ITC Avant Garde" w:hAnsi="ITC Avant Garde"/>
          <w:color w:val="000000" w:themeColor="text1"/>
        </w:rPr>
        <w:tab/>
        <w:t>Capacidad</w:t>
      </w:r>
      <w:r w:rsidRPr="008762D1">
        <w:rPr>
          <w:rFonts w:ascii="ITC Avant Garde" w:hAnsi="ITC Avant Garde" w:cs="Arial"/>
          <w:color w:val="000000" w:themeColor="text1"/>
        </w:rPr>
        <w:t xml:space="preserve"> adicional de Corriente Directa, Corriente Alterna o clima en la </w:t>
      </w:r>
      <w:proofErr w:type="spellStart"/>
      <w:r w:rsidRPr="008762D1">
        <w:rPr>
          <w:rFonts w:ascii="ITC Avant Garde" w:hAnsi="ITC Avant Garde" w:cs="Arial"/>
          <w:color w:val="000000" w:themeColor="text1"/>
        </w:rPr>
        <w:t>Coubicación</w:t>
      </w:r>
      <w:proofErr w:type="spellEnd"/>
      <w:r w:rsidRPr="008762D1">
        <w:rPr>
          <w:rFonts w:ascii="ITC Avant Garde" w:hAnsi="ITC Avant Garde" w:cs="Arial"/>
          <w:color w:val="000000" w:themeColor="text1"/>
        </w:rPr>
        <w:t>. Para cada una de las capacidades adicionales se tendrá una tari</w:t>
      </w:r>
      <w:r w:rsidR="00F031E8">
        <w:rPr>
          <w:rFonts w:ascii="ITC Avant Garde" w:hAnsi="ITC Avant Garde" w:cs="Arial"/>
          <w:color w:val="000000" w:themeColor="text1"/>
        </w:rPr>
        <w:t>fa independiente, contemplando:</w:t>
      </w:r>
    </w:p>
    <w:p w14:paraId="35529C0A" w14:textId="77777777" w:rsidR="000F0B9F" w:rsidRPr="008762D1" w:rsidRDefault="00526FE9" w:rsidP="000F0B9F">
      <w:pPr>
        <w:autoSpaceDE w:val="0"/>
        <w:autoSpaceDN w:val="0"/>
        <w:adjustRightInd w:val="0"/>
        <w:spacing w:before="240"/>
        <w:ind w:left="2832" w:hanging="1416"/>
        <w:jc w:val="both"/>
        <w:rPr>
          <w:rFonts w:ascii="ITC Avant Garde" w:hAnsi="ITC Avant Garde" w:cs="Arial"/>
          <w:color w:val="000000" w:themeColor="text1"/>
        </w:rPr>
      </w:pPr>
      <w:r w:rsidRPr="008762D1">
        <w:rPr>
          <w:rFonts w:ascii="ITC Avant Garde" w:hAnsi="ITC Avant Garde" w:cs="Arial"/>
          <w:color w:val="000000" w:themeColor="text1"/>
        </w:rPr>
        <w:t>12.1</w:t>
      </w:r>
      <w:r w:rsidRPr="008762D1">
        <w:rPr>
          <w:rFonts w:ascii="ITC Avant Garde" w:hAnsi="ITC Avant Garde" w:cs="Arial"/>
          <w:color w:val="000000" w:themeColor="text1"/>
        </w:rPr>
        <w:tab/>
        <w:t>Gastos de Instalación: $xxx (xxx  pesos M.N.).</w:t>
      </w:r>
    </w:p>
    <w:p w14:paraId="55A9D5D6" w14:textId="4D8A0285" w:rsidR="00526FE9" w:rsidRPr="008762D1" w:rsidRDefault="00526FE9" w:rsidP="00F031E8">
      <w:pPr>
        <w:autoSpaceDE w:val="0"/>
        <w:autoSpaceDN w:val="0"/>
        <w:adjustRightInd w:val="0"/>
        <w:spacing w:before="240"/>
        <w:ind w:left="2832" w:hanging="1416"/>
        <w:jc w:val="both"/>
        <w:rPr>
          <w:rFonts w:ascii="ITC Avant Garde" w:hAnsi="ITC Avant Garde" w:cs="Arial"/>
          <w:color w:val="000000" w:themeColor="text1"/>
        </w:rPr>
      </w:pPr>
      <w:r w:rsidRPr="008762D1">
        <w:rPr>
          <w:rFonts w:ascii="ITC Avant Garde" w:hAnsi="ITC Avant Garde" w:cs="Arial"/>
          <w:color w:val="000000" w:themeColor="text1"/>
        </w:rPr>
        <w:t>12.2</w:t>
      </w:r>
      <w:r w:rsidRPr="008762D1">
        <w:rPr>
          <w:rFonts w:ascii="ITC Avant Garde" w:hAnsi="ITC Avant Garde" w:cs="Arial"/>
          <w:color w:val="000000" w:themeColor="text1"/>
        </w:rPr>
        <w:tab/>
        <w:t>Renta Me</w:t>
      </w:r>
      <w:r w:rsidR="00F031E8">
        <w:rPr>
          <w:rFonts w:ascii="ITC Avant Garde" w:hAnsi="ITC Avant Garde" w:cs="Arial"/>
          <w:color w:val="000000" w:themeColor="text1"/>
        </w:rPr>
        <w:t>nsual: $xxx (</w:t>
      </w:r>
      <w:proofErr w:type="spellStart"/>
      <w:r w:rsidR="00F031E8">
        <w:rPr>
          <w:rFonts w:ascii="ITC Avant Garde" w:hAnsi="ITC Avant Garde" w:cs="Arial"/>
          <w:color w:val="000000" w:themeColor="text1"/>
        </w:rPr>
        <w:t>xxxxx</w:t>
      </w:r>
      <w:proofErr w:type="spellEnd"/>
      <w:r w:rsidR="00F031E8">
        <w:rPr>
          <w:rFonts w:ascii="ITC Avant Garde" w:hAnsi="ITC Avant Garde" w:cs="Arial"/>
          <w:color w:val="000000" w:themeColor="text1"/>
        </w:rPr>
        <w:t xml:space="preserve"> pesos M.N.).</w:t>
      </w:r>
    </w:p>
    <w:p w14:paraId="4D0741F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lang w:val="es-ES"/>
        </w:rPr>
      </w:pPr>
      <w:r w:rsidRPr="008762D1">
        <w:rPr>
          <w:rFonts w:ascii="ITC Avant Garde" w:hAnsi="ITC Avant Garde" w:cs="Arial"/>
          <w:b/>
          <w:color w:val="000000" w:themeColor="text1"/>
        </w:rPr>
        <w:t xml:space="preserve">12. </w:t>
      </w:r>
      <w:r w:rsidRPr="008762D1">
        <w:rPr>
          <w:rFonts w:ascii="ITC Avant Garde" w:hAnsi="ITC Avant Garde" w:cs="Arial"/>
          <w:b/>
          <w:color w:val="000000" w:themeColor="text1"/>
        </w:rPr>
        <w:tab/>
        <w:t>Facturación y cobranza</w:t>
      </w:r>
      <w:r w:rsidRPr="008762D1">
        <w:rPr>
          <w:rFonts w:ascii="ITC Avant Garde" w:hAnsi="ITC Avant Garde" w:cs="Arial"/>
          <w:color w:val="000000" w:themeColor="text1"/>
        </w:rPr>
        <w:t>.</w:t>
      </w:r>
    </w:p>
    <w:p w14:paraId="56A0C0EF" w14:textId="07C1083D" w:rsidR="000F0B9F" w:rsidRPr="008762D1" w:rsidRDefault="00F031E8" w:rsidP="000F0B9F">
      <w:pPr>
        <w:autoSpaceDE w:val="0"/>
        <w:autoSpaceDN w:val="0"/>
        <w:adjustRightInd w:val="0"/>
        <w:spacing w:before="240"/>
        <w:jc w:val="both"/>
        <w:rPr>
          <w:rFonts w:ascii="ITC Avant Garde" w:hAnsi="ITC Avant Garde" w:cs="Arial"/>
          <w:color w:val="000000" w:themeColor="text1"/>
        </w:rPr>
      </w:pPr>
      <w:r w:rsidRPr="00F031E8">
        <w:rPr>
          <w:rFonts w:ascii="ITC Avant Garde" w:hAnsi="ITC Avant Garde" w:cs="Arial"/>
          <w:b/>
          <w:color w:val="0000FF"/>
        </w:rPr>
        <w:t>[…]</w:t>
      </w:r>
      <w:r>
        <w:rPr>
          <w:rFonts w:ascii="ITC Avant Garde" w:hAnsi="ITC Avant Garde" w:cs="Arial"/>
          <w:b/>
          <w:color w:val="0000FF"/>
        </w:rPr>
        <w:t xml:space="preserve"> </w:t>
      </w:r>
      <w:r w:rsidR="00526FE9" w:rsidRPr="008762D1">
        <w:rPr>
          <w:rFonts w:ascii="ITC Avant Garde" w:hAnsi="ITC Avant Garde" w:cs="Arial"/>
          <w:color w:val="000000" w:themeColor="text1"/>
        </w:rPr>
        <w:t xml:space="preserve">pagará a Telmex por el servicio de facturación y cobranza la cantidad de  </w:t>
      </w:r>
      <w:r w:rsidRPr="00F031E8">
        <w:rPr>
          <w:rFonts w:ascii="ITC Avant Garde" w:hAnsi="ITC Avant Garde" w:cs="Arial"/>
          <w:b/>
          <w:color w:val="0000FF"/>
        </w:rPr>
        <w:t>[…]</w:t>
      </w:r>
      <w:r>
        <w:rPr>
          <w:rFonts w:ascii="ITC Avant Garde" w:hAnsi="ITC Avant Garde" w:cs="Arial"/>
          <w:b/>
          <w:color w:val="0000FF"/>
        </w:rPr>
        <w:t xml:space="preserve"> </w:t>
      </w:r>
      <w:r w:rsidR="00526FE9" w:rsidRPr="008762D1">
        <w:rPr>
          <w:rFonts w:ascii="ITC Avant Garde" w:hAnsi="ITC Avant Garde" w:cs="Arial"/>
          <w:color w:val="000000" w:themeColor="text1"/>
        </w:rPr>
        <w:t>pesos M.N.)</w:t>
      </w:r>
    </w:p>
    <w:p w14:paraId="29BB8E4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13. De conformidad con la medida Trigésima Sexta de la Resolución de Preponderancia, las tarifas aplicables a los Servicios de Interconexión prestados por </w:t>
      </w:r>
      <w:r w:rsidRPr="008762D1">
        <w:rPr>
          <w:rFonts w:ascii="ITC Avant Garde" w:hAnsi="ITC Avant Garde" w:cs="Arial"/>
          <w:color w:val="000000" w:themeColor="text1"/>
        </w:rPr>
        <w:lastRenderedPageBreak/>
        <w:t>Telmex se determinarán de conformidad a lo establecido en el Título V, Capítulo III “Del Acceso y la Interconexión” de la Ley Federal de Telecomunicaciones y Radiodifusión, o con la legislación que la sustituya o modifique; por lo que las tarifas que al efecto publique el Instituto de conformidad con el artículo 137 de la LFTR deberán ser aplicables a Telmex.</w:t>
      </w:r>
    </w:p>
    <w:p w14:paraId="06EA81A9" w14:textId="4A9B5AE1"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El presente Anexo B se firma por triplicado, por los representantes debidamente facultados de las partes, en la Ciudad de México, el </w:t>
      </w:r>
      <w:r w:rsidR="007B0A7C" w:rsidRPr="00F031E8">
        <w:rPr>
          <w:rFonts w:ascii="ITC Avant Garde" w:hAnsi="ITC Avant Garde" w:cs="Arial"/>
          <w:b/>
          <w:color w:val="0000FF"/>
        </w:rPr>
        <w:t>[…]</w:t>
      </w:r>
      <w:r w:rsidRPr="008762D1">
        <w:rPr>
          <w:rFonts w:ascii="ITC Avant Garde" w:hAnsi="ITC Avant Garde" w:cs="Arial"/>
          <w:color w:val="000000" w:themeColor="text1"/>
        </w:rPr>
        <w:t xml:space="preserve"> de </w:t>
      </w:r>
      <w:r w:rsidR="007B0A7C" w:rsidRPr="00F031E8">
        <w:rPr>
          <w:rFonts w:ascii="ITC Avant Garde" w:hAnsi="ITC Avant Garde" w:cs="Arial"/>
          <w:b/>
          <w:color w:val="0000FF"/>
        </w:rPr>
        <w:t>[…]</w:t>
      </w:r>
      <w:r w:rsidRPr="008762D1">
        <w:rPr>
          <w:rFonts w:ascii="ITC Avant Garde" w:hAnsi="ITC Avant Garde" w:cs="Arial"/>
          <w:color w:val="000000" w:themeColor="text1"/>
        </w:rPr>
        <w:t xml:space="preserve"> de 20</w:t>
      </w:r>
      <w:r w:rsidR="007B0A7C">
        <w:rPr>
          <w:rFonts w:ascii="ITC Avant Garde" w:hAnsi="ITC Avant Garde" w:cs="Arial"/>
          <w:color w:val="000000" w:themeColor="text1"/>
        </w:rPr>
        <w:t xml:space="preserve"> </w:t>
      </w:r>
      <w:r w:rsidR="007B0A7C" w:rsidRPr="00F031E8">
        <w:rPr>
          <w:rFonts w:ascii="ITC Avant Garde" w:hAnsi="ITC Avant Garde" w:cs="Arial"/>
          <w:b/>
          <w:color w:val="0000FF"/>
        </w:rPr>
        <w:t>[…]</w:t>
      </w:r>
      <w:r w:rsidRPr="008762D1">
        <w:rPr>
          <w:rFonts w:ascii="ITC Avant Garde" w:hAnsi="ITC Avant Garde" w:cs="Arial"/>
          <w:color w:val="000000" w:themeColor="text1"/>
        </w:rPr>
        <w:t>.</w:t>
      </w:r>
    </w:p>
    <w:tbl>
      <w:tblPr>
        <w:tblStyle w:val="Cuadrculadetablaclara"/>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Tabla de firmas"/>
      </w:tblPr>
      <w:tblGrid>
        <w:gridCol w:w="4752"/>
        <w:gridCol w:w="4608"/>
      </w:tblGrid>
      <w:tr w:rsidR="008762D1" w:rsidRPr="008762D1" w14:paraId="5960205F" w14:textId="77777777" w:rsidTr="00036A6A">
        <w:trPr>
          <w:tblHeader/>
          <w:jc w:val="center"/>
        </w:trPr>
        <w:tc>
          <w:tcPr>
            <w:tcW w:w="4752" w:type="dxa"/>
          </w:tcPr>
          <w:p w14:paraId="615E75C4" w14:textId="77777777" w:rsidR="00526FE9" w:rsidRPr="008762D1" w:rsidRDefault="00526FE9" w:rsidP="000F0B9F">
            <w:pPr>
              <w:tabs>
                <w:tab w:val="left" w:pos="2730"/>
              </w:tabs>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TELÉFONOS DE MÉXICO</w:t>
            </w:r>
          </w:p>
          <w:p w14:paraId="6FCB21FF" w14:textId="77777777" w:rsidR="000F0B9F" w:rsidRPr="008762D1" w:rsidRDefault="00526FE9" w:rsidP="000F0B9F">
            <w:pPr>
              <w:tabs>
                <w:tab w:val="left" w:pos="2730"/>
              </w:tabs>
              <w:spacing w:before="240" w:line="360" w:lineRule="exact"/>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 S.A.B DE C.V.</w:t>
            </w:r>
          </w:p>
          <w:p w14:paraId="6E011A34" w14:textId="7C3747D1" w:rsidR="00526FE9" w:rsidRPr="008762D1" w:rsidRDefault="00526FE9" w:rsidP="000F0B9F">
            <w:pPr>
              <w:tabs>
                <w:tab w:val="left" w:pos="2730"/>
              </w:tabs>
              <w:spacing w:before="240" w:line="276"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LIC. ALEJANDRO COCA SÁNCHEZ</w:t>
            </w:r>
          </w:p>
          <w:p w14:paraId="3B573646" w14:textId="77777777" w:rsidR="00526FE9" w:rsidRPr="008762D1" w:rsidRDefault="00526FE9" w:rsidP="000F0B9F">
            <w:pPr>
              <w:tabs>
                <w:tab w:val="left" w:pos="2730"/>
              </w:tabs>
              <w:spacing w:before="240" w:line="276"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c>
          <w:tcPr>
            <w:tcW w:w="4608" w:type="dxa"/>
          </w:tcPr>
          <w:p w14:paraId="5007F60D" w14:textId="77777777" w:rsidR="007B0A7C" w:rsidRDefault="007B0A7C" w:rsidP="000F0B9F">
            <w:pPr>
              <w:tabs>
                <w:tab w:val="left" w:pos="2730"/>
              </w:tabs>
              <w:spacing w:before="240" w:line="276" w:lineRule="auto"/>
              <w:jc w:val="center"/>
              <w:rPr>
                <w:rFonts w:ascii="ITC Avant Garde" w:hAnsi="ITC Avant Garde" w:cs="Arial"/>
                <w:b/>
                <w:color w:val="0000FF"/>
              </w:rPr>
            </w:pPr>
            <w:r w:rsidRPr="00F031E8">
              <w:rPr>
                <w:rFonts w:ascii="ITC Avant Garde" w:hAnsi="ITC Avant Garde" w:cs="Arial"/>
                <w:b/>
                <w:color w:val="0000FF"/>
              </w:rPr>
              <w:t>[…]</w:t>
            </w:r>
          </w:p>
          <w:p w14:paraId="76133188" w14:textId="5C771DBF" w:rsidR="00526FE9" w:rsidRPr="008762D1" w:rsidRDefault="00526FE9" w:rsidP="000F0B9F">
            <w:pPr>
              <w:tabs>
                <w:tab w:val="left" w:pos="2730"/>
              </w:tabs>
              <w:spacing w:before="240" w:line="276" w:lineRule="auto"/>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r>
      <w:tr w:rsidR="00526FE9" w:rsidRPr="008762D1" w14:paraId="08CCD4F7" w14:textId="77777777" w:rsidTr="00036A6A">
        <w:trPr>
          <w:tblHeader/>
          <w:jc w:val="center"/>
        </w:trPr>
        <w:tc>
          <w:tcPr>
            <w:tcW w:w="4752" w:type="dxa"/>
          </w:tcPr>
          <w:p w14:paraId="079C76AB" w14:textId="6144F7D5" w:rsidR="000F0B9F" w:rsidRPr="008762D1" w:rsidRDefault="00B93C63" w:rsidP="000F0B9F">
            <w:pPr>
              <w:tabs>
                <w:tab w:val="left" w:pos="2730"/>
              </w:tabs>
              <w:spacing w:before="240" w:line="276" w:lineRule="auto"/>
              <w:jc w:val="center"/>
              <w:rPr>
                <w:rFonts w:ascii="ITC Avant Garde" w:hAnsi="ITC Avant Garde" w:cs="Arial"/>
                <w:b/>
                <w:bCs/>
                <w:color w:val="000000" w:themeColor="text1"/>
                <w:lang w:val="es-ES"/>
              </w:rPr>
            </w:pPr>
            <w:r w:rsidRPr="008762D1">
              <w:rPr>
                <w:rFonts w:ascii="ITC Avant Garde" w:hAnsi="ITC Avant Garde" w:cs="Arial"/>
                <w:b/>
                <w:color w:val="000000" w:themeColor="text1"/>
              </w:rPr>
              <w:t>Testigo</w:t>
            </w:r>
          </w:p>
          <w:p w14:paraId="52388CA2" w14:textId="77777777" w:rsidR="007B0A7C" w:rsidRDefault="007B0A7C" w:rsidP="000F0B9F">
            <w:pPr>
              <w:tabs>
                <w:tab w:val="left" w:pos="2730"/>
              </w:tabs>
              <w:spacing w:before="240" w:line="276" w:lineRule="auto"/>
              <w:jc w:val="center"/>
              <w:rPr>
                <w:rFonts w:ascii="ITC Avant Garde" w:hAnsi="ITC Avant Garde" w:cs="Arial"/>
                <w:b/>
                <w:color w:val="0000FF"/>
              </w:rPr>
            </w:pPr>
            <w:r w:rsidRPr="00F031E8">
              <w:rPr>
                <w:rFonts w:ascii="ITC Avant Garde" w:hAnsi="ITC Avant Garde" w:cs="Arial"/>
                <w:b/>
                <w:color w:val="0000FF"/>
              </w:rPr>
              <w:t>[…]</w:t>
            </w:r>
          </w:p>
          <w:p w14:paraId="4131235B" w14:textId="5E77FDBD" w:rsidR="00526FE9" w:rsidRPr="008762D1" w:rsidRDefault="00526FE9" w:rsidP="000F0B9F">
            <w:pPr>
              <w:tabs>
                <w:tab w:val="left" w:pos="2730"/>
              </w:tabs>
              <w:spacing w:before="240" w:line="276" w:lineRule="auto"/>
              <w:jc w:val="center"/>
              <w:rPr>
                <w:rFonts w:ascii="ITC Avant Garde" w:hAnsi="ITC Avant Garde" w:cs="Arial"/>
                <w:b/>
                <w:color w:val="000000" w:themeColor="text1"/>
              </w:rPr>
            </w:pPr>
            <w:r w:rsidRPr="008762D1">
              <w:rPr>
                <w:rFonts w:ascii="ITC Avant Garde" w:hAnsi="ITC Avant Garde" w:cs="Arial"/>
                <w:b/>
                <w:bCs/>
                <w:color w:val="000000" w:themeColor="text1"/>
              </w:rPr>
              <w:t>Por: Teléfonos de México, S.A.B. de C.V.</w:t>
            </w:r>
          </w:p>
        </w:tc>
        <w:tc>
          <w:tcPr>
            <w:tcW w:w="4608" w:type="dxa"/>
          </w:tcPr>
          <w:p w14:paraId="1881356C" w14:textId="7AB7A30E" w:rsidR="000F0B9F" w:rsidRPr="008762D1" w:rsidRDefault="00B93C63" w:rsidP="000F0B9F">
            <w:pPr>
              <w:tabs>
                <w:tab w:val="left" w:pos="2730"/>
              </w:tabs>
              <w:spacing w:before="240" w:line="276" w:lineRule="auto"/>
              <w:jc w:val="center"/>
              <w:rPr>
                <w:rFonts w:ascii="ITC Avant Garde" w:hAnsi="ITC Avant Garde" w:cs="Arial"/>
                <w:b/>
                <w:bCs/>
                <w:color w:val="000000" w:themeColor="text1"/>
              </w:rPr>
            </w:pPr>
            <w:r w:rsidRPr="008762D1">
              <w:rPr>
                <w:rFonts w:ascii="ITC Avant Garde" w:hAnsi="ITC Avant Garde" w:cs="Arial"/>
                <w:b/>
                <w:color w:val="000000" w:themeColor="text1"/>
              </w:rPr>
              <w:t>Testigo</w:t>
            </w:r>
          </w:p>
          <w:p w14:paraId="1C816B51" w14:textId="77777777" w:rsidR="007B0A7C" w:rsidRDefault="007B0A7C" w:rsidP="000F0B9F">
            <w:pPr>
              <w:tabs>
                <w:tab w:val="left" w:pos="2730"/>
              </w:tabs>
              <w:spacing w:before="240" w:line="276" w:lineRule="auto"/>
              <w:jc w:val="center"/>
              <w:rPr>
                <w:rFonts w:ascii="ITC Avant Garde" w:hAnsi="ITC Avant Garde" w:cs="Arial"/>
                <w:b/>
                <w:color w:val="0000FF"/>
              </w:rPr>
            </w:pPr>
            <w:r w:rsidRPr="00F031E8">
              <w:rPr>
                <w:rFonts w:ascii="ITC Avant Garde" w:hAnsi="ITC Avant Garde" w:cs="Arial"/>
                <w:b/>
                <w:color w:val="0000FF"/>
              </w:rPr>
              <w:t>[…]</w:t>
            </w:r>
          </w:p>
          <w:p w14:paraId="30A01831" w14:textId="6D1DFBD9" w:rsidR="00526FE9" w:rsidRPr="008762D1" w:rsidRDefault="007B0A7C" w:rsidP="007B0A7C">
            <w:pPr>
              <w:tabs>
                <w:tab w:val="left" w:pos="2730"/>
              </w:tabs>
              <w:spacing w:before="240" w:line="276" w:lineRule="auto"/>
              <w:jc w:val="center"/>
              <w:rPr>
                <w:rFonts w:ascii="ITC Avant Garde" w:hAnsi="ITC Avant Garde" w:cs="Arial"/>
                <w:b/>
                <w:color w:val="000000" w:themeColor="text1"/>
              </w:rPr>
            </w:pPr>
            <w:r>
              <w:rPr>
                <w:rFonts w:ascii="ITC Avant Garde" w:hAnsi="ITC Avant Garde" w:cs="Arial"/>
                <w:b/>
                <w:bCs/>
                <w:color w:val="000000" w:themeColor="text1"/>
              </w:rPr>
              <w:t xml:space="preserve">Por </w:t>
            </w:r>
            <w:r w:rsidRPr="00F031E8">
              <w:rPr>
                <w:rFonts w:ascii="ITC Avant Garde" w:hAnsi="ITC Avant Garde" w:cs="Arial"/>
                <w:b/>
                <w:color w:val="0000FF"/>
              </w:rPr>
              <w:t>[…]</w:t>
            </w:r>
          </w:p>
        </w:tc>
      </w:tr>
    </w:tbl>
    <w:p w14:paraId="2CF160B4" w14:textId="77777777" w:rsidR="000F0B9F" w:rsidRPr="008762D1" w:rsidRDefault="000F0B9F" w:rsidP="000F0B9F">
      <w:pPr>
        <w:tabs>
          <w:tab w:val="left" w:pos="2730"/>
        </w:tabs>
        <w:autoSpaceDE w:val="0"/>
        <w:autoSpaceDN w:val="0"/>
        <w:adjustRightInd w:val="0"/>
        <w:spacing w:before="240"/>
        <w:jc w:val="both"/>
        <w:rPr>
          <w:rFonts w:ascii="ITC Avant Garde" w:hAnsi="ITC Avant Garde" w:cs="Arial"/>
          <w:color w:val="000000" w:themeColor="text1"/>
          <w:lang w:val="es-ES" w:eastAsia="es-ES"/>
        </w:rPr>
      </w:pPr>
    </w:p>
    <w:p w14:paraId="4C9B73D7" w14:textId="77777777" w:rsidR="00526FE9" w:rsidRPr="008762D1" w:rsidRDefault="00526FE9" w:rsidP="000F0B9F">
      <w:pPr>
        <w:spacing w:before="240"/>
        <w:rPr>
          <w:rFonts w:ascii="ITC Avant Garde" w:hAnsi="ITC Avant Garde"/>
          <w:b/>
          <w:bCs/>
          <w:color w:val="000000" w:themeColor="text1"/>
          <w:kern w:val="28"/>
        </w:rPr>
        <w:sectPr w:rsidR="00526FE9" w:rsidRPr="008762D1">
          <w:pgSz w:w="12240" w:h="15840"/>
          <w:pgMar w:top="1843" w:right="1701" w:bottom="1418" w:left="1701" w:header="720" w:footer="720" w:gutter="0"/>
          <w:pgNumType w:start="1"/>
          <w:cols w:space="720"/>
        </w:sectPr>
      </w:pPr>
    </w:p>
    <w:p w14:paraId="7C07E0D9" w14:textId="77777777" w:rsidR="000F0B9F" w:rsidRPr="008762D1" w:rsidRDefault="00526FE9" w:rsidP="008762D1">
      <w:pPr>
        <w:pStyle w:val="Ttulo3"/>
        <w:tabs>
          <w:tab w:val="left" w:pos="0"/>
        </w:tabs>
        <w:spacing w:before="240"/>
        <w:ind w:left="142"/>
        <w:jc w:val="center"/>
        <w:rPr>
          <w:rFonts w:ascii="ITC Avant Garde" w:hAnsi="ITC Avant Garde"/>
          <w:b w:val="0"/>
          <w:color w:val="000000" w:themeColor="text1"/>
        </w:rPr>
      </w:pPr>
      <w:proofErr w:type="spellStart"/>
      <w:r w:rsidRPr="008762D1">
        <w:rPr>
          <w:rFonts w:ascii="ITC Avant Garde" w:hAnsi="ITC Avant Garde"/>
          <w:color w:val="000000" w:themeColor="text1"/>
        </w:rPr>
        <w:lastRenderedPageBreak/>
        <w:t>Subanexo</w:t>
      </w:r>
      <w:proofErr w:type="spellEnd"/>
      <w:r w:rsidRPr="008762D1">
        <w:rPr>
          <w:rFonts w:ascii="ITC Avant Garde" w:hAnsi="ITC Avant Garde"/>
          <w:color w:val="000000" w:themeColor="text1"/>
        </w:rPr>
        <w:t xml:space="preserve"> B-1</w:t>
      </w:r>
    </w:p>
    <w:p w14:paraId="657FEEA2" w14:textId="43179DA7" w:rsidR="00526FE9" w:rsidRPr="008762D1" w:rsidRDefault="00526FE9" w:rsidP="000F0B9F">
      <w:pPr>
        <w:spacing w:before="240"/>
        <w:jc w:val="center"/>
        <w:rPr>
          <w:rFonts w:ascii="ITC Avant Garde" w:hAnsi="ITC Avant Garde"/>
          <w:b/>
          <w:color w:val="000000" w:themeColor="text1"/>
        </w:rPr>
      </w:pPr>
      <w:r w:rsidRPr="008762D1">
        <w:rPr>
          <w:rFonts w:ascii="ITC Avant Garde" w:hAnsi="ITC Avant Garde"/>
          <w:b/>
          <w:color w:val="000000" w:themeColor="text1"/>
        </w:rPr>
        <w:t xml:space="preserve">Niveles de Costo de </w:t>
      </w:r>
      <w:proofErr w:type="spellStart"/>
      <w:r w:rsidRPr="008762D1">
        <w:rPr>
          <w:rFonts w:ascii="ITC Avant Garde" w:hAnsi="ITC Avant Garde"/>
          <w:b/>
          <w:color w:val="000000" w:themeColor="text1"/>
        </w:rPr>
        <w:t>Coubicación</w:t>
      </w:r>
      <w:proofErr w:type="spellEnd"/>
      <w:r w:rsidRPr="008762D1">
        <w:rPr>
          <w:rFonts w:ascii="ITC Avant Garde" w:hAnsi="ITC Avant Garde"/>
          <w:b/>
          <w:color w:val="000000" w:themeColor="text1"/>
        </w:rPr>
        <w:t xml:space="preserve"> de la Región Económica</w:t>
      </w:r>
    </w:p>
    <w:tbl>
      <w:tblPr>
        <w:tblStyle w:val="Cuadrculadetablaclara"/>
        <w:tblW w:w="0" w:type="auto"/>
        <w:jc w:val="center"/>
        <w:tblLayout w:type="fixed"/>
        <w:tblLook w:val="04A0" w:firstRow="1" w:lastRow="0" w:firstColumn="1" w:lastColumn="0" w:noHBand="0" w:noVBand="1"/>
        <w:tblCaption w:val="Tabla"/>
        <w:tblDescription w:val="Niveles de Costo de Coubicación de la Región Económica"/>
      </w:tblPr>
      <w:tblGrid>
        <w:gridCol w:w="709"/>
        <w:gridCol w:w="3402"/>
        <w:gridCol w:w="1843"/>
        <w:gridCol w:w="2835"/>
      </w:tblGrid>
      <w:tr w:rsidR="008762D1" w:rsidRPr="008762D1" w14:paraId="5044E489" w14:textId="77777777" w:rsidTr="00036A6A">
        <w:trPr>
          <w:tblHeader/>
          <w:jc w:val="center"/>
        </w:trPr>
        <w:tc>
          <w:tcPr>
            <w:tcW w:w="709" w:type="dxa"/>
            <w:hideMark/>
          </w:tcPr>
          <w:p w14:paraId="315ACCAA" w14:textId="77777777" w:rsidR="00526FE9" w:rsidRPr="008762D1" w:rsidRDefault="00526FE9" w:rsidP="00B93C63">
            <w:pPr>
              <w:jc w:val="both"/>
              <w:rPr>
                <w:rFonts w:ascii="ITC Avant Garde" w:hAnsi="ITC Avant Garde"/>
                <w:b/>
                <w:color w:val="000000" w:themeColor="text1"/>
              </w:rPr>
            </w:pPr>
            <w:r w:rsidRPr="008762D1">
              <w:rPr>
                <w:rFonts w:ascii="ITC Avant Garde" w:hAnsi="ITC Avant Garde"/>
                <w:b/>
                <w:color w:val="000000" w:themeColor="text1"/>
              </w:rPr>
              <w:t>No.</w:t>
            </w:r>
          </w:p>
        </w:tc>
        <w:tc>
          <w:tcPr>
            <w:tcW w:w="3402" w:type="dxa"/>
            <w:hideMark/>
          </w:tcPr>
          <w:p w14:paraId="036A5321" w14:textId="77777777" w:rsidR="00526FE9" w:rsidRPr="008762D1" w:rsidRDefault="00526FE9" w:rsidP="00B93C63">
            <w:pPr>
              <w:jc w:val="both"/>
              <w:rPr>
                <w:rFonts w:ascii="ITC Avant Garde" w:hAnsi="ITC Avant Garde"/>
                <w:b/>
                <w:color w:val="000000" w:themeColor="text1"/>
              </w:rPr>
            </w:pPr>
            <w:r w:rsidRPr="008762D1">
              <w:rPr>
                <w:rFonts w:ascii="ITC Avant Garde" w:hAnsi="ITC Avant Garde"/>
                <w:b/>
                <w:color w:val="000000" w:themeColor="text1"/>
              </w:rPr>
              <w:t>CIUDAD</w:t>
            </w:r>
          </w:p>
        </w:tc>
        <w:tc>
          <w:tcPr>
            <w:tcW w:w="1843" w:type="dxa"/>
            <w:hideMark/>
          </w:tcPr>
          <w:p w14:paraId="2103C366" w14:textId="77777777" w:rsidR="00526FE9" w:rsidRPr="008762D1" w:rsidRDefault="00526FE9" w:rsidP="00B93C63">
            <w:pPr>
              <w:jc w:val="both"/>
              <w:rPr>
                <w:rFonts w:ascii="ITC Avant Garde" w:hAnsi="ITC Avant Garde"/>
                <w:b/>
                <w:color w:val="000000" w:themeColor="text1"/>
              </w:rPr>
            </w:pPr>
            <w:r w:rsidRPr="008762D1">
              <w:rPr>
                <w:rFonts w:ascii="ITC Avant Garde" w:hAnsi="ITC Avant Garde"/>
                <w:b/>
                <w:color w:val="000000" w:themeColor="text1"/>
              </w:rPr>
              <w:t>ESTADO</w:t>
            </w:r>
          </w:p>
        </w:tc>
        <w:tc>
          <w:tcPr>
            <w:tcW w:w="2835" w:type="dxa"/>
            <w:hideMark/>
          </w:tcPr>
          <w:p w14:paraId="286BF28D" w14:textId="77777777" w:rsidR="00526FE9" w:rsidRPr="008762D1" w:rsidRDefault="00526FE9" w:rsidP="00B93C63">
            <w:pPr>
              <w:jc w:val="both"/>
              <w:rPr>
                <w:rFonts w:ascii="ITC Avant Garde" w:hAnsi="ITC Avant Garde"/>
                <w:b/>
                <w:color w:val="000000" w:themeColor="text1"/>
              </w:rPr>
            </w:pPr>
            <w:r w:rsidRPr="008762D1">
              <w:rPr>
                <w:rFonts w:ascii="ITC Avant Garde" w:hAnsi="ITC Avant Garde"/>
                <w:b/>
                <w:color w:val="000000" w:themeColor="text1"/>
              </w:rPr>
              <w:t>NIVEL DE COUBICACION</w:t>
            </w:r>
          </w:p>
        </w:tc>
      </w:tr>
      <w:tr w:rsidR="008762D1" w:rsidRPr="008762D1" w14:paraId="67FFA41F" w14:textId="77777777" w:rsidTr="00036A6A">
        <w:trPr>
          <w:jc w:val="center"/>
        </w:trPr>
        <w:tc>
          <w:tcPr>
            <w:tcW w:w="709" w:type="dxa"/>
            <w:hideMark/>
          </w:tcPr>
          <w:p w14:paraId="7E00496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w:t>
            </w:r>
          </w:p>
        </w:tc>
        <w:tc>
          <w:tcPr>
            <w:tcW w:w="3402" w:type="dxa"/>
            <w:hideMark/>
          </w:tcPr>
          <w:p w14:paraId="6C0C513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ACAPULCO</w:t>
            </w:r>
          </w:p>
        </w:tc>
        <w:tc>
          <w:tcPr>
            <w:tcW w:w="1843" w:type="dxa"/>
            <w:hideMark/>
          </w:tcPr>
          <w:p w14:paraId="2F9403A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5C5C9CF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1EA0195C" w14:textId="77777777" w:rsidTr="00036A6A">
        <w:trPr>
          <w:jc w:val="center"/>
        </w:trPr>
        <w:tc>
          <w:tcPr>
            <w:tcW w:w="709" w:type="dxa"/>
            <w:hideMark/>
          </w:tcPr>
          <w:p w14:paraId="5548300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w:t>
            </w:r>
          </w:p>
        </w:tc>
        <w:tc>
          <w:tcPr>
            <w:tcW w:w="3402" w:type="dxa"/>
            <w:hideMark/>
          </w:tcPr>
          <w:p w14:paraId="4D672C3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AGUASCALIENTES</w:t>
            </w:r>
          </w:p>
        </w:tc>
        <w:tc>
          <w:tcPr>
            <w:tcW w:w="1843" w:type="dxa"/>
            <w:hideMark/>
          </w:tcPr>
          <w:p w14:paraId="0A17681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AGS</w:t>
            </w:r>
          </w:p>
        </w:tc>
        <w:tc>
          <w:tcPr>
            <w:tcW w:w="2835" w:type="dxa"/>
            <w:hideMark/>
          </w:tcPr>
          <w:p w14:paraId="3F00D96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0CF5D1EC" w14:textId="77777777" w:rsidTr="00036A6A">
        <w:trPr>
          <w:jc w:val="center"/>
        </w:trPr>
        <w:tc>
          <w:tcPr>
            <w:tcW w:w="709" w:type="dxa"/>
            <w:hideMark/>
          </w:tcPr>
          <w:p w14:paraId="7EF99DF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w:t>
            </w:r>
          </w:p>
        </w:tc>
        <w:tc>
          <w:tcPr>
            <w:tcW w:w="3402" w:type="dxa"/>
            <w:hideMark/>
          </w:tcPr>
          <w:p w14:paraId="492DC16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CAMPECHE</w:t>
            </w:r>
          </w:p>
        </w:tc>
        <w:tc>
          <w:tcPr>
            <w:tcW w:w="1843" w:type="dxa"/>
            <w:hideMark/>
          </w:tcPr>
          <w:p w14:paraId="7B6180E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CAMP</w:t>
            </w:r>
          </w:p>
        </w:tc>
        <w:tc>
          <w:tcPr>
            <w:tcW w:w="2835" w:type="dxa"/>
            <w:hideMark/>
          </w:tcPr>
          <w:p w14:paraId="669C159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D14ED42" w14:textId="77777777" w:rsidTr="00036A6A">
        <w:trPr>
          <w:jc w:val="center"/>
        </w:trPr>
        <w:tc>
          <w:tcPr>
            <w:tcW w:w="709" w:type="dxa"/>
            <w:hideMark/>
          </w:tcPr>
          <w:p w14:paraId="4D8312D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w:t>
            </w:r>
          </w:p>
        </w:tc>
        <w:tc>
          <w:tcPr>
            <w:tcW w:w="3402" w:type="dxa"/>
            <w:hideMark/>
          </w:tcPr>
          <w:p w14:paraId="3875ABB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CANCUN</w:t>
            </w:r>
          </w:p>
        </w:tc>
        <w:tc>
          <w:tcPr>
            <w:tcW w:w="1843" w:type="dxa"/>
            <w:hideMark/>
          </w:tcPr>
          <w:p w14:paraId="1549C33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QROO</w:t>
            </w:r>
          </w:p>
        </w:tc>
        <w:tc>
          <w:tcPr>
            <w:tcW w:w="2835" w:type="dxa"/>
            <w:hideMark/>
          </w:tcPr>
          <w:p w14:paraId="49D28A6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DF60BA6" w14:textId="77777777" w:rsidTr="00036A6A">
        <w:trPr>
          <w:jc w:val="center"/>
        </w:trPr>
        <w:tc>
          <w:tcPr>
            <w:tcW w:w="709" w:type="dxa"/>
            <w:hideMark/>
          </w:tcPr>
          <w:p w14:paraId="16DED44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w:t>
            </w:r>
          </w:p>
        </w:tc>
        <w:tc>
          <w:tcPr>
            <w:tcW w:w="3402" w:type="dxa"/>
            <w:hideMark/>
          </w:tcPr>
          <w:p w14:paraId="7D8225F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MEXICO</w:t>
            </w:r>
          </w:p>
        </w:tc>
        <w:tc>
          <w:tcPr>
            <w:tcW w:w="1843" w:type="dxa"/>
            <w:hideMark/>
          </w:tcPr>
          <w:p w14:paraId="04F873B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MEX</w:t>
            </w:r>
          </w:p>
        </w:tc>
        <w:tc>
          <w:tcPr>
            <w:tcW w:w="2835" w:type="dxa"/>
            <w:hideMark/>
          </w:tcPr>
          <w:p w14:paraId="4A7B0ED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446438FF" w14:textId="77777777" w:rsidTr="00036A6A">
        <w:trPr>
          <w:jc w:val="center"/>
        </w:trPr>
        <w:tc>
          <w:tcPr>
            <w:tcW w:w="709" w:type="dxa"/>
            <w:hideMark/>
          </w:tcPr>
          <w:p w14:paraId="1329D79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w:t>
            </w:r>
          </w:p>
        </w:tc>
        <w:tc>
          <w:tcPr>
            <w:tcW w:w="3402" w:type="dxa"/>
            <w:hideMark/>
          </w:tcPr>
          <w:p w14:paraId="473F9DA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JUAREZ</w:t>
            </w:r>
          </w:p>
        </w:tc>
        <w:tc>
          <w:tcPr>
            <w:tcW w:w="1843" w:type="dxa"/>
            <w:hideMark/>
          </w:tcPr>
          <w:p w14:paraId="6E910B6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w:t>
            </w:r>
          </w:p>
        </w:tc>
        <w:tc>
          <w:tcPr>
            <w:tcW w:w="2835" w:type="dxa"/>
            <w:hideMark/>
          </w:tcPr>
          <w:p w14:paraId="4D6F5D8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1C1C2577" w14:textId="77777777" w:rsidTr="00036A6A">
        <w:trPr>
          <w:jc w:val="center"/>
        </w:trPr>
        <w:tc>
          <w:tcPr>
            <w:tcW w:w="709" w:type="dxa"/>
            <w:hideMark/>
          </w:tcPr>
          <w:p w14:paraId="53EB5B8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w:t>
            </w:r>
          </w:p>
        </w:tc>
        <w:tc>
          <w:tcPr>
            <w:tcW w:w="3402" w:type="dxa"/>
            <w:hideMark/>
          </w:tcPr>
          <w:p w14:paraId="0722985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CD OBREGON </w:t>
            </w:r>
          </w:p>
        </w:tc>
        <w:tc>
          <w:tcPr>
            <w:tcW w:w="1843" w:type="dxa"/>
            <w:hideMark/>
          </w:tcPr>
          <w:p w14:paraId="553C179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7D6162E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F1EFC64" w14:textId="77777777" w:rsidTr="00036A6A">
        <w:trPr>
          <w:jc w:val="center"/>
        </w:trPr>
        <w:tc>
          <w:tcPr>
            <w:tcW w:w="709" w:type="dxa"/>
            <w:hideMark/>
          </w:tcPr>
          <w:p w14:paraId="7ED60F4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w:t>
            </w:r>
          </w:p>
        </w:tc>
        <w:tc>
          <w:tcPr>
            <w:tcW w:w="3402" w:type="dxa"/>
            <w:hideMark/>
          </w:tcPr>
          <w:p w14:paraId="7515412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VICTORIA</w:t>
            </w:r>
          </w:p>
        </w:tc>
        <w:tc>
          <w:tcPr>
            <w:tcW w:w="1843" w:type="dxa"/>
            <w:hideMark/>
          </w:tcPr>
          <w:p w14:paraId="4B725DA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TAMPS</w:t>
            </w:r>
          </w:p>
        </w:tc>
        <w:tc>
          <w:tcPr>
            <w:tcW w:w="2835" w:type="dxa"/>
            <w:hideMark/>
          </w:tcPr>
          <w:p w14:paraId="7D7F7E5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1920401" w14:textId="77777777" w:rsidTr="00036A6A">
        <w:trPr>
          <w:jc w:val="center"/>
        </w:trPr>
        <w:tc>
          <w:tcPr>
            <w:tcW w:w="709" w:type="dxa"/>
            <w:hideMark/>
          </w:tcPr>
          <w:p w14:paraId="02C55D1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w:t>
            </w:r>
          </w:p>
        </w:tc>
        <w:tc>
          <w:tcPr>
            <w:tcW w:w="3402" w:type="dxa"/>
            <w:hideMark/>
          </w:tcPr>
          <w:p w14:paraId="6890661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CELAYA </w:t>
            </w:r>
          </w:p>
        </w:tc>
        <w:tc>
          <w:tcPr>
            <w:tcW w:w="1843" w:type="dxa"/>
            <w:hideMark/>
          </w:tcPr>
          <w:p w14:paraId="06A93F1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25E587A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3CAE3B0A" w14:textId="77777777" w:rsidTr="00036A6A">
        <w:trPr>
          <w:jc w:val="center"/>
        </w:trPr>
        <w:tc>
          <w:tcPr>
            <w:tcW w:w="709" w:type="dxa"/>
            <w:hideMark/>
          </w:tcPr>
          <w:p w14:paraId="09B0A19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w:t>
            </w:r>
          </w:p>
        </w:tc>
        <w:tc>
          <w:tcPr>
            <w:tcW w:w="3402" w:type="dxa"/>
            <w:hideMark/>
          </w:tcPr>
          <w:p w14:paraId="5834B24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CHALCO</w:t>
            </w:r>
          </w:p>
        </w:tc>
        <w:tc>
          <w:tcPr>
            <w:tcW w:w="1843" w:type="dxa"/>
            <w:hideMark/>
          </w:tcPr>
          <w:p w14:paraId="78A7B75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5530656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E059B2B" w14:textId="77777777" w:rsidTr="00036A6A">
        <w:trPr>
          <w:jc w:val="center"/>
        </w:trPr>
        <w:tc>
          <w:tcPr>
            <w:tcW w:w="709" w:type="dxa"/>
            <w:hideMark/>
          </w:tcPr>
          <w:p w14:paraId="031BD1B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w:t>
            </w:r>
          </w:p>
        </w:tc>
        <w:tc>
          <w:tcPr>
            <w:tcW w:w="3402" w:type="dxa"/>
            <w:hideMark/>
          </w:tcPr>
          <w:p w14:paraId="5D482BB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CHIHUAHUA</w:t>
            </w:r>
          </w:p>
        </w:tc>
        <w:tc>
          <w:tcPr>
            <w:tcW w:w="1843" w:type="dxa"/>
            <w:hideMark/>
          </w:tcPr>
          <w:p w14:paraId="34C2296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w:t>
            </w:r>
          </w:p>
        </w:tc>
        <w:tc>
          <w:tcPr>
            <w:tcW w:w="2835" w:type="dxa"/>
            <w:hideMark/>
          </w:tcPr>
          <w:p w14:paraId="17BC4DE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6F27BDA6" w14:textId="77777777" w:rsidTr="00036A6A">
        <w:trPr>
          <w:jc w:val="center"/>
        </w:trPr>
        <w:tc>
          <w:tcPr>
            <w:tcW w:w="709" w:type="dxa"/>
            <w:hideMark/>
          </w:tcPr>
          <w:p w14:paraId="281E8AF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w:t>
            </w:r>
          </w:p>
        </w:tc>
        <w:tc>
          <w:tcPr>
            <w:tcW w:w="3402" w:type="dxa"/>
            <w:hideMark/>
          </w:tcPr>
          <w:p w14:paraId="36C56D4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CHILPANCINGO</w:t>
            </w:r>
          </w:p>
        </w:tc>
        <w:tc>
          <w:tcPr>
            <w:tcW w:w="1843" w:type="dxa"/>
            <w:hideMark/>
          </w:tcPr>
          <w:p w14:paraId="4EFF522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33FF95E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6E9CA16" w14:textId="77777777" w:rsidTr="00036A6A">
        <w:trPr>
          <w:jc w:val="center"/>
        </w:trPr>
        <w:tc>
          <w:tcPr>
            <w:tcW w:w="709" w:type="dxa"/>
            <w:hideMark/>
          </w:tcPr>
          <w:p w14:paraId="62A3829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w:t>
            </w:r>
          </w:p>
        </w:tc>
        <w:tc>
          <w:tcPr>
            <w:tcW w:w="3402" w:type="dxa"/>
            <w:hideMark/>
          </w:tcPr>
          <w:p w14:paraId="35D69DD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MANTE</w:t>
            </w:r>
          </w:p>
        </w:tc>
        <w:tc>
          <w:tcPr>
            <w:tcW w:w="1843" w:type="dxa"/>
            <w:hideMark/>
          </w:tcPr>
          <w:p w14:paraId="05734FE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TAMPS</w:t>
            </w:r>
          </w:p>
        </w:tc>
        <w:tc>
          <w:tcPr>
            <w:tcW w:w="2835" w:type="dxa"/>
            <w:hideMark/>
          </w:tcPr>
          <w:p w14:paraId="33CC126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3131337" w14:textId="77777777" w:rsidTr="00036A6A">
        <w:trPr>
          <w:jc w:val="center"/>
        </w:trPr>
        <w:tc>
          <w:tcPr>
            <w:tcW w:w="709" w:type="dxa"/>
            <w:hideMark/>
          </w:tcPr>
          <w:p w14:paraId="41FA865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w:t>
            </w:r>
          </w:p>
        </w:tc>
        <w:tc>
          <w:tcPr>
            <w:tcW w:w="3402" w:type="dxa"/>
            <w:hideMark/>
          </w:tcPr>
          <w:p w14:paraId="43004AA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COATZACOALCOS</w:t>
            </w:r>
          </w:p>
        </w:tc>
        <w:tc>
          <w:tcPr>
            <w:tcW w:w="1843" w:type="dxa"/>
            <w:hideMark/>
          </w:tcPr>
          <w:p w14:paraId="7D3C2E4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08C906B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7BD4262B" w14:textId="77777777" w:rsidTr="00036A6A">
        <w:trPr>
          <w:jc w:val="center"/>
        </w:trPr>
        <w:tc>
          <w:tcPr>
            <w:tcW w:w="709" w:type="dxa"/>
            <w:hideMark/>
          </w:tcPr>
          <w:p w14:paraId="2DD4E71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w:t>
            </w:r>
          </w:p>
        </w:tc>
        <w:tc>
          <w:tcPr>
            <w:tcW w:w="3402" w:type="dxa"/>
            <w:hideMark/>
          </w:tcPr>
          <w:p w14:paraId="5BB158F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COLIMA</w:t>
            </w:r>
          </w:p>
        </w:tc>
        <w:tc>
          <w:tcPr>
            <w:tcW w:w="1843" w:type="dxa"/>
            <w:hideMark/>
          </w:tcPr>
          <w:p w14:paraId="3DAE8A6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COL</w:t>
            </w:r>
          </w:p>
        </w:tc>
        <w:tc>
          <w:tcPr>
            <w:tcW w:w="2835" w:type="dxa"/>
            <w:hideMark/>
          </w:tcPr>
          <w:p w14:paraId="6C00F56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2533D74" w14:textId="77777777" w:rsidTr="00036A6A">
        <w:trPr>
          <w:jc w:val="center"/>
        </w:trPr>
        <w:tc>
          <w:tcPr>
            <w:tcW w:w="709" w:type="dxa"/>
            <w:hideMark/>
          </w:tcPr>
          <w:p w14:paraId="14C93C3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w:t>
            </w:r>
          </w:p>
        </w:tc>
        <w:tc>
          <w:tcPr>
            <w:tcW w:w="3402" w:type="dxa"/>
            <w:hideMark/>
          </w:tcPr>
          <w:p w14:paraId="0718599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CORDOBA</w:t>
            </w:r>
          </w:p>
        </w:tc>
        <w:tc>
          <w:tcPr>
            <w:tcW w:w="1843" w:type="dxa"/>
            <w:hideMark/>
          </w:tcPr>
          <w:p w14:paraId="4C3275A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46D8B2E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730521E" w14:textId="77777777" w:rsidTr="00036A6A">
        <w:trPr>
          <w:jc w:val="center"/>
        </w:trPr>
        <w:tc>
          <w:tcPr>
            <w:tcW w:w="709" w:type="dxa"/>
            <w:hideMark/>
          </w:tcPr>
          <w:p w14:paraId="4E694B3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w:t>
            </w:r>
          </w:p>
        </w:tc>
        <w:tc>
          <w:tcPr>
            <w:tcW w:w="3402" w:type="dxa"/>
            <w:hideMark/>
          </w:tcPr>
          <w:p w14:paraId="3876EF5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CUAUTLA </w:t>
            </w:r>
          </w:p>
        </w:tc>
        <w:tc>
          <w:tcPr>
            <w:tcW w:w="1843" w:type="dxa"/>
            <w:hideMark/>
          </w:tcPr>
          <w:p w14:paraId="45C8F19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MOR</w:t>
            </w:r>
          </w:p>
        </w:tc>
        <w:tc>
          <w:tcPr>
            <w:tcW w:w="2835" w:type="dxa"/>
            <w:hideMark/>
          </w:tcPr>
          <w:p w14:paraId="48E7FF0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6072708" w14:textId="77777777" w:rsidTr="00036A6A">
        <w:trPr>
          <w:jc w:val="center"/>
        </w:trPr>
        <w:tc>
          <w:tcPr>
            <w:tcW w:w="709" w:type="dxa"/>
            <w:hideMark/>
          </w:tcPr>
          <w:p w14:paraId="63CB0BC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w:t>
            </w:r>
          </w:p>
        </w:tc>
        <w:tc>
          <w:tcPr>
            <w:tcW w:w="3402" w:type="dxa"/>
            <w:hideMark/>
          </w:tcPr>
          <w:p w14:paraId="7F90E5E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CUERNAVACA</w:t>
            </w:r>
          </w:p>
        </w:tc>
        <w:tc>
          <w:tcPr>
            <w:tcW w:w="1843" w:type="dxa"/>
            <w:hideMark/>
          </w:tcPr>
          <w:p w14:paraId="74D0C9B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MOR</w:t>
            </w:r>
          </w:p>
        </w:tc>
        <w:tc>
          <w:tcPr>
            <w:tcW w:w="2835" w:type="dxa"/>
            <w:hideMark/>
          </w:tcPr>
          <w:p w14:paraId="08D7B35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7AD7664E" w14:textId="77777777" w:rsidTr="00036A6A">
        <w:trPr>
          <w:jc w:val="center"/>
        </w:trPr>
        <w:tc>
          <w:tcPr>
            <w:tcW w:w="709" w:type="dxa"/>
            <w:hideMark/>
          </w:tcPr>
          <w:p w14:paraId="6B713A5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w:t>
            </w:r>
          </w:p>
        </w:tc>
        <w:tc>
          <w:tcPr>
            <w:tcW w:w="3402" w:type="dxa"/>
            <w:hideMark/>
          </w:tcPr>
          <w:p w14:paraId="71D9078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CULIACAN </w:t>
            </w:r>
          </w:p>
        </w:tc>
        <w:tc>
          <w:tcPr>
            <w:tcW w:w="1843" w:type="dxa"/>
            <w:hideMark/>
          </w:tcPr>
          <w:p w14:paraId="2E02CF1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SIN</w:t>
            </w:r>
          </w:p>
        </w:tc>
        <w:tc>
          <w:tcPr>
            <w:tcW w:w="2835" w:type="dxa"/>
            <w:hideMark/>
          </w:tcPr>
          <w:p w14:paraId="3CCF616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4972A6DB" w14:textId="77777777" w:rsidTr="00036A6A">
        <w:trPr>
          <w:jc w:val="center"/>
        </w:trPr>
        <w:tc>
          <w:tcPr>
            <w:tcW w:w="709" w:type="dxa"/>
            <w:hideMark/>
          </w:tcPr>
          <w:p w14:paraId="347CB4A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20</w:t>
            </w:r>
          </w:p>
        </w:tc>
        <w:tc>
          <w:tcPr>
            <w:tcW w:w="3402" w:type="dxa"/>
            <w:hideMark/>
          </w:tcPr>
          <w:p w14:paraId="2F2B16F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DURANGO</w:t>
            </w:r>
          </w:p>
        </w:tc>
        <w:tc>
          <w:tcPr>
            <w:tcW w:w="1843" w:type="dxa"/>
            <w:hideMark/>
          </w:tcPr>
          <w:p w14:paraId="231C4F8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DGO</w:t>
            </w:r>
          </w:p>
        </w:tc>
        <w:tc>
          <w:tcPr>
            <w:tcW w:w="2835" w:type="dxa"/>
            <w:hideMark/>
          </w:tcPr>
          <w:p w14:paraId="1023D36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4CA1A4F9" w14:textId="77777777" w:rsidTr="00036A6A">
        <w:trPr>
          <w:jc w:val="center"/>
        </w:trPr>
        <w:tc>
          <w:tcPr>
            <w:tcW w:w="709" w:type="dxa"/>
            <w:hideMark/>
          </w:tcPr>
          <w:p w14:paraId="4E780A7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21</w:t>
            </w:r>
          </w:p>
        </w:tc>
        <w:tc>
          <w:tcPr>
            <w:tcW w:w="3402" w:type="dxa"/>
            <w:hideMark/>
          </w:tcPr>
          <w:p w14:paraId="6E36F23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ENSENADA</w:t>
            </w:r>
          </w:p>
        </w:tc>
        <w:tc>
          <w:tcPr>
            <w:tcW w:w="1843" w:type="dxa"/>
            <w:hideMark/>
          </w:tcPr>
          <w:p w14:paraId="4CF7FB0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BCN</w:t>
            </w:r>
          </w:p>
        </w:tc>
        <w:tc>
          <w:tcPr>
            <w:tcW w:w="2835" w:type="dxa"/>
            <w:hideMark/>
          </w:tcPr>
          <w:p w14:paraId="606638E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C0D5BCE" w14:textId="77777777" w:rsidTr="00036A6A">
        <w:trPr>
          <w:jc w:val="center"/>
        </w:trPr>
        <w:tc>
          <w:tcPr>
            <w:tcW w:w="709" w:type="dxa"/>
            <w:hideMark/>
          </w:tcPr>
          <w:p w14:paraId="7042C0F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22</w:t>
            </w:r>
          </w:p>
        </w:tc>
        <w:tc>
          <w:tcPr>
            <w:tcW w:w="3402" w:type="dxa"/>
            <w:hideMark/>
          </w:tcPr>
          <w:p w14:paraId="4BF2B6A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FRESNILLO</w:t>
            </w:r>
          </w:p>
        </w:tc>
        <w:tc>
          <w:tcPr>
            <w:tcW w:w="1843" w:type="dxa"/>
            <w:hideMark/>
          </w:tcPr>
          <w:p w14:paraId="3954F6C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ZAC</w:t>
            </w:r>
          </w:p>
        </w:tc>
        <w:tc>
          <w:tcPr>
            <w:tcW w:w="2835" w:type="dxa"/>
            <w:hideMark/>
          </w:tcPr>
          <w:p w14:paraId="0B8B5A2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2FE7AC0" w14:textId="77777777" w:rsidTr="00036A6A">
        <w:trPr>
          <w:jc w:val="center"/>
        </w:trPr>
        <w:tc>
          <w:tcPr>
            <w:tcW w:w="709" w:type="dxa"/>
            <w:hideMark/>
          </w:tcPr>
          <w:p w14:paraId="2787FA6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23</w:t>
            </w:r>
          </w:p>
        </w:tc>
        <w:tc>
          <w:tcPr>
            <w:tcW w:w="3402" w:type="dxa"/>
            <w:hideMark/>
          </w:tcPr>
          <w:p w14:paraId="269E11F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GUADALAJARA</w:t>
            </w:r>
          </w:p>
        </w:tc>
        <w:tc>
          <w:tcPr>
            <w:tcW w:w="1843" w:type="dxa"/>
            <w:hideMark/>
          </w:tcPr>
          <w:p w14:paraId="192414B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183A634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496F29DF" w14:textId="77777777" w:rsidTr="00036A6A">
        <w:trPr>
          <w:jc w:val="center"/>
        </w:trPr>
        <w:tc>
          <w:tcPr>
            <w:tcW w:w="709" w:type="dxa"/>
            <w:hideMark/>
          </w:tcPr>
          <w:p w14:paraId="47B7CBD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24</w:t>
            </w:r>
          </w:p>
        </w:tc>
        <w:tc>
          <w:tcPr>
            <w:tcW w:w="3402" w:type="dxa"/>
            <w:hideMark/>
          </w:tcPr>
          <w:p w14:paraId="711340B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GUANAJUATO</w:t>
            </w:r>
          </w:p>
        </w:tc>
        <w:tc>
          <w:tcPr>
            <w:tcW w:w="1843" w:type="dxa"/>
            <w:hideMark/>
          </w:tcPr>
          <w:p w14:paraId="0AA63E8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26BA056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7E7823F3" w14:textId="77777777" w:rsidTr="00036A6A">
        <w:trPr>
          <w:jc w:val="center"/>
        </w:trPr>
        <w:tc>
          <w:tcPr>
            <w:tcW w:w="709" w:type="dxa"/>
            <w:hideMark/>
          </w:tcPr>
          <w:p w14:paraId="48A632D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25</w:t>
            </w:r>
          </w:p>
        </w:tc>
        <w:tc>
          <w:tcPr>
            <w:tcW w:w="3402" w:type="dxa"/>
            <w:hideMark/>
          </w:tcPr>
          <w:p w14:paraId="2AF9525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HERMOSILLO</w:t>
            </w:r>
          </w:p>
        </w:tc>
        <w:tc>
          <w:tcPr>
            <w:tcW w:w="1843" w:type="dxa"/>
            <w:hideMark/>
          </w:tcPr>
          <w:p w14:paraId="39D8FDE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5491F53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5F9E6D51" w14:textId="77777777" w:rsidTr="00036A6A">
        <w:trPr>
          <w:jc w:val="center"/>
        </w:trPr>
        <w:tc>
          <w:tcPr>
            <w:tcW w:w="709" w:type="dxa"/>
            <w:hideMark/>
          </w:tcPr>
          <w:p w14:paraId="6208289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26</w:t>
            </w:r>
          </w:p>
        </w:tc>
        <w:tc>
          <w:tcPr>
            <w:tcW w:w="3402" w:type="dxa"/>
            <w:hideMark/>
          </w:tcPr>
          <w:p w14:paraId="6E0A513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HIDALGO DEL PARRAL</w:t>
            </w:r>
          </w:p>
        </w:tc>
        <w:tc>
          <w:tcPr>
            <w:tcW w:w="1843" w:type="dxa"/>
            <w:hideMark/>
          </w:tcPr>
          <w:p w14:paraId="1CDAB0C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w:t>
            </w:r>
          </w:p>
        </w:tc>
        <w:tc>
          <w:tcPr>
            <w:tcW w:w="2835" w:type="dxa"/>
            <w:hideMark/>
          </w:tcPr>
          <w:p w14:paraId="0CBD923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4F4E2CE" w14:textId="77777777" w:rsidTr="00036A6A">
        <w:trPr>
          <w:jc w:val="center"/>
        </w:trPr>
        <w:tc>
          <w:tcPr>
            <w:tcW w:w="709" w:type="dxa"/>
            <w:hideMark/>
          </w:tcPr>
          <w:p w14:paraId="5BD49E8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27</w:t>
            </w:r>
          </w:p>
        </w:tc>
        <w:tc>
          <w:tcPr>
            <w:tcW w:w="3402" w:type="dxa"/>
            <w:hideMark/>
          </w:tcPr>
          <w:p w14:paraId="06D1B22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IRAPUATO</w:t>
            </w:r>
          </w:p>
        </w:tc>
        <w:tc>
          <w:tcPr>
            <w:tcW w:w="1843" w:type="dxa"/>
            <w:hideMark/>
          </w:tcPr>
          <w:p w14:paraId="35AC3C3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2B8FC13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5F43A76" w14:textId="77777777" w:rsidTr="00036A6A">
        <w:trPr>
          <w:jc w:val="center"/>
        </w:trPr>
        <w:tc>
          <w:tcPr>
            <w:tcW w:w="709" w:type="dxa"/>
            <w:hideMark/>
          </w:tcPr>
          <w:p w14:paraId="01ADC1A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28</w:t>
            </w:r>
          </w:p>
        </w:tc>
        <w:tc>
          <w:tcPr>
            <w:tcW w:w="3402" w:type="dxa"/>
            <w:hideMark/>
          </w:tcPr>
          <w:p w14:paraId="01EB85E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JALAPA</w:t>
            </w:r>
          </w:p>
        </w:tc>
        <w:tc>
          <w:tcPr>
            <w:tcW w:w="1843" w:type="dxa"/>
            <w:hideMark/>
          </w:tcPr>
          <w:p w14:paraId="437BCA8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7F1579F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7BE8B9AA" w14:textId="77777777" w:rsidTr="00036A6A">
        <w:trPr>
          <w:jc w:val="center"/>
        </w:trPr>
        <w:tc>
          <w:tcPr>
            <w:tcW w:w="709" w:type="dxa"/>
            <w:hideMark/>
          </w:tcPr>
          <w:p w14:paraId="3573C35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29</w:t>
            </w:r>
          </w:p>
        </w:tc>
        <w:tc>
          <w:tcPr>
            <w:tcW w:w="3402" w:type="dxa"/>
            <w:hideMark/>
          </w:tcPr>
          <w:p w14:paraId="3518DD6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LA PAZ</w:t>
            </w:r>
          </w:p>
        </w:tc>
        <w:tc>
          <w:tcPr>
            <w:tcW w:w="1843" w:type="dxa"/>
            <w:hideMark/>
          </w:tcPr>
          <w:p w14:paraId="15F2B69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BCS</w:t>
            </w:r>
          </w:p>
        </w:tc>
        <w:tc>
          <w:tcPr>
            <w:tcW w:w="2835" w:type="dxa"/>
            <w:hideMark/>
          </w:tcPr>
          <w:p w14:paraId="1B53E0E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CF776BA" w14:textId="77777777" w:rsidTr="00036A6A">
        <w:trPr>
          <w:jc w:val="center"/>
        </w:trPr>
        <w:tc>
          <w:tcPr>
            <w:tcW w:w="709" w:type="dxa"/>
            <w:hideMark/>
          </w:tcPr>
          <w:p w14:paraId="2A27993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30</w:t>
            </w:r>
          </w:p>
        </w:tc>
        <w:tc>
          <w:tcPr>
            <w:tcW w:w="3402" w:type="dxa"/>
            <w:hideMark/>
          </w:tcPr>
          <w:p w14:paraId="4C2E4A9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LEON</w:t>
            </w:r>
          </w:p>
        </w:tc>
        <w:tc>
          <w:tcPr>
            <w:tcW w:w="1843" w:type="dxa"/>
            <w:hideMark/>
          </w:tcPr>
          <w:p w14:paraId="26F1759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1839657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4164D0D1" w14:textId="77777777" w:rsidTr="00036A6A">
        <w:trPr>
          <w:jc w:val="center"/>
        </w:trPr>
        <w:tc>
          <w:tcPr>
            <w:tcW w:w="709" w:type="dxa"/>
            <w:hideMark/>
          </w:tcPr>
          <w:p w14:paraId="6C92A33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31</w:t>
            </w:r>
          </w:p>
        </w:tc>
        <w:tc>
          <w:tcPr>
            <w:tcW w:w="3402" w:type="dxa"/>
            <w:hideMark/>
          </w:tcPr>
          <w:p w14:paraId="508D947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LERMA</w:t>
            </w:r>
          </w:p>
        </w:tc>
        <w:tc>
          <w:tcPr>
            <w:tcW w:w="1843" w:type="dxa"/>
            <w:hideMark/>
          </w:tcPr>
          <w:p w14:paraId="62852DF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2A42027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1F060C8" w14:textId="77777777" w:rsidTr="00036A6A">
        <w:trPr>
          <w:jc w:val="center"/>
        </w:trPr>
        <w:tc>
          <w:tcPr>
            <w:tcW w:w="709" w:type="dxa"/>
            <w:hideMark/>
          </w:tcPr>
          <w:p w14:paraId="53ABB00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32</w:t>
            </w:r>
          </w:p>
        </w:tc>
        <w:tc>
          <w:tcPr>
            <w:tcW w:w="3402" w:type="dxa"/>
            <w:hideMark/>
          </w:tcPr>
          <w:p w14:paraId="7C8BD42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LOS MOCHIS</w:t>
            </w:r>
          </w:p>
        </w:tc>
        <w:tc>
          <w:tcPr>
            <w:tcW w:w="1843" w:type="dxa"/>
            <w:hideMark/>
          </w:tcPr>
          <w:p w14:paraId="1B57BCE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SIN</w:t>
            </w:r>
          </w:p>
        </w:tc>
        <w:tc>
          <w:tcPr>
            <w:tcW w:w="2835" w:type="dxa"/>
            <w:hideMark/>
          </w:tcPr>
          <w:p w14:paraId="0FF7D69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B14FCE5" w14:textId="77777777" w:rsidTr="00036A6A">
        <w:trPr>
          <w:jc w:val="center"/>
        </w:trPr>
        <w:tc>
          <w:tcPr>
            <w:tcW w:w="709" w:type="dxa"/>
            <w:hideMark/>
          </w:tcPr>
          <w:p w14:paraId="6DBDB12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33</w:t>
            </w:r>
          </w:p>
        </w:tc>
        <w:tc>
          <w:tcPr>
            <w:tcW w:w="3402" w:type="dxa"/>
            <w:hideMark/>
          </w:tcPr>
          <w:p w14:paraId="2141C62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MATAMOROS </w:t>
            </w:r>
          </w:p>
        </w:tc>
        <w:tc>
          <w:tcPr>
            <w:tcW w:w="1843" w:type="dxa"/>
            <w:hideMark/>
          </w:tcPr>
          <w:p w14:paraId="735B038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TAMPS</w:t>
            </w:r>
          </w:p>
        </w:tc>
        <w:tc>
          <w:tcPr>
            <w:tcW w:w="2835" w:type="dxa"/>
            <w:hideMark/>
          </w:tcPr>
          <w:p w14:paraId="05A44C6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2C709F1" w14:textId="77777777" w:rsidTr="00036A6A">
        <w:trPr>
          <w:jc w:val="center"/>
        </w:trPr>
        <w:tc>
          <w:tcPr>
            <w:tcW w:w="709" w:type="dxa"/>
            <w:hideMark/>
          </w:tcPr>
          <w:p w14:paraId="3F36840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34</w:t>
            </w:r>
          </w:p>
        </w:tc>
        <w:tc>
          <w:tcPr>
            <w:tcW w:w="3402" w:type="dxa"/>
            <w:hideMark/>
          </w:tcPr>
          <w:p w14:paraId="2972F7A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MAZATLAN</w:t>
            </w:r>
          </w:p>
        </w:tc>
        <w:tc>
          <w:tcPr>
            <w:tcW w:w="1843" w:type="dxa"/>
            <w:hideMark/>
          </w:tcPr>
          <w:p w14:paraId="3A937A9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SIN</w:t>
            </w:r>
          </w:p>
        </w:tc>
        <w:tc>
          <w:tcPr>
            <w:tcW w:w="2835" w:type="dxa"/>
            <w:hideMark/>
          </w:tcPr>
          <w:p w14:paraId="46D3B4A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102783D5" w14:textId="77777777" w:rsidTr="00036A6A">
        <w:trPr>
          <w:jc w:val="center"/>
        </w:trPr>
        <w:tc>
          <w:tcPr>
            <w:tcW w:w="709" w:type="dxa"/>
            <w:hideMark/>
          </w:tcPr>
          <w:p w14:paraId="68D54C1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35</w:t>
            </w:r>
          </w:p>
        </w:tc>
        <w:tc>
          <w:tcPr>
            <w:tcW w:w="3402" w:type="dxa"/>
            <w:hideMark/>
          </w:tcPr>
          <w:p w14:paraId="59D63ED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MERIDA </w:t>
            </w:r>
          </w:p>
        </w:tc>
        <w:tc>
          <w:tcPr>
            <w:tcW w:w="1843" w:type="dxa"/>
            <w:hideMark/>
          </w:tcPr>
          <w:p w14:paraId="0B35A86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YUC</w:t>
            </w:r>
          </w:p>
        </w:tc>
        <w:tc>
          <w:tcPr>
            <w:tcW w:w="2835" w:type="dxa"/>
            <w:hideMark/>
          </w:tcPr>
          <w:p w14:paraId="248B542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0BB1ED58" w14:textId="77777777" w:rsidTr="00036A6A">
        <w:trPr>
          <w:jc w:val="center"/>
        </w:trPr>
        <w:tc>
          <w:tcPr>
            <w:tcW w:w="709" w:type="dxa"/>
            <w:hideMark/>
          </w:tcPr>
          <w:p w14:paraId="56F92FE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36</w:t>
            </w:r>
          </w:p>
        </w:tc>
        <w:tc>
          <w:tcPr>
            <w:tcW w:w="3402" w:type="dxa"/>
            <w:hideMark/>
          </w:tcPr>
          <w:p w14:paraId="30B0CE7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MEXICALI</w:t>
            </w:r>
          </w:p>
        </w:tc>
        <w:tc>
          <w:tcPr>
            <w:tcW w:w="1843" w:type="dxa"/>
            <w:hideMark/>
          </w:tcPr>
          <w:p w14:paraId="09ECD77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BCN</w:t>
            </w:r>
          </w:p>
        </w:tc>
        <w:tc>
          <w:tcPr>
            <w:tcW w:w="2835" w:type="dxa"/>
            <w:hideMark/>
          </w:tcPr>
          <w:p w14:paraId="5E12A0D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049C8F0E" w14:textId="77777777" w:rsidTr="00036A6A">
        <w:trPr>
          <w:jc w:val="center"/>
        </w:trPr>
        <w:tc>
          <w:tcPr>
            <w:tcW w:w="709" w:type="dxa"/>
            <w:hideMark/>
          </w:tcPr>
          <w:p w14:paraId="43EAFF2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37</w:t>
            </w:r>
          </w:p>
        </w:tc>
        <w:tc>
          <w:tcPr>
            <w:tcW w:w="3402" w:type="dxa"/>
            <w:hideMark/>
          </w:tcPr>
          <w:p w14:paraId="294AEE6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MONTERREY</w:t>
            </w:r>
          </w:p>
        </w:tc>
        <w:tc>
          <w:tcPr>
            <w:tcW w:w="1843" w:type="dxa"/>
            <w:hideMark/>
          </w:tcPr>
          <w:p w14:paraId="3AA9D07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NL</w:t>
            </w:r>
          </w:p>
        </w:tc>
        <w:tc>
          <w:tcPr>
            <w:tcW w:w="2835" w:type="dxa"/>
            <w:hideMark/>
          </w:tcPr>
          <w:p w14:paraId="1FAE812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790E0987" w14:textId="77777777" w:rsidTr="00036A6A">
        <w:trPr>
          <w:jc w:val="center"/>
        </w:trPr>
        <w:tc>
          <w:tcPr>
            <w:tcW w:w="709" w:type="dxa"/>
            <w:hideMark/>
          </w:tcPr>
          <w:p w14:paraId="0528CB2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38</w:t>
            </w:r>
          </w:p>
        </w:tc>
        <w:tc>
          <w:tcPr>
            <w:tcW w:w="3402" w:type="dxa"/>
            <w:hideMark/>
          </w:tcPr>
          <w:p w14:paraId="090754F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MORELIA</w:t>
            </w:r>
          </w:p>
        </w:tc>
        <w:tc>
          <w:tcPr>
            <w:tcW w:w="1843" w:type="dxa"/>
            <w:hideMark/>
          </w:tcPr>
          <w:p w14:paraId="795261F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688608D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610525FD" w14:textId="77777777" w:rsidTr="00036A6A">
        <w:trPr>
          <w:jc w:val="center"/>
        </w:trPr>
        <w:tc>
          <w:tcPr>
            <w:tcW w:w="709" w:type="dxa"/>
            <w:hideMark/>
          </w:tcPr>
          <w:p w14:paraId="2A906FB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39</w:t>
            </w:r>
          </w:p>
        </w:tc>
        <w:tc>
          <w:tcPr>
            <w:tcW w:w="3402" w:type="dxa"/>
            <w:hideMark/>
          </w:tcPr>
          <w:p w14:paraId="02197F4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NUEVO LAREDO</w:t>
            </w:r>
          </w:p>
        </w:tc>
        <w:tc>
          <w:tcPr>
            <w:tcW w:w="1843" w:type="dxa"/>
            <w:hideMark/>
          </w:tcPr>
          <w:p w14:paraId="2735173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TAMPS</w:t>
            </w:r>
          </w:p>
        </w:tc>
        <w:tc>
          <w:tcPr>
            <w:tcW w:w="2835" w:type="dxa"/>
            <w:hideMark/>
          </w:tcPr>
          <w:p w14:paraId="3AC98BC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A63DE40" w14:textId="77777777" w:rsidTr="00036A6A">
        <w:trPr>
          <w:jc w:val="center"/>
        </w:trPr>
        <w:tc>
          <w:tcPr>
            <w:tcW w:w="709" w:type="dxa"/>
            <w:hideMark/>
          </w:tcPr>
          <w:p w14:paraId="1D8F580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lastRenderedPageBreak/>
              <w:t>40</w:t>
            </w:r>
          </w:p>
        </w:tc>
        <w:tc>
          <w:tcPr>
            <w:tcW w:w="3402" w:type="dxa"/>
            <w:hideMark/>
          </w:tcPr>
          <w:p w14:paraId="1F315E8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OAXACA</w:t>
            </w:r>
          </w:p>
        </w:tc>
        <w:tc>
          <w:tcPr>
            <w:tcW w:w="1843" w:type="dxa"/>
            <w:hideMark/>
          </w:tcPr>
          <w:p w14:paraId="44038A2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OAX</w:t>
            </w:r>
          </w:p>
        </w:tc>
        <w:tc>
          <w:tcPr>
            <w:tcW w:w="2835" w:type="dxa"/>
            <w:hideMark/>
          </w:tcPr>
          <w:p w14:paraId="56D6D2D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2024A58" w14:textId="77777777" w:rsidTr="00036A6A">
        <w:trPr>
          <w:jc w:val="center"/>
        </w:trPr>
        <w:tc>
          <w:tcPr>
            <w:tcW w:w="709" w:type="dxa"/>
            <w:hideMark/>
          </w:tcPr>
          <w:p w14:paraId="3451E3B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41</w:t>
            </w:r>
          </w:p>
        </w:tc>
        <w:tc>
          <w:tcPr>
            <w:tcW w:w="3402" w:type="dxa"/>
            <w:hideMark/>
          </w:tcPr>
          <w:p w14:paraId="4498B7B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PACHUCA</w:t>
            </w:r>
          </w:p>
        </w:tc>
        <w:tc>
          <w:tcPr>
            <w:tcW w:w="1843" w:type="dxa"/>
            <w:hideMark/>
          </w:tcPr>
          <w:p w14:paraId="31CDE7F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HGO</w:t>
            </w:r>
          </w:p>
        </w:tc>
        <w:tc>
          <w:tcPr>
            <w:tcW w:w="2835" w:type="dxa"/>
            <w:hideMark/>
          </w:tcPr>
          <w:p w14:paraId="4347BBF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F2E1484" w14:textId="77777777" w:rsidTr="00036A6A">
        <w:trPr>
          <w:jc w:val="center"/>
        </w:trPr>
        <w:tc>
          <w:tcPr>
            <w:tcW w:w="709" w:type="dxa"/>
            <w:hideMark/>
          </w:tcPr>
          <w:p w14:paraId="1CEAEF7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42</w:t>
            </w:r>
          </w:p>
        </w:tc>
        <w:tc>
          <w:tcPr>
            <w:tcW w:w="3402" w:type="dxa"/>
            <w:hideMark/>
          </w:tcPr>
          <w:p w14:paraId="7BF20F8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POZA RICA</w:t>
            </w:r>
          </w:p>
        </w:tc>
        <w:tc>
          <w:tcPr>
            <w:tcW w:w="1843" w:type="dxa"/>
            <w:hideMark/>
          </w:tcPr>
          <w:p w14:paraId="104ACA0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2035E8B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037045B" w14:textId="77777777" w:rsidTr="00036A6A">
        <w:trPr>
          <w:jc w:val="center"/>
        </w:trPr>
        <w:tc>
          <w:tcPr>
            <w:tcW w:w="709" w:type="dxa"/>
            <w:hideMark/>
          </w:tcPr>
          <w:p w14:paraId="35D5E9D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43</w:t>
            </w:r>
          </w:p>
        </w:tc>
        <w:tc>
          <w:tcPr>
            <w:tcW w:w="3402" w:type="dxa"/>
            <w:hideMark/>
          </w:tcPr>
          <w:p w14:paraId="6A78A76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PUEBLA</w:t>
            </w:r>
          </w:p>
        </w:tc>
        <w:tc>
          <w:tcPr>
            <w:tcW w:w="1843" w:type="dxa"/>
            <w:hideMark/>
          </w:tcPr>
          <w:p w14:paraId="31BC2E5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PUE</w:t>
            </w:r>
          </w:p>
        </w:tc>
        <w:tc>
          <w:tcPr>
            <w:tcW w:w="2835" w:type="dxa"/>
            <w:hideMark/>
          </w:tcPr>
          <w:p w14:paraId="1B4B3B8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73563277" w14:textId="77777777" w:rsidTr="00036A6A">
        <w:trPr>
          <w:jc w:val="center"/>
        </w:trPr>
        <w:tc>
          <w:tcPr>
            <w:tcW w:w="709" w:type="dxa"/>
            <w:hideMark/>
          </w:tcPr>
          <w:p w14:paraId="49AEE2E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44</w:t>
            </w:r>
          </w:p>
        </w:tc>
        <w:tc>
          <w:tcPr>
            <w:tcW w:w="3402" w:type="dxa"/>
            <w:hideMark/>
          </w:tcPr>
          <w:p w14:paraId="5542F16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PUERTO VALLARTA</w:t>
            </w:r>
          </w:p>
        </w:tc>
        <w:tc>
          <w:tcPr>
            <w:tcW w:w="1843" w:type="dxa"/>
            <w:hideMark/>
          </w:tcPr>
          <w:p w14:paraId="043425E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5F9F0A2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5B27849" w14:textId="77777777" w:rsidTr="00036A6A">
        <w:trPr>
          <w:jc w:val="center"/>
        </w:trPr>
        <w:tc>
          <w:tcPr>
            <w:tcW w:w="709" w:type="dxa"/>
            <w:hideMark/>
          </w:tcPr>
          <w:p w14:paraId="4CDB026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45</w:t>
            </w:r>
          </w:p>
        </w:tc>
        <w:tc>
          <w:tcPr>
            <w:tcW w:w="3402" w:type="dxa"/>
            <w:hideMark/>
          </w:tcPr>
          <w:p w14:paraId="08F911E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QUERETARO</w:t>
            </w:r>
          </w:p>
        </w:tc>
        <w:tc>
          <w:tcPr>
            <w:tcW w:w="1843" w:type="dxa"/>
            <w:hideMark/>
          </w:tcPr>
          <w:p w14:paraId="5630798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QRO</w:t>
            </w:r>
          </w:p>
        </w:tc>
        <w:tc>
          <w:tcPr>
            <w:tcW w:w="2835" w:type="dxa"/>
            <w:hideMark/>
          </w:tcPr>
          <w:p w14:paraId="1CB2E2C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0FFDA2A0" w14:textId="77777777" w:rsidTr="00036A6A">
        <w:trPr>
          <w:jc w:val="center"/>
        </w:trPr>
        <w:tc>
          <w:tcPr>
            <w:tcW w:w="709" w:type="dxa"/>
            <w:hideMark/>
          </w:tcPr>
          <w:p w14:paraId="7ABD3E6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46</w:t>
            </w:r>
          </w:p>
        </w:tc>
        <w:tc>
          <w:tcPr>
            <w:tcW w:w="3402" w:type="dxa"/>
            <w:hideMark/>
          </w:tcPr>
          <w:p w14:paraId="490F732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REYNOSA</w:t>
            </w:r>
          </w:p>
        </w:tc>
        <w:tc>
          <w:tcPr>
            <w:tcW w:w="1843" w:type="dxa"/>
            <w:hideMark/>
          </w:tcPr>
          <w:p w14:paraId="70C227B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TAMPS</w:t>
            </w:r>
          </w:p>
        </w:tc>
        <w:tc>
          <w:tcPr>
            <w:tcW w:w="2835" w:type="dxa"/>
            <w:hideMark/>
          </w:tcPr>
          <w:p w14:paraId="637B65C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4BE770F" w14:textId="77777777" w:rsidTr="00036A6A">
        <w:trPr>
          <w:jc w:val="center"/>
        </w:trPr>
        <w:tc>
          <w:tcPr>
            <w:tcW w:w="709" w:type="dxa"/>
            <w:hideMark/>
          </w:tcPr>
          <w:p w14:paraId="1054813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47</w:t>
            </w:r>
          </w:p>
        </w:tc>
        <w:tc>
          <w:tcPr>
            <w:tcW w:w="3402" w:type="dxa"/>
            <w:hideMark/>
          </w:tcPr>
          <w:p w14:paraId="14EE9B9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SALTILLO</w:t>
            </w:r>
          </w:p>
        </w:tc>
        <w:tc>
          <w:tcPr>
            <w:tcW w:w="1843" w:type="dxa"/>
            <w:hideMark/>
          </w:tcPr>
          <w:p w14:paraId="20D48E1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COAH</w:t>
            </w:r>
          </w:p>
        </w:tc>
        <w:tc>
          <w:tcPr>
            <w:tcW w:w="2835" w:type="dxa"/>
            <w:hideMark/>
          </w:tcPr>
          <w:p w14:paraId="155B906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445766AA" w14:textId="77777777" w:rsidTr="00036A6A">
        <w:trPr>
          <w:jc w:val="center"/>
        </w:trPr>
        <w:tc>
          <w:tcPr>
            <w:tcW w:w="709" w:type="dxa"/>
            <w:hideMark/>
          </w:tcPr>
          <w:p w14:paraId="49EA5F8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48</w:t>
            </w:r>
          </w:p>
        </w:tc>
        <w:tc>
          <w:tcPr>
            <w:tcW w:w="3402" w:type="dxa"/>
            <w:hideMark/>
          </w:tcPr>
          <w:p w14:paraId="3F5F993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LUIS POTOSI</w:t>
            </w:r>
          </w:p>
        </w:tc>
        <w:tc>
          <w:tcPr>
            <w:tcW w:w="1843" w:type="dxa"/>
            <w:hideMark/>
          </w:tcPr>
          <w:p w14:paraId="5186487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SLP</w:t>
            </w:r>
          </w:p>
        </w:tc>
        <w:tc>
          <w:tcPr>
            <w:tcW w:w="2835" w:type="dxa"/>
            <w:hideMark/>
          </w:tcPr>
          <w:p w14:paraId="2796195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536D01CA" w14:textId="77777777" w:rsidTr="00036A6A">
        <w:trPr>
          <w:jc w:val="center"/>
        </w:trPr>
        <w:tc>
          <w:tcPr>
            <w:tcW w:w="709" w:type="dxa"/>
            <w:hideMark/>
          </w:tcPr>
          <w:p w14:paraId="680A60D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49</w:t>
            </w:r>
          </w:p>
        </w:tc>
        <w:tc>
          <w:tcPr>
            <w:tcW w:w="3402" w:type="dxa"/>
            <w:hideMark/>
          </w:tcPr>
          <w:p w14:paraId="71323D8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TAMPICO</w:t>
            </w:r>
          </w:p>
        </w:tc>
        <w:tc>
          <w:tcPr>
            <w:tcW w:w="1843" w:type="dxa"/>
            <w:hideMark/>
          </w:tcPr>
          <w:p w14:paraId="2F70001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TAMPS</w:t>
            </w:r>
          </w:p>
        </w:tc>
        <w:tc>
          <w:tcPr>
            <w:tcW w:w="2835" w:type="dxa"/>
            <w:hideMark/>
          </w:tcPr>
          <w:p w14:paraId="76C089A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3C364686" w14:textId="77777777" w:rsidTr="00036A6A">
        <w:trPr>
          <w:jc w:val="center"/>
        </w:trPr>
        <w:tc>
          <w:tcPr>
            <w:tcW w:w="709" w:type="dxa"/>
            <w:hideMark/>
          </w:tcPr>
          <w:p w14:paraId="17EA78A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50</w:t>
            </w:r>
          </w:p>
        </w:tc>
        <w:tc>
          <w:tcPr>
            <w:tcW w:w="3402" w:type="dxa"/>
            <w:hideMark/>
          </w:tcPr>
          <w:p w14:paraId="19226E9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TEPIC</w:t>
            </w:r>
          </w:p>
        </w:tc>
        <w:tc>
          <w:tcPr>
            <w:tcW w:w="1843" w:type="dxa"/>
            <w:hideMark/>
          </w:tcPr>
          <w:p w14:paraId="58F94FE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NAY</w:t>
            </w:r>
          </w:p>
        </w:tc>
        <w:tc>
          <w:tcPr>
            <w:tcW w:w="2835" w:type="dxa"/>
            <w:hideMark/>
          </w:tcPr>
          <w:p w14:paraId="6F7A26F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4FC550F" w14:textId="77777777" w:rsidTr="00036A6A">
        <w:trPr>
          <w:jc w:val="center"/>
        </w:trPr>
        <w:tc>
          <w:tcPr>
            <w:tcW w:w="709" w:type="dxa"/>
            <w:hideMark/>
          </w:tcPr>
          <w:p w14:paraId="093C465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51</w:t>
            </w:r>
          </w:p>
        </w:tc>
        <w:tc>
          <w:tcPr>
            <w:tcW w:w="3402" w:type="dxa"/>
            <w:hideMark/>
          </w:tcPr>
          <w:p w14:paraId="6863524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TEXCOCO</w:t>
            </w:r>
          </w:p>
        </w:tc>
        <w:tc>
          <w:tcPr>
            <w:tcW w:w="1843" w:type="dxa"/>
            <w:hideMark/>
          </w:tcPr>
          <w:p w14:paraId="4557F2A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5A05362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BD90CE7" w14:textId="77777777" w:rsidTr="00036A6A">
        <w:trPr>
          <w:jc w:val="center"/>
        </w:trPr>
        <w:tc>
          <w:tcPr>
            <w:tcW w:w="709" w:type="dxa"/>
            <w:hideMark/>
          </w:tcPr>
          <w:p w14:paraId="2F57EBD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52</w:t>
            </w:r>
          </w:p>
        </w:tc>
        <w:tc>
          <w:tcPr>
            <w:tcW w:w="3402" w:type="dxa"/>
            <w:hideMark/>
          </w:tcPr>
          <w:p w14:paraId="5AFEF38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TIJUANA</w:t>
            </w:r>
          </w:p>
        </w:tc>
        <w:tc>
          <w:tcPr>
            <w:tcW w:w="1843" w:type="dxa"/>
            <w:hideMark/>
          </w:tcPr>
          <w:p w14:paraId="01D0DE1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BCN</w:t>
            </w:r>
          </w:p>
        </w:tc>
        <w:tc>
          <w:tcPr>
            <w:tcW w:w="2835" w:type="dxa"/>
            <w:hideMark/>
          </w:tcPr>
          <w:p w14:paraId="44E477E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658AA6FD" w14:textId="77777777" w:rsidTr="00036A6A">
        <w:trPr>
          <w:jc w:val="center"/>
        </w:trPr>
        <w:tc>
          <w:tcPr>
            <w:tcW w:w="709" w:type="dxa"/>
            <w:hideMark/>
          </w:tcPr>
          <w:p w14:paraId="20D0A99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53</w:t>
            </w:r>
          </w:p>
        </w:tc>
        <w:tc>
          <w:tcPr>
            <w:tcW w:w="3402" w:type="dxa"/>
            <w:hideMark/>
          </w:tcPr>
          <w:p w14:paraId="000633F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TLAXCALA</w:t>
            </w:r>
          </w:p>
        </w:tc>
        <w:tc>
          <w:tcPr>
            <w:tcW w:w="1843" w:type="dxa"/>
            <w:hideMark/>
          </w:tcPr>
          <w:p w14:paraId="090429C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TLAX</w:t>
            </w:r>
          </w:p>
        </w:tc>
        <w:tc>
          <w:tcPr>
            <w:tcW w:w="2835" w:type="dxa"/>
            <w:hideMark/>
          </w:tcPr>
          <w:p w14:paraId="7FC28C3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20CDDD9" w14:textId="77777777" w:rsidTr="00036A6A">
        <w:trPr>
          <w:jc w:val="center"/>
        </w:trPr>
        <w:tc>
          <w:tcPr>
            <w:tcW w:w="709" w:type="dxa"/>
            <w:hideMark/>
          </w:tcPr>
          <w:p w14:paraId="133533C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54</w:t>
            </w:r>
          </w:p>
        </w:tc>
        <w:tc>
          <w:tcPr>
            <w:tcW w:w="3402" w:type="dxa"/>
            <w:hideMark/>
          </w:tcPr>
          <w:p w14:paraId="7B0FC9B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TOLUCA</w:t>
            </w:r>
          </w:p>
        </w:tc>
        <w:tc>
          <w:tcPr>
            <w:tcW w:w="1843" w:type="dxa"/>
            <w:hideMark/>
          </w:tcPr>
          <w:p w14:paraId="27BA06F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26AAD07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36245BDA" w14:textId="77777777" w:rsidTr="00036A6A">
        <w:trPr>
          <w:jc w:val="center"/>
        </w:trPr>
        <w:tc>
          <w:tcPr>
            <w:tcW w:w="709" w:type="dxa"/>
            <w:hideMark/>
          </w:tcPr>
          <w:p w14:paraId="42A7752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55</w:t>
            </w:r>
          </w:p>
        </w:tc>
        <w:tc>
          <w:tcPr>
            <w:tcW w:w="3402" w:type="dxa"/>
            <w:hideMark/>
          </w:tcPr>
          <w:p w14:paraId="2D46DA5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TORREON</w:t>
            </w:r>
          </w:p>
        </w:tc>
        <w:tc>
          <w:tcPr>
            <w:tcW w:w="1843" w:type="dxa"/>
            <w:hideMark/>
          </w:tcPr>
          <w:p w14:paraId="12327B9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COAH</w:t>
            </w:r>
          </w:p>
        </w:tc>
        <w:tc>
          <w:tcPr>
            <w:tcW w:w="2835" w:type="dxa"/>
            <w:hideMark/>
          </w:tcPr>
          <w:p w14:paraId="35BD319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w:t>
            </w:r>
          </w:p>
        </w:tc>
      </w:tr>
      <w:tr w:rsidR="008762D1" w:rsidRPr="008762D1" w14:paraId="220C3A80" w14:textId="77777777" w:rsidTr="00036A6A">
        <w:trPr>
          <w:jc w:val="center"/>
        </w:trPr>
        <w:tc>
          <w:tcPr>
            <w:tcW w:w="709" w:type="dxa"/>
            <w:hideMark/>
          </w:tcPr>
          <w:p w14:paraId="2BE4868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56</w:t>
            </w:r>
          </w:p>
        </w:tc>
        <w:tc>
          <w:tcPr>
            <w:tcW w:w="3402" w:type="dxa"/>
            <w:hideMark/>
          </w:tcPr>
          <w:p w14:paraId="790A863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TUXTLA GUTIERREZ</w:t>
            </w:r>
          </w:p>
        </w:tc>
        <w:tc>
          <w:tcPr>
            <w:tcW w:w="1843" w:type="dxa"/>
            <w:hideMark/>
          </w:tcPr>
          <w:p w14:paraId="23CBF89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CHIS</w:t>
            </w:r>
          </w:p>
        </w:tc>
        <w:tc>
          <w:tcPr>
            <w:tcW w:w="2835" w:type="dxa"/>
            <w:hideMark/>
          </w:tcPr>
          <w:p w14:paraId="630DC35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D4BEFA6" w14:textId="77777777" w:rsidTr="00036A6A">
        <w:trPr>
          <w:jc w:val="center"/>
        </w:trPr>
        <w:tc>
          <w:tcPr>
            <w:tcW w:w="709" w:type="dxa"/>
            <w:hideMark/>
          </w:tcPr>
          <w:p w14:paraId="4A2CFC1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57</w:t>
            </w:r>
          </w:p>
        </w:tc>
        <w:tc>
          <w:tcPr>
            <w:tcW w:w="3402" w:type="dxa"/>
            <w:hideMark/>
          </w:tcPr>
          <w:p w14:paraId="3ACF018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VERACRUZ</w:t>
            </w:r>
          </w:p>
        </w:tc>
        <w:tc>
          <w:tcPr>
            <w:tcW w:w="1843" w:type="dxa"/>
            <w:hideMark/>
          </w:tcPr>
          <w:p w14:paraId="327A5A5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1AE9256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MEDIA</w:t>
            </w:r>
          </w:p>
        </w:tc>
      </w:tr>
      <w:tr w:rsidR="008762D1" w:rsidRPr="008762D1" w14:paraId="5F7EC97F" w14:textId="77777777" w:rsidTr="00036A6A">
        <w:trPr>
          <w:jc w:val="center"/>
        </w:trPr>
        <w:tc>
          <w:tcPr>
            <w:tcW w:w="709" w:type="dxa"/>
            <w:hideMark/>
          </w:tcPr>
          <w:p w14:paraId="6535A55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58</w:t>
            </w:r>
          </w:p>
        </w:tc>
        <w:tc>
          <w:tcPr>
            <w:tcW w:w="3402" w:type="dxa"/>
            <w:hideMark/>
          </w:tcPr>
          <w:p w14:paraId="56150C7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VILLAHERMOSA</w:t>
            </w:r>
          </w:p>
        </w:tc>
        <w:tc>
          <w:tcPr>
            <w:tcW w:w="1843" w:type="dxa"/>
            <w:hideMark/>
          </w:tcPr>
          <w:p w14:paraId="008D0A5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TAB</w:t>
            </w:r>
          </w:p>
        </w:tc>
        <w:tc>
          <w:tcPr>
            <w:tcW w:w="2835" w:type="dxa"/>
            <w:hideMark/>
          </w:tcPr>
          <w:p w14:paraId="3DD2EA9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396B859" w14:textId="77777777" w:rsidTr="00036A6A">
        <w:trPr>
          <w:jc w:val="center"/>
        </w:trPr>
        <w:tc>
          <w:tcPr>
            <w:tcW w:w="709" w:type="dxa"/>
            <w:hideMark/>
          </w:tcPr>
          <w:p w14:paraId="1E04F13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59</w:t>
            </w:r>
          </w:p>
        </w:tc>
        <w:tc>
          <w:tcPr>
            <w:tcW w:w="3402" w:type="dxa"/>
            <w:hideMark/>
          </w:tcPr>
          <w:p w14:paraId="3EA7A4C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ZACATECAS</w:t>
            </w:r>
          </w:p>
        </w:tc>
        <w:tc>
          <w:tcPr>
            <w:tcW w:w="1843" w:type="dxa"/>
            <w:hideMark/>
          </w:tcPr>
          <w:p w14:paraId="4069242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ZAC</w:t>
            </w:r>
          </w:p>
        </w:tc>
        <w:tc>
          <w:tcPr>
            <w:tcW w:w="2835" w:type="dxa"/>
            <w:hideMark/>
          </w:tcPr>
          <w:p w14:paraId="1C9DFA4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418B3F9" w14:textId="77777777" w:rsidTr="00036A6A">
        <w:trPr>
          <w:jc w:val="center"/>
        </w:trPr>
        <w:tc>
          <w:tcPr>
            <w:tcW w:w="709" w:type="dxa"/>
            <w:hideMark/>
          </w:tcPr>
          <w:p w14:paraId="782B30A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60</w:t>
            </w:r>
          </w:p>
        </w:tc>
        <w:tc>
          <w:tcPr>
            <w:tcW w:w="3402" w:type="dxa"/>
            <w:hideMark/>
          </w:tcPr>
          <w:p w14:paraId="2BF58BE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ZAMORA</w:t>
            </w:r>
          </w:p>
        </w:tc>
        <w:tc>
          <w:tcPr>
            <w:tcW w:w="1843" w:type="dxa"/>
            <w:hideMark/>
          </w:tcPr>
          <w:p w14:paraId="0604B05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7CED3BB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C902CF9" w14:textId="77777777" w:rsidTr="00036A6A">
        <w:trPr>
          <w:jc w:val="center"/>
        </w:trPr>
        <w:tc>
          <w:tcPr>
            <w:tcW w:w="709" w:type="dxa"/>
            <w:hideMark/>
          </w:tcPr>
          <w:p w14:paraId="32BD1ED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61</w:t>
            </w:r>
          </w:p>
        </w:tc>
        <w:tc>
          <w:tcPr>
            <w:tcW w:w="3402" w:type="dxa"/>
            <w:hideMark/>
          </w:tcPr>
          <w:p w14:paraId="1C55E21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ORIZABA</w:t>
            </w:r>
          </w:p>
        </w:tc>
        <w:tc>
          <w:tcPr>
            <w:tcW w:w="1843" w:type="dxa"/>
            <w:hideMark/>
          </w:tcPr>
          <w:p w14:paraId="25CF9C7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28B1803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B448221" w14:textId="77777777" w:rsidTr="00036A6A">
        <w:trPr>
          <w:jc w:val="center"/>
        </w:trPr>
        <w:tc>
          <w:tcPr>
            <w:tcW w:w="709" w:type="dxa"/>
            <w:hideMark/>
          </w:tcPr>
          <w:p w14:paraId="021A1D6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62</w:t>
            </w:r>
          </w:p>
        </w:tc>
        <w:tc>
          <w:tcPr>
            <w:tcW w:w="3402" w:type="dxa"/>
            <w:hideMark/>
          </w:tcPr>
          <w:p w14:paraId="3EE5F2A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MONCLOVA</w:t>
            </w:r>
          </w:p>
        </w:tc>
        <w:tc>
          <w:tcPr>
            <w:tcW w:w="1843" w:type="dxa"/>
            <w:hideMark/>
          </w:tcPr>
          <w:p w14:paraId="169B819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COAH</w:t>
            </w:r>
          </w:p>
        </w:tc>
        <w:tc>
          <w:tcPr>
            <w:tcW w:w="2835" w:type="dxa"/>
            <w:hideMark/>
          </w:tcPr>
          <w:p w14:paraId="66C629F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2E0F485" w14:textId="77777777" w:rsidTr="00036A6A">
        <w:trPr>
          <w:jc w:val="center"/>
        </w:trPr>
        <w:tc>
          <w:tcPr>
            <w:tcW w:w="709" w:type="dxa"/>
            <w:hideMark/>
          </w:tcPr>
          <w:p w14:paraId="6E411BE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63</w:t>
            </w:r>
          </w:p>
        </w:tc>
        <w:tc>
          <w:tcPr>
            <w:tcW w:w="3402" w:type="dxa"/>
            <w:hideMark/>
          </w:tcPr>
          <w:p w14:paraId="52D9618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URUAPAN</w:t>
            </w:r>
          </w:p>
        </w:tc>
        <w:tc>
          <w:tcPr>
            <w:tcW w:w="1843" w:type="dxa"/>
            <w:hideMark/>
          </w:tcPr>
          <w:p w14:paraId="787FAA2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54AF446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E0EC43F" w14:textId="77777777" w:rsidTr="00036A6A">
        <w:trPr>
          <w:jc w:val="center"/>
        </w:trPr>
        <w:tc>
          <w:tcPr>
            <w:tcW w:w="709" w:type="dxa"/>
            <w:hideMark/>
          </w:tcPr>
          <w:p w14:paraId="6B1173D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64</w:t>
            </w:r>
          </w:p>
        </w:tc>
        <w:tc>
          <w:tcPr>
            <w:tcW w:w="3402" w:type="dxa"/>
            <w:hideMark/>
          </w:tcPr>
          <w:p w14:paraId="17971EE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NOGALES </w:t>
            </w:r>
          </w:p>
        </w:tc>
        <w:tc>
          <w:tcPr>
            <w:tcW w:w="1843" w:type="dxa"/>
            <w:hideMark/>
          </w:tcPr>
          <w:p w14:paraId="1B889B1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62B2BD2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8A77694" w14:textId="77777777" w:rsidTr="00036A6A">
        <w:trPr>
          <w:jc w:val="center"/>
        </w:trPr>
        <w:tc>
          <w:tcPr>
            <w:tcW w:w="709" w:type="dxa"/>
            <w:hideMark/>
          </w:tcPr>
          <w:p w14:paraId="178BB19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65</w:t>
            </w:r>
          </w:p>
        </w:tc>
        <w:tc>
          <w:tcPr>
            <w:tcW w:w="3402" w:type="dxa"/>
            <w:hideMark/>
          </w:tcPr>
          <w:p w14:paraId="65293F9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SALAMANCA</w:t>
            </w:r>
          </w:p>
        </w:tc>
        <w:tc>
          <w:tcPr>
            <w:tcW w:w="1843" w:type="dxa"/>
            <w:hideMark/>
          </w:tcPr>
          <w:p w14:paraId="7A78FA6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0E2B92B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D130ACC" w14:textId="77777777" w:rsidTr="00036A6A">
        <w:trPr>
          <w:jc w:val="center"/>
        </w:trPr>
        <w:tc>
          <w:tcPr>
            <w:tcW w:w="709" w:type="dxa"/>
            <w:hideMark/>
          </w:tcPr>
          <w:p w14:paraId="0B7CE34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66</w:t>
            </w:r>
          </w:p>
        </w:tc>
        <w:tc>
          <w:tcPr>
            <w:tcW w:w="3402" w:type="dxa"/>
            <w:hideMark/>
          </w:tcPr>
          <w:p w14:paraId="512820F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GUAYMAS</w:t>
            </w:r>
          </w:p>
        </w:tc>
        <w:tc>
          <w:tcPr>
            <w:tcW w:w="1843" w:type="dxa"/>
            <w:hideMark/>
          </w:tcPr>
          <w:p w14:paraId="0B866FF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3F82195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30606D3" w14:textId="77777777" w:rsidTr="00036A6A">
        <w:trPr>
          <w:jc w:val="center"/>
        </w:trPr>
        <w:tc>
          <w:tcPr>
            <w:tcW w:w="709" w:type="dxa"/>
            <w:hideMark/>
          </w:tcPr>
          <w:p w14:paraId="5E923F6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67</w:t>
            </w:r>
          </w:p>
        </w:tc>
        <w:tc>
          <w:tcPr>
            <w:tcW w:w="3402" w:type="dxa"/>
            <w:hideMark/>
          </w:tcPr>
          <w:p w14:paraId="2B971FA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MINATITLAN </w:t>
            </w:r>
          </w:p>
        </w:tc>
        <w:tc>
          <w:tcPr>
            <w:tcW w:w="1843" w:type="dxa"/>
            <w:hideMark/>
          </w:tcPr>
          <w:p w14:paraId="5FA6C76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1C3B891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9707BE6" w14:textId="77777777" w:rsidTr="00036A6A">
        <w:trPr>
          <w:jc w:val="center"/>
        </w:trPr>
        <w:tc>
          <w:tcPr>
            <w:tcW w:w="709" w:type="dxa"/>
            <w:hideMark/>
          </w:tcPr>
          <w:p w14:paraId="0940A89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68</w:t>
            </w:r>
          </w:p>
        </w:tc>
        <w:tc>
          <w:tcPr>
            <w:tcW w:w="3402" w:type="dxa"/>
            <w:hideMark/>
          </w:tcPr>
          <w:p w14:paraId="10907DD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TEHUACAN</w:t>
            </w:r>
          </w:p>
        </w:tc>
        <w:tc>
          <w:tcPr>
            <w:tcW w:w="1843" w:type="dxa"/>
            <w:hideMark/>
          </w:tcPr>
          <w:p w14:paraId="1237E0B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PUE</w:t>
            </w:r>
          </w:p>
        </w:tc>
        <w:tc>
          <w:tcPr>
            <w:tcW w:w="2835" w:type="dxa"/>
            <w:hideMark/>
          </w:tcPr>
          <w:p w14:paraId="04B5B1B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3C81747" w14:textId="77777777" w:rsidTr="00036A6A">
        <w:trPr>
          <w:jc w:val="center"/>
        </w:trPr>
        <w:tc>
          <w:tcPr>
            <w:tcW w:w="709" w:type="dxa"/>
            <w:hideMark/>
          </w:tcPr>
          <w:p w14:paraId="7B4DF10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69</w:t>
            </w:r>
          </w:p>
        </w:tc>
        <w:tc>
          <w:tcPr>
            <w:tcW w:w="3402" w:type="dxa"/>
            <w:hideMark/>
          </w:tcPr>
          <w:p w14:paraId="7824AED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TULANCINGO</w:t>
            </w:r>
          </w:p>
        </w:tc>
        <w:tc>
          <w:tcPr>
            <w:tcW w:w="1843" w:type="dxa"/>
            <w:hideMark/>
          </w:tcPr>
          <w:p w14:paraId="3255A1A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HGO</w:t>
            </w:r>
          </w:p>
        </w:tc>
        <w:tc>
          <w:tcPr>
            <w:tcW w:w="2835" w:type="dxa"/>
            <w:hideMark/>
          </w:tcPr>
          <w:p w14:paraId="1A27CBF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FA92D9D" w14:textId="77777777" w:rsidTr="00036A6A">
        <w:trPr>
          <w:jc w:val="center"/>
        </w:trPr>
        <w:tc>
          <w:tcPr>
            <w:tcW w:w="709" w:type="dxa"/>
            <w:hideMark/>
          </w:tcPr>
          <w:p w14:paraId="2E31A4C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70</w:t>
            </w:r>
          </w:p>
        </w:tc>
        <w:tc>
          <w:tcPr>
            <w:tcW w:w="3402" w:type="dxa"/>
            <w:hideMark/>
          </w:tcPr>
          <w:p w14:paraId="418B6A0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IGUALA</w:t>
            </w:r>
          </w:p>
        </w:tc>
        <w:tc>
          <w:tcPr>
            <w:tcW w:w="1843" w:type="dxa"/>
            <w:hideMark/>
          </w:tcPr>
          <w:p w14:paraId="1C6F01B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69A23A7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16692CB" w14:textId="77777777" w:rsidTr="00036A6A">
        <w:trPr>
          <w:jc w:val="center"/>
        </w:trPr>
        <w:tc>
          <w:tcPr>
            <w:tcW w:w="709" w:type="dxa"/>
            <w:hideMark/>
          </w:tcPr>
          <w:p w14:paraId="68479FB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71</w:t>
            </w:r>
          </w:p>
        </w:tc>
        <w:tc>
          <w:tcPr>
            <w:tcW w:w="3402" w:type="dxa"/>
            <w:hideMark/>
          </w:tcPr>
          <w:p w14:paraId="1EC7652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PIEDRAS NEGRAS</w:t>
            </w:r>
          </w:p>
        </w:tc>
        <w:tc>
          <w:tcPr>
            <w:tcW w:w="1843" w:type="dxa"/>
            <w:hideMark/>
          </w:tcPr>
          <w:p w14:paraId="628181E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COAH</w:t>
            </w:r>
          </w:p>
        </w:tc>
        <w:tc>
          <w:tcPr>
            <w:tcW w:w="2835" w:type="dxa"/>
            <w:hideMark/>
          </w:tcPr>
          <w:p w14:paraId="1D61863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17B5523" w14:textId="77777777" w:rsidTr="00036A6A">
        <w:trPr>
          <w:jc w:val="center"/>
        </w:trPr>
        <w:tc>
          <w:tcPr>
            <w:tcW w:w="709" w:type="dxa"/>
            <w:hideMark/>
          </w:tcPr>
          <w:p w14:paraId="171A530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72</w:t>
            </w:r>
          </w:p>
        </w:tc>
        <w:tc>
          <w:tcPr>
            <w:tcW w:w="3402" w:type="dxa"/>
            <w:hideMark/>
          </w:tcPr>
          <w:p w14:paraId="67F0393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MANZANILLO</w:t>
            </w:r>
          </w:p>
        </w:tc>
        <w:tc>
          <w:tcPr>
            <w:tcW w:w="1843" w:type="dxa"/>
            <w:hideMark/>
          </w:tcPr>
          <w:p w14:paraId="05CFCE9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COL</w:t>
            </w:r>
          </w:p>
        </w:tc>
        <w:tc>
          <w:tcPr>
            <w:tcW w:w="2835" w:type="dxa"/>
            <w:hideMark/>
          </w:tcPr>
          <w:p w14:paraId="103662D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8A8FECA" w14:textId="77777777" w:rsidTr="00036A6A">
        <w:trPr>
          <w:jc w:val="center"/>
        </w:trPr>
        <w:tc>
          <w:tcPr>
            <w:tcW w:w="709" w:type="dxa"/>
            <w:hideMark/>
          </w:tcPr>
          <w:p w14:paraId="437DD09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73</w:t>
            </w:r>
          </w:p>
        </w:tc>
        <w:tc>
          <w:tcPr>
            <w:tcW w:w="3402" w:type="dxa"/>
            <w:hideMark/>
          </w:tcPr>
          <w:p w14:paraId="4CB7350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LA PIEDAD</w:t>
            </w:r>
          </w:p>
        </w:tc>
        <w:tc>
          <w:tcPr>
            <w:tcW w:w="1843" w:type="dxa"/>
            <w:hideMark/>
          </w:tcPr>
          <w:p w14:paraId="2B79112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5E94AC7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1C476D5" w14:textId="77777777" w:rsidTr="00036A6A">
        <w:trPr>
          <w:jc w:val="center"/>
        </w:trPr>
        <w:tc>
          <w:tcPr>
            <w:tcW w:w="709" w:type="dxa"/>
            <w:hideMark/>
          </w:tcPr>
          <w:p w14:paraId="56434FA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74</w:t>
            </w:r>
          </w:p>
        </w:tc>
        <w:tc>
          <w:tcPr>
            <w:tcW w:w="3402" w:type="dxa"/>
            <w:hideMark/>
          </w:tcPr>
          <w:p w14:paraId="6F53329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LUIS RIO COLORADO</w:t>
            </w:r>
          </w:p>
        </w:tc>
        <w:tc>
          <w:tcPr>
            <w:tcW w:w="1843" w:type="dxa"/>
            <w:hideMark/>
          </w:tcPr>
          <w:p w14:paraId="65C9FB1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10B3836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6AF2486" w14:textId="77777777" w:rsidTr="00036A6A">
        <w:trPr>
          <w:jc w:val="center"/>
        </w:trPr>
        <w:tc>
          <w:tcPr>
            <w:tcW w:w="709" w:type="dxa"/>
            <w:hideMark/>
          </w:tcPr>
          <w:p w14:paraId="790FAB9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75</w:t>
            </w:r>
          </w:p>
        </w:tc>
        <w:tc>
          <w:tcPr>
            <w:tcW w:w="3402" w:type="dxa"/>
            <w:hideMark/>
          </w:tcPr>
          <w:p w14:paraId="69375E8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GUZMAN</w:t>
            </w:r>
          </w:p>
        </w:tc>
        <w:tc>
          <w:tcPr>
            <w:tcW w:w="1843" w:type="dxa"/>
            <w:hideMark/>
          </w:tcPr>
          <w:p w14:paraId="0C325FC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0390022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F5B161D" w14:textId="77777777" w:rsidTr="00036A6A">
        <w:trPr>
          <w:jc w:val="center"/>
        </w:trPr>
        <w:tc>
          <w:tcPr>
            <w:tcW w:w="709" w:type="dxa"/>
            <w:hideMark/>
          </w:tcPr>
          <w:p w14:paraId="481915C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76</w:t>
            </w:r>
          </w:p>
        </w:tc>
        <w:tc>
          <w:tcPr>
            <w:tcW w:w="3402" w:type="dxa"/>
            <w:hideMark/>
          </w:tcPr>
          <w:p w14:paraId="056538C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CUAUHTEMOC</w:t>
            </w:r>
          </w:p>
        </w:tc>
        <w:tc>
          <w:tcPr>
            <w:tcW w:w="1843" w:type="dxa"/>
            <w:hideMark/>
          </w:tcPr>
          <w:p w14:paraId="173F063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w:t>
            </w:r>
          </w:p>
        </w:tc>
        <w:tc>
          <w:tcPr>
            <w:tcW w:w="2835" w:type="dxa"/>
            <w:hideMark/>
          </w:tcPr>
          <w:p w14:paraId="67DDB44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7F2CDCC" w14:textId="77777777" w:rsidTr="00036A6A">
        <w:trPr>
          <w:jc w:val="center"/>
        </w:trPr>
        <w:tc>
          <w:tcPr>
            <w:tcW w:w="709" w:type="dxa"/>
            <w:hideMark/>
          </w:tcPr>
          <w:p w14:paraId="246C211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77</w:t>
            </w:r>
          </w:p>
        </w:tc>
        <w:tc>
          <w:tcPr>
            <w:tcW w:w="3402" w:type="dxa"/>
            <w:hideMark/>
          </w:tcPr>
          <w:p w14:paraId="633E3EE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JUAN DEL RIO</w:t>
            </w:r>
          </w:p>
        </w:tc>
        <w:tc>
          <w:tcPr>
            <w:tcW w:w="1843" w:type="dxa"/>
            <w:hideMark/>
          </w:tcPr>
          <w:p w14:paraId="6601068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QRO</w:t>
            </w:r>
          </w:p>
        </w:tc>
        <w:tc>
          <w:tcPr>
            <w:tcW w:w="2835" w:type="dxa"/>
            <w:hideMark/>
          </w:tcPr>
          <w:p w14:paraId="5065441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CA402A4" w14:textId="77777777" w:rsidTr="00036A6A">
        <w:trPr>
          <w:jc w:val="center"/>
        </w:trPr>
        <w:tc>
          <w:tcPr>
            <w:tcW w:w="709" w:type="dxa"/>
            <w:hideMark/>
          </w:tcPr>
          <w:p w14:paraId="18CDECF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78</w:t>
            </w:r>
          </w:p>
        </w:tc>
        <w:tc>
          <w:tcPr>
            <w:tcW w:w="3402" w:type="dxa"/>
            <w:hideMark/>
          </w:tcPr>
          <w:p w14:paraId="2F08A21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NAVOJOA</w:t>
            </w:r>
          </w:p>
        </w:tc>
        <w:tc>
          <w:tcPr>
            <w:tcW w:w="1843" w:type="dxa"/>
            <w:hideMark/>
          </w:tcPr>
          <w:p w14:paraId="793FF8F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263F120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78D211A" w14:textId="77777777" w:rsidTr="00036A6A">
        <w:trPr>
          <w:jc w:val="center"/>
        </w:trPr>
        <w:tc>
          <w:tcPr>
            <w:tcW w:w="709" w:type="dxa"/>
            <w:hideMark/>
          </w:tcPr>
          <w:p w14:paraId="1B0634D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79</w:t>
            </w:r>
          </w:p>
        </w:tc>
        <w:tc>
          <w:tcPr>
            <w:tcW w:w="3402" w:type="dxa"/>
            <w:hideMark/>
          </w:tcPr>
          <w:p w14:paraId="58258E6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SAHUAYO</w:t>
            </w:r>
          </w:p>
        </w:tc>
        <w:tc>
          <w:tcPr>
            <w:tcW w:w="1843" w:type="dxa"/>
            <w:hideMark/>
          </w:tcPr>
          <w:p w14:paraId="33D4895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7BA4ACF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DE47DDA" w14:textId="77777777" w:rsidTr="00036A6A">
        <w:trPr>
          <w:jc w:val="center"/>
        </w:trPr>
        <w:tc>
          <w:tcPr>
            <w:tcW w:w="709" w:type="dxa"/>
            <w:hideMark/>
          </w:tcPr>
          <w:p w14:paraId="7C3BCF7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80</w:t>
            </w:r>
          </w:p>
        </w:tc>
        <w:tc>
          <w:tcPr>
            <w:tcW w:w="3402" w:type="dxa"/>
            <w:hideMark/>
          </w:tcPr>
          <w:p w14:paraId="1D92ED2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ATLIXCO</w:t>
            </w:r>
          </w:p>
        </w:tc>
        <w:tc>
          <w:tcPr>
            <w:tcW w:w="1843" w:type="dxa"/>
            <w:hideMark/>
          </w:tcPr>
          <w:p w14:paraId="28A10B2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PUE</w:t>
            </w:r>
          </w:p>
        </w:tc>
        <w:tc>
          <w:tcPr>
            <w:tcW w:w="2835" w:type="dxa"/>
            <w:hideMark/>
          </w:tcPr>
          <w:p w14:paraId="45356EB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D30A8C0" w14:textId="77777777" w:rsidTr="00036A6A">
        <w:trPr>
          <w:jc w:val="center"/>
        </w:trPr>
        <w:tc>
          <w:tcPr>
            <w:tcW w:w="709" w:type="dxa"/>
            <w:hideMark/>
          </w:tcPr>
          <w:p w14:paraId="31BCF03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81</w:t>
            </w:r>
          </w:p>
        </w:tc>
        <w:tc>
          <w:tcPr>
            <w:tcW w:w="3402" w:type="dxa"/>
            <w:hideMark/>
          </w:tcPr>
          <w:p w14:paraId="3857FD3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APIZACO</w:t>
            </w:r>
          </w:p>
        </w:tc>
        <w:tc>
          <w:tcPr>
            <w:tcW w:w="1843" w:type="dxa"/>
            <w:hideMark/>
          </w:tcPr>
          <w:p w14:paraId="229915C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TLAX</w:t>
            </w:r>
          </w:p>
        </w:tc>
        <w:tc>
          <w:tcPr>
            <w:tcW w:w="2835" w:type="dxa"/>
            <w:hideMark/>
          </w:tcPr>
          <w:p w14:paraId="65E4FFA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349E4A3" w14:textId="77777777" w:rsidTr="00036A6A">
        <w:trPr>
          <w:jc w:val="center"/>
        </w:trPr>
        <w:tc>
          <w:tcPr>
            <w:tcW w:w="709" w:type="dxa"/>
            <w:hideMark/>
          </w:tcPr>
          <w:p w14:paraId="6EC6839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82</w:t>
            </w:r>
          </w:p>
        </w:tc>
        <w:tc>
          <w:tcPr>
            <w:tcW w:w="3402" w:type="dxa"/>
            <w:hideMark/>
          </w:tcPr>
          <w:p w14:paraId="50B45B9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VALLES</w:t>
            </w:r>
          </w:p>
        </w:tc>
        <w:tc>
          <w:tcPr>
            <w:tcW w:w="1843" w:type="dxa"/>
            <w:hideMark/>
          </w:tcPr>
          <w:p w14:paraId="322B121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SLP</w:t>
            </w:r>
          </w:p>
        </w:tc>
        <w:tc>
          <w:tcPr>
            <w:tcW w:w="2835" w:type="dxa"/>
            <w:hideMark/>
          </w:tcPr>
          <w:p w14:paraId="3960D7F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65CC70F" w14:textId="77777777" w:rsidTr="00036A6A">
        <w:trPr>
          <w:jc w:val="center"/>
        </w:trPr>
        <w:tc>
          <w:tcPr>
            <w:tcW w:w="709" w:type="dxa"/>
            <w:hideMark/>
          </w:tcPr>
          <w:p w14:paraId="54D52D1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lastRenderedPageBreak/>
              <w:t>83</w:t>
            </w:r>
          </w:p>
        </w:tc>
        <w:tc>
          <w:tcPr>
            <w:tcW w:w="3402" w:type="dxa"/>
            <w:hideMark/>
          </w:tcPr>
          <w:p w14:paraId="11307A9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TEPATITLAN</w:t>
            </w:r>
          </w:p>
        </w:tc>
        <w:tc>
          <w:tcPr>
            <w:tcW w:w="1843" w:type="dxa"/>
            <w:hideMark/>
          </w:tcPr>
          <w:p w14:paraId="0BDBD08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0ADB33B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86A4041" w14:textId="77777777" w:rsidTr="00036A6A">
        <w:trPr>
          <w:jc w:val="center"/>
        </w:trPr>
        <w:tc>
          <w:tcPr>
            <w:tcW w:w="709" w:type="dxa"/>
            <w:hideMark/>
          </w:tcPr>
          <w:p w14:paraId="004D456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84</w:t>
            </w:r>
          </w:p>
        </w:tc>
        <w:tc>
          <w:tcPr>
            <w:tcW w:w="3402" w:type="dxa"/>
            <w:hideMark/>
          </w:tcPr>
          <w:p w14:paraId="2F6CF1D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OCOTLAN </w:t>
            </w:r>
          </w:p>
        </w:tc>
        <w:tc>
          <w:tcPr>
            <w:tcW w:w="1843" w:type="dxa"/>
            <w:hideMark/>
          </w:tcPr>
          <w:p w14:paraId="0186820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2036FBE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D0C91D7" w14:textId="77777777" w:rsidTr="00036A6A">
        <w:trPr>
          <w:jc w:val="center"/>
        </w:trPr>
        <w:tc>
          <w:tcPr>
            <w:tcW w:w="709" w:type="dxa"/>
            <w:hideMark/>
          </w:tcPr>
          <w:p w14:paraId="1F2FEE9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85</w:t>
            </w:r>
          </w:p>
        </w:tc>
        <w:tc>
          <w:tcPr>
            <w:tcW w:w="3402" w:type="dxa"/>
            <w:hideMark/>
          </w:tcPr>
          <w:p w14:paraId="0CE016F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TAXCO</w:t>
            </w:r>
          </w:p>
        </w:tc>
        <w:tc>
          <w:tcPr>
            <w:tcW w:w="1843" w:type="dxa"/>
            <w:hideMark/>
          </w:tcPr>
          <w:p w14:paraId="0BDD662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47A4EC5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FF4A3D2" w14:textId="77777777" w:rsidTr="00036A6A">
        <w:trPr>
          <w:jc w:val="center"/>
        </w:trPr>
        <w:tc>
          <w:tcPr>
            <w:tcW w:w="709" w:type="dxa"/>
            <w:hideMark/>
          </w:tcPr>
          <w:p w14:paraId="0643A7B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86</w:t>
            </w:r>
          </w:p>
        </w:tc>
        <w:tc>
          <w:tcPr>
            <w:tcW w:w="3402" w:type="dxa"/>
            <w:hideMark/>
          </w:tcPr>
          <w:p w14:paraId="6C8603A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LAGOS DE MORENO</w:t>
            </w:r>
          </w:p>
        </w:tc>
        <w:tc>
          <w:tcPr>
            <w:tcW w:w="1843" w:type="dxa"/>
            <w:hideMark/>
          </w:tcPr>
          <w:p w14:paraId="6C47E8C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1DB9E78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06248EE" w14:textId="77777777" w:rsidTr="00036A6A">
        <w:trPr>
          <w:jc w:val="center"/>
        </w:trPr>
        <w:tc>
          <w:tcPr>
            <w:tcW w:w="709" w:type="dxa"/>
            <w:hideMark/>
          </w:tcPr>
          <w:p w14:paraId="673DB7C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87</w:t>
            </w:r>
          </w:p>
        </w:tc>
        <w:tc>
          <w:tcPr>
            <w:tcW w:w="3402" w:type="dxa"/>
            <w:hideMark/>
          </w:tcPr>
          <w:p w14:paraId="45C1583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APATZINGAN </w:t>
            </w:r>
          </w:p>
        </w:tc>
        <w:tc>
          <w:tcPr>
            <w:tcW w:w="1843" w:type="dxa"/>
            <w:hideMark/>
          </w:tcPr>
          <w:p w14:paraId="2563066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62F9B35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7EE1D5A" w14:textId="77777777" w:rsidTr="00036A6A">
        <w:trPr>
          <w:jc w:val="center"/>
        </w:trPr>
        <w:tc>
          <w:tcPr>
            <w:tcW w:w="709" w:type="dxa"/>
            <w:hideMark/>
          </w:tcPr>
          <w:p w14:paraId="7594A60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88</w:t>
            </w:r>
          </w:p>
        </w:tc>
        <w:tc>
          <w:tcPr>
            <w:tcW w:w="3402" w:type="dxa"/>
            <w:hideMark/>
          </w:tcPr>
          <w:p w14:paraId="62B1628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GUASAVE</w:t>
            </w:r>
          </w:p>
        </w:tc>
        <w:tc>
          <w:tcPr>
            <w:tcW w:w="1843" w:type="dxa"/>
            <w:hideMark/>
          </w:tcPr>
          <w:p w14:paraId="4A1CEFA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53232FD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6192FEC" w14:textId="77777777" w:rsidTr="00036A6A">
        <w:trPr>
          <w:jc w:val="center"/>
        </w:trPr>
        <w:tc>
          <w:tcPr>
            <w:tcW w:w="709" w:type="dxa"/>
            <w:hideMark/>
          </w:tcPr>
          <w:p w14:paraId="54E8B08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89</w:t>
            </w:r>
          </w:p>
        </w:tc>
        <w:tc>
          <w:tcPr>
            <w:tcW w:w="3402" w:type="dxa"/>
            <w:hideMark/>
          </w:tcPr>
          <w:p w14:paraId="7DCA0D8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MIGUEL ALLENDE</w:t>
            </w:r>
          </w:p>
        </w:tc>
        <w:tc>
          <w:tcPr>
            <w:tcW w:w="1843" w:type="dxa"/>
            <w:hideMark/>
          </w:tcPr>
          <w:p w14:paraId="4B75DAF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035F324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14FD500" w14:textId="77777777" w:rsidTr="00036A6A">
        <w:trPr>
          <w:jc w:val="center"/>
        </w:trPr>
        <w:tc>
          <w:tcPr>
            <w:tcW w:w="709" w:type="dxa"/>
            <w:hideMark/>
          </w:tcPr>
          <w:p w14:paraId="3F50784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90</w:t>
            </w:r>
          </w:p>
        </w:tc>
        <w:tc>
          <w:tcPr>
            <w:tcW w:w="3402" w:type="dxa"/>
            <w:hideMark/>
          </w:tcPr>
          <w:p w14:paraId="0D232C4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TEZIUTLAN</w:t>
            </w:r>
          </w:p>
        </w:tc>
        <w:tc>
          <w:tcPr>
            <w:tcW w:w="1843" w:type="dxa"/>
            <w:hideMark/>
          </w:tcPr>
          <w:p w14:paraId="1965D27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PUE</w:t>
            </w:r>
          </w:p>
        </w:tc>
        <w:tc>
          <w:tcPr>
            <w:tcW w:w="2835" w:type="dxa"/>
            <w:hideMark/>
          </w:tcPr>
          <w:p w14:paraId="72480E0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613A8C6" w14:textId="77777777" w:rsidTr="00036A6A">
        <w:trPr>
          <w:jc w:val="center"/>
        </w:trPr>
        <w:tc>
          <w:tcPr>
            <w:tcW w:w="709" w:type="dxa"/>
            <w:hideMark/>
          </w:tcPr>
          <w:p w14:paraId="7EAB378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91</w:t>
            </w:r>
          </w:p>
        </w:tc>
        <w:tc>
          <w:tcPr>
            <w:tcW w:w="3402" w:type="dxa"/>
            <w:hideMark/>
          </w:tcPr>
          <w:p w14:paraId="097EA17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ROSARITO</w:t>
            </w:r>
          </w:p>
        </w:tc>
        <w:tc>
          <w:tcPr>
            <w:tcW w:w="1843" w:type="dxa"/>
            <w:hideMark/>
          </w:tcPr>
          <w:p w14:paraId="5A0547A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BCN</w:t>
            </w:r>
          </w:p>
        </w:tc>
        <w:tc>
          <w:tcPr>
            <w:tcW w:w="2835" w:type="dxa"/>
            <w:hideMark/>
          </w:tcPr>
          <w:p w14:paraId="179A509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684AC54" w14:textId="77777777" w:rsidTr="00036A6A">
        <w:trPr>
          <w:jc w:val="center"/>
        </w:trPr>
        <w:tc>
          <w:tcPr>
            <w:tcW w:w="709" w:type="dxa"/>
            <w:hideMark/>
          </w:tcPr>
          <w:p w14:paraId="0B3E729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92</w:t>
            </w:r>
          </w:p>
        </w:tc>
        <w:tc>
          <w:tcPr>
            <w:tcW w:w="3402" w:type="dxa"/>
            <w:hideMark/>
          </w:tcPr>
          <w:p w14:paraId="75BE1F2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TULA</w:t>
            </w:r>
          </w:p>
        </w:tc>
        <w:tc>
          <w:tcPr>
            <w:tcW w:w="1843" w:type="dxa"/>
            <w:hideMark/>
          </w:tcPr>
          <w:p w14:paraId="19BF273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HGO</w:t>
            </w:r>
          </w:p>
        </w:tc>
        <w:tc>
          <w:tcPr>
            <w:tcW w:w="2835" w:type="dxa"/>
            <w:hideMark/>
          </w:tcPr>
          <w:p w14:paraId="55512EF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58C159A" w14:textId="77777777" w:rsidTr="00036A6A">
        <w:trPr>
          <w:jc w:val="center"/>
        </w:trPr>
        <w:tc>
          <w:tcPr>
            <w:tcW w:w="709" w:type="dxa"/>
            <w:hideMark/>
          </w:tcPr>
          <w:p w14:paraId="4AD3D52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93</w:t>
            </w:r>
          </w:p>
        </w:tc>
        <w:tc>
          <w:tcPr>
            <w:tcW w:w="3402" w:type="dxa"/>
            <w:hideMark/>
          </w:tcPr>
          <w:p w14:paraId="3BA418D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OAXTEPEC</w:t>
            </w:r>
          </w:p>
        </w:tc>
        <w:tc>
          <w:tcPr>
            <w:tcW w:w="1843" w:type="dxa"/>
            <w:hideMark/>
          </w:tcPr>
          <w:p w14:paraId="2159153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MOR</w:t>
            </w:r>
          </w:p>
        </w:tc>
        <w:tc>
          <w:tcPr>
            <w:tcW w:w="2835" w:type="dxa"/>
            <w:hideMark/>
          </w:tcPr>
          <w:p w14:paraId="718FD28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591E0F9" w14:textId="77777777" w:rsidTr="00036A6A">
        <w:trPr>
          <w:jc w:val="center"/>
        </w:trPr>
        <w:tc>
          <w:tcPr>
            <w:tcW w:w="709" w:type="dxa"/>
            <w:hideMark/>
          </w:tcPr>
          <w:p w14:paraId="5A25945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94</w:t>
            </w:r>
          </w:p>
        </w:tc>
        <w:tc>
          <w:tcPr>
            <w:tcW w:w="3402" w:type="dxa"/>
            <w:hideMark/>
          </w:tcPr>
          <w:p w14:paraId="6EB83D1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TUXPAN</w:t>
            </w:r>
          </w:p>
        </w:tc>
        <w:tc>
          <w:tcPr>
            <w:tcW w:w="1843" w:type="dxa"/>
            <w:hideMark/>
          </w:tcPr>
          <w:p w14:paraId="2D0DA99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00303C9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B7C46F5" w14:textId="77777777" w:rsidTr="00036A6A">
        <w:trPr>
          <w:jc w:val="center"/>
        </w:trPr>
        <w:tc>
          <w:tcPr>
            <w:tcW w:w="709" w:type="dxa"/>
            <w:hideMark/>
          </w:tcPr>
          <w:p w14:paraId="5870820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95</w:t>
            </w:r>
          </w:p>
        </w:tc>
        <w:tc>
          <w:tcPr>
            <w:tcW w:w="3402" w:type="dxa"/>
            <w:hideMark/>
          </w:tcPr>
          <w:p w14:paraId="6F3A33E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MOROLEON</w:t>
            </w:r>
          </w:p>
        </w:tc>
        <w:tc>
          <w:tcPr>
            <w:tcW w:w="1843" w:type="dxa"/>
            <w:hideMark/>
          </w:tcPr>
          <w:p w14:paraId="26E5A5B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531443D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DC238D4" w14:textId="77777777" w:rsidTr="00036A6A">
        <w:trPr>
          <w:jc w:val="center"/>
        </w:trPr>
        <w:tc>
          <w:tcPr>
            <w:tcW w:w="709" w:type="dxa"/>
            <w:hideMark/>
          </w:tcPr>
          <w:p w14:paraId="79BAFE6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96</w:t>
            </w:r>
          </w:p>
        </w:tc>
        <w:tc>
          <w:tcPr>
            <w:tcW w:w="3402" w:type="dxa"/>
            <w:hideMark/>
          </w:tcPr>
          <w:p w14:paraId="15BE36E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LAZARO CARDENAS</w:t>
            </w:r>
          </w:p>
        </w:tc>
        <w:tc>
          <w:tcPr>
            <w:tcW w:w="1843" w:type="dxa"/>
            <w:hideMark/>
          </w:tcPr>
          <w:p w14:paraId="3D4DA12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662B149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BDE394A" w14:textId="77777777" w:rsidTr="00036A6A">
        <w:trPr>
          <w:jc w:val="center"/>
        </w:trPr>
        <w:tc>
          <w:tcPr>
            <w:tcW w:w="709" w:type="dxa"/>
            <w:hideMark/>
          </w:tcPr>
          <w:p w14:paraId="3F0AF18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97</w:t>
            </w:r>
          </w:p>
        </w:tc>
        <w:tc>
          <w:tcPr>
            <w:tcW w:w="3402" w:type="dxa"/>
            <w:hideMark/>
          </w:tcPr>
          <w:p w14:paraId="21E0EA6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ZITACUARO</w:t>
            </w:r>
          </w:p>
        </w:tc>
        <w:tc>
          <w:tcPr>
            <w:tcW w:w="1843" w:type="dxa"/>
            <w:hideMark/>
          </w:tcPr>
          <w:p w14:paraId="4C8DAF9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7295E77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D0A8010" w14:textId="77777777" w:rsidTr="00036A6A">
        <w:trPr>
          <w:jc w:val="center"/>
        </w:trPr>
        <w:tc>
          <w:tcPr>
            <w:tcW w:w="709" w:type="dxa"/>
            <w:hideMark/>
          </w:tcPr>
          <w:p w14:paraId="1748C36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98</w:t>
            </w:r>
          </w:p>
        </w:tc>
        <w:tc>
          <w:tcPr>
            <w:tcW w:w="3402" w:type="dxa"/>
            <w:hideMark/>
          </w:tcPr>
          <w:p w14:paraId="5D7CC8B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LINARES</w:t>
            </w:r>
          </w:p>
        </w:tc>
        <w:tc>
          <w:tcPr>
            <w:tcW w:w="1843" w:type="dxa"/>
            <w:hideMark/>
          </w:tcPr>
          <w:p w14:paraId="172DECB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NL</w:t>
            </w:r>
          </w:p>
        </w:tc>
        <w:tc>
          <w:tcPr>
            <w:tcW w:w="2835" w:type="dxa"/>
            <w:hideMark/>
          </w:tcPr>
          <w:p w14:paraId="57DE7A6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A0D4A11" w14:textId="77777777" w:rsidTr="00036A6A">
        <w:trPr>
          <w:jc w:val="center"/>
        </w:trPr>
        <w:tc>
          <w:tcPr>
            <w:tcW w:w="709" w:type="dxa"/>
            <w:hideMark/>
          </w:tcPr>
          <w:p w14:paraId="66DF939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99</w:t>
            </w:r>
          </w:p>
        </w:tc>
        <w:tc>
          <w:tcPr>
            <w:tcW w:w="3402" w:type="dxa"/>
            <w:hideMark/>
          </w:tcPr>
          <w:p w14:paraId="2A2E076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SANTIAGO TIANGUIESTENCO</w:t>
            </w:r>
          </w:p>
        </w:tc>
        <w:tc>
          <w:tcPr>
            <w:tcW w:w="1843" w:type="dxa"/>
            <w:hideMark/>
          </w:tcPr>
          <w:p w14:paraId="42DE1A4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5DA33AA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EBD69AF" w14:textId="77777777" w:rsidTr="00036A6A">
        <w:trPr>
          <w:jc w:val="center"/>
        </w:trPr>
        <w:tc>
          <w:tcPr>
            <w:tcW w:w="709" w:type="dxa"/>
            <w:hideMark/>
          </w:tcPr>
          <w:p w14:paraId="4ADF599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100</w:t>
            </w:r>
          </w:p>
        </w:tc>
        <w:tc>
          <w:tcPr>
            <w:tcW w:w="3402" w:type="dxa"/>
            <w:hideMark/>
          </w:tcPr>
          <w:p w14:paraId="757E14B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MATEHUALA</w:t>
            </w:r>
          </w:p>
        </w:tc>
        <w:tc>
          <w:tcPr>
            <w:tcW w:w="1843" w:type="dxa"/>
            <w:hideMark/>
          </w:tcPr>
          <w:p w14:paraId="00EE405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SLP</w:t>
            </w:r>
          </w:p>
        </w:tc>
        <w:tc>
          <w:tcPr>
            <w:tcW w:w="2835" w:type="dxa"/>
            <w:hideMark/>
          </w:tcPr>
          <w:p w14:paraId="4F26635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FF849CF" w14:textId="77777777" w:rsidTr="00036A6A">
        <w:trPr>
          <w:jc w:val="center"/>
        </w:trPr>
        <w:tc>
          <w:tcPr>
            <w:tcW w:w="709" w:type="dxa"/>
            <w:hideMark/>
          </w:tcPr>
          <w:p w14:paraId="138C073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101</w:t>
            </w:r>
          </w:p>
        </w:tc>
        <w:tc>
          <w:tcPr>
            <w:tcW w:w="3402" w:type="dxa"/>
            <w:hideMark/>
          </w:tcPr>
          <w:p w14:paraId="7DFC812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CAMARGO</w:t>
            </w:r>
          </w:p>
        </w:tc>
        <w:tc>
          <w:tcPr>
            <w:tcW w:w="1843" w:type="dxa"/>
            <w:hideMark/>
          </w:tcPr>
          <w:p w14:paraId="5AF357E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w:t>
            </w:r>
          </w:p>
        </w:tc>
        <w:tc>
          <w:tcPr>
            <w:tcW w:w="2835" w:type="dxa"/>
            <w:hideMark/>
          </w:tcPr>
          <w:p w14:paraId="4481507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A0B0C17" w14:textId="77777777" w:rsidTr="00036A6A">
        <w:trPr>
          <w:jc w:val="center"/>
        </w:trPr>
        <w:tc>
          <w:tcPr>
            <w:tcW w:w="709" w:type="dxa"/>
            <w:hideMark/>
          </w:tcPr>
          <w:p w14:paraId="6334519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102</w:t>
            </w:r>
          </w:p>
        </w:tc>
        <w:tc>
          <w:tcPr>
            <w:tcW w:w="3402" w:type="dxa"/>
            <w:hideMark/>
          </w:tcPr>
          <w:p w14:paraId="692B851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DELICIAS</w:t>
            </w:r>
          </w:p>
        </w:tc>
        <w:tc>
          <w:tcPr>
            <w:tcW w:w="1843" w:type="dxa"/>
            <w:hideMark/>
          </w:tcPr>
          <w:p w14:paraId="459EB99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w:t>
            </w:r>
          </w:p>
        </w:tc>
        <w:tc>
          <w:tcPr>
            <w:tcW w:w="2835" w:type="dxa"/>
            <w:hideMark/>
          </w:tcPr>
          <w:p w14:paraId="7543EDE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97177FA" w14:textId="77777777" w:rsidTr="00036A6A">
        <w:trPr>
          <w:jc w:val="center"/>
        </w:trPr>
        <w:tc>
          <w:tcPr>
            <w:tcW w:w="709" w:type="dxa"/>
            <w:hideMark/>
          </w:tcPr>
          <w:p w14:paraId="24DB9F5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103</w:t>
            </w:r>
          </w:p>
        </w:tc>
        <w:tc>
          <w:tcPr>
            <w:tcW w:w="3402" w:type="dxa"/>
            <w:hideMark/>
          </w:tcPr>
          <w:p w14:paraId="187D271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NUEVO CASAS GRANDES</w:t>
            </w:r>
          </w:p>
        </w:tc>
        <w:tc>
          <w:tcPr>
            <w:tcW w:w="1843" w:type="dxa"/>
            <w:hideMark/>
          </w:tcPr>
          <w:p w14:paraId="1451B70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w:t>
            </w:r>
          </w:p>
        </w:tc>
        <w:tc>
          <w:tcPr>
            <w:tcW w:w="2835" w:type="dxa"/>
            <w:hideMark/>
          </w:tcPr>
          <w:p w14:paraId="1DE79CA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1D94EE3" w14:textId="77777777" w:rsidTr="00036A6A">
        <w:trPr>
          <w:jc w:val="center"/>
        </w:trPr>
        <w:tc>
          <w:tcPr>
            <w:tcW w:w="709" w:type="dxa"/>
            <w:hideMark/>
          </w:tcPr>
          <w:p w14:paraId="71148C5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104</w:t>
            </w:r>
          </w:p>
        </w:tc>
        <w:tc>
          <w:tcPr>
            <w:tcW w:w="3402" w:type="dxa"/>
            <w:hideMark/>
          </w:tcPr>
          <w:p w14:paraId="3C5882E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OJINAGA</w:t>
            </w:r>
          </w:p>
        </w:tc>
        <w:tc>
          <w:tcPr>
            <w:tcW w:w="1843" w:type="dxa"/>
            <w:hideMark/>
          </w:tcPr>
          <w:p w14:paraId="2AA2B2A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CHIH</w:t>
            </w:r>
          </w:p>
        </w:tc>
        <w:tc>
          <w:tcPr>
            <w:tcW w:w="2835" w:type="dxa"/>
            <w:hideMark/>
          </w:tcPr>
          <w:p w14:paraId="3EACAF9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689B684" w14:textId="77777777" w:rsidTr="00036A6A">
        <w:trPr>
          <w:jc w:val="center"/>
        </w:trPr>
        <w:tc>
          <w:tcPr>
            <w:tcW w:w="709" w:type="dxa"/>
            <w:hideMark/>
          </w:tcPr>
          <w:p w14:paraId="08B406D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105</w:t>
            </w:r>
          </w:p>
        </w:tc>
        <w:tc>
          <w:tcPr>
            <w:tcW w:w="3402" w:type="dxa"/>
            <w:hideMark/>
          </w:tcPr>
          <w:p w14:paraId="7D76948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AUTLAN</w:t>
            </w:r>
          </w:p>
        </w:tc>
        <w:tc>
          <w:tcPr>
            <w:tcW w:w="1843" w:type="dxa"/>
            <w:hideMark/>
          </w:tcPr>
          <w:p w14:paraId="492C377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4059226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631BC0F" w14:textId="77777777" w:rsidTr="00036A6A">
        <w:trPr>
          <w:jc w:val="center"/>
        </w:trPr>
        <w:tc>
          <w:tcPr>
            <w:tcW w:w="709" w:type="dxa"/>
            <w:hideMark/>
          </w:tcPr>
          <w:p w14:paraId="5C2BAB6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106</w:t>
            </w:r>
          </w:p>
        </w:tc>
        <w:tc>
          <w:tcPr>
            <w:tcW w:w="3402" w:type="dxa"/>
            <w:hideMark/>
          </w:tcPr>
          <w:p w14:paraId="125BC39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JEREZ DE GARCIA SALINAS</w:t>
            </w:r>
          </w:p>
        </w:tc>
        <w:tc>
          <w:tcPr>
            <w:tcW w:w="1843" w:type="dxa"/>
            <w:hideMark/>
          </w:tcPr>
          <w:p w14:paraId="656B800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ZAC</w:t>
            </w:r>
          </w:p>
        </w:tc>
        <w:tc>
          <w:tcPr>
            <w:tcW w:w="2835" w:type="dxa"/>
            <w:hideMark/>
          </w:tcPr>
          <w:p w14:paraId="681A5B6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8CB417C" w14:textId="77777777" w:rsidTr="00036A6A">
        <w:trPr>
          <w:jc w:val="center"/>
        </w:trPr>
        <w:tc>
          <w:tcPr>
            <w:tcW w:w="709" w:type="dxa"/>
            <w:hideMark/>
          </w:tcPr>
          <w:p w14:paraId="4D08816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107</w:t>
            </w:r>
          </w:p>
        </w:tc>
        <w:tc>
          <w:tcPr>
            <w:tcW w:w="3402" w:type="dxa"/>
            <w:hideMark/>
          </w:tcPr>
          <w:p w14:paraId="5A58890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LA BARCA</w:t>
            </w:r>
          </w:p>
        </w:tc>
        <w:tc>
          <w:tcPr>
            <w:tcW w:w="1843" w:type="dxa"/>
            <w:hideMark/>
          </w:tcPr>
          <w:p w14:paraId="118ED2F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2F40821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A024017" w14:textId="77777777" w:rsidTr="00036A6A">
        <w:trPr>
          <w:jc w:val="center"/>
        </w:trPr>
        <w:tc>
          <w:tcPr>
            <w:tcW w:w="709" w:type="dxa"/>
            <w:hideMark/>
          </w:tcPr>
          <w:p w14:paraId="089C146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108</w:t>
            </w:r>
          </w:p>
        </w:tc>
        <w:tc>
          <w:tcPr>
            <w:tcW w:w="3402" w:type="dxa"/>
            <w:hideMark/>
          </w:tcPr>
          <w:p w14:paraId="66C8866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RIO GRANDE </w:t>
            </w:r>
          </w:p>
        </w:tc>
        <w:tc>
          <w:tcPr>
            <w:tcW w:w="1843" w:type="dxa"/>
            <w:hideMark/>
          </w:tcPr>
          <w:p w14:paraId="35D8A0A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ZAC</w:t>
            </w:r>
          </w:p>
        </w:tc>
        <w:tc>
          <w:tcPr>
            <w:tcW w:w="2835" w:type="dxa"/>
            <w:hideMark/>
          </w:tcPr>
          <w:p w14:paraId="5297862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940F8C9" w14:textId="77777777" w:rsidTr="00036A6A">
        <w:trPr>
          <w:jc w:val="center"/>
        </w:trPr>
        <w:tc>
          <w:tcPr>
            <w:tcW w:w="709" w:type="dxa"/>
            <w:hideMark/>
          </w:tcPr>
          <w:p w14:paraId="6361757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109</w:t>
            </w:r>
          </w:p>
        </w:tc>
        <w:tc>
          <w:tcPr>
            <w:tcW w:w="3402" w:type="dxa"/>
            <w:hideMark/>
          </w:tcPr>
          <w:p w14:paraId="2CE5330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SANTIAGO IXCUINTLA</w:t>
            </w:r>
          </w:p>
        </w:tc>
        <w:tc>
          <w:tcPr>
            <w:tcW w:w="1843" w:type="dxa"/>
            <w:hideMark/>
          </w:tcPr>
          <w:p w14:paraId="6FE3354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NAY</w:t>
            </w:r>
          </w:p>
        </w:tc>
        <w:tc>
          <w:tcPr>
            <w:tcW w:w="2835" w:type="dxa"/>
            <w:hideMark/>
          </w:tcPr>
          <w:p w14:paraId="7A7F1B2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ECFDF85" w14:textId="77777777" w:rsidTr="00036A6A">
        <w:trPr>
          <w:jc w:val="center"/>
        </w:trPr>
        <w:tc>
          <w:tcPr>
            <w:tcW w:w="709" w:type="dxa"/>
            <w:hideMark/>
          </w:tcPr>
          <w:p w14:paraId="4C95269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110</w:t>
            </w:r>
          </w:p>
        </w:tc>
        <w:tc>
          <w:tcPr>
            <w:tcW w:w="3402" w:type="dxa"/>
            <w:hideMark/>
          </w:tcPr>
          <w:p w14:paraId="10F6342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TALA</w:t>
            </w:r>
          </w:p>
        </w:tc>
        <w:tc>
          <w:tcPr>
            <w:tcW w:w="1843" w:type="dxa"/>
            <w:hideMark/>
          </w:tcPr>
          <w:p w14:paraId="503C09C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2A4FB49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6B8B7C4" w14:textId="77777777" w:rsidTr="00036A6A">
        <w:trPr>
          <w:jc w:val="center"/>
        </w:trPr>
        <w:tc>
          <w:tcPr>
            <w:tcW w:w="709" w:type="dxa"/>
            <w:hideMark/>
          </w:tcPr>
          <w:p w14:paraId="17BEC2E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111</w:t>
            </w:r>
          </w:p>
        </w:tc>
        <w:tc>
          <w:tcPr>
            <w:tcW w:w="3402" w:type="dxa"/>
            <w:hideMark/>
          </w:tcPr>
          <w:p w14:paraId="0C485D6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TECOMAN</w:t>
            </w:r>
          </w:p>
        </w:tc>
        <w:tc>
          <w:tcPr>
            <w:tcW w:w="1843" w:type="dxa"/>
            <w:hideMark/>
          </w:tcPr>
          <w:p w14:paraId="4F35174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COL</w:t>
            </w:r>
          </w:p>
        </w:tc>
        <w:tc>
          <w:tcPr>
            <w:tcW w:w="2835" w:type="dxa"/>
            <w:hideMark/>
          </w:tcPr>
          <w:p w14:paraId="42CBFD1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72D6AEA" w14:textId="77777777" w:rsidTr="00036A6A">
        <w:trPr>
          <w:jc w:val="center"/>
        </w:trPr>
        <w:tc>
          <w:tcPr>
            <w:tcW w:w="709" w:type="dxa"/>
            <w:hideMark/>
          </w:tcPr>
          <w:p w14:paraId="176EA95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112</w:t>
            </w:r>
          </w:p>
        </w:tc>
        <w:tc>
          <w:tcPr>
            <w:tcW w:w="3402" w:type="dxa"/>
            <w:hideMark/>
          </w:tcPr>
          <w:p w14:paraId="0B62CE2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AGUA PRIETA</w:t>
            </w:r>
          </w:p>
        </w:tc>
        <w:tc>
          <w:tcPr>
            <w:tcW w:w="1843" w:type="dxa"/>
            <w:hideMark/>
          </w:tcPr>
          <w:p w14:paraId="688BE22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596F8AD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A076DF0" w14:textId="77777777" w:rsidTr="00036A6A">
        <w:trPr>
          <w:jc w:val="center"/>
        </w:trPr>
        <w:tc>
          <w:tcPr>
            <w:tcW w:w="709" w:type="dxa"/>
            <w:hideMark/>
          </w:tcPr>
          <w:p w14:paraId="146B579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113</w:t>
            </w:r>
          </w:p>
        </w:tc>
        <w:tc>
          <w:tcPr>
            <w:tcW w:w="3402" w:type="dxa"/>
            <w:hideMark/>
          </w:tcPr>
          <w:p w14:paraId="750B373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CONSTITUCION</w:t>
            </w:r>
          </w:p>
        </w:tc>
        <w:tc>
          <w:tcPr>
            <w:tcW w:w="1843" w:type="dxa"/>
            <w:hideMark/>
          </w:tcPr>
          <w:p w14:paraId="4A52BF4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BCS</w:t>
            </w:r>
          </w:p>
        </w:tc>
        <w:tc>
          <w:tcPr>
            <w:tcW w:w="2835" w:type="dxa"/>
            <w:hideMark/>
          </w:tcPr>
          <w:p w14:paraId="6381EA5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3843BC5" w14:textId="77777777" w:rsidTr="00036A6A">
        <w:trPr>
          <w:jc w:val="center"/>
        </w:trPr>
        <w:tc>
          <w:tcPr>
            <w:tcW w:w="709" w:type="dxa"/>
            <w:hideMark/>
          </w:tcPr>
          <w:p w14:paraId="5A11465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114</w:t>
            </w:r>
          </w:p>
        </w:tc>
        <w:tc>
          <w:tcPr>
            <w:tcW w:w="3402" w:type="dxa"/>
            <w:hideMark/>
          </w:tcPr>
          <w:p w14:paraId="63C51DC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HUATABAMPO</w:t>
            </w:r>
          </w:p>
        </w:tc>
        <w:tc>
          <w:tcPr>
            <w:tcW w:w="1843" w:type="dxa"/>
            <w:hideMark/>
          </w:tcPr>
          <w:p w14:paraId="1C14136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4939A53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5700FCC" w14:textId="77777777" w:rsidTr="00036A6A">
        <w:trPr>
          <w:jc w:val="center"/>
        </w:trPr>
        <w:tc>
          <w:tcPr>
            <w:tcW w:w="709" w:type="dxa"/>
            <w:hideMark/>
          </w:tcPr>
          <w:p w14:paraId="42F5DA0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115</w:t>
            </w:r>
          </w:p>
        </w:tc>
        <w:tc>
          <w:tcPr>
            <w:tcW w:w="3402" w:type="dxa"/>
            <w:hideMark/>
          </w:tcPr>
          <w:p w14:paraId="6CB9C96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MAGDALENA</w:t>
            </w:r>
          </w:p>
        </w:tc>
        <w:tc>
          <w:tcPr>
            <w:tcW w:w="1843" w:type="dxa"/>
            <w:hideMark/>
          </w:tcPr>
          <w:p w14:paraId="2E70819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2D28131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08AFB59" w14:textId="77777777" w:rsidTr="00036A6A">
        <w:trPr>
          <w:jc w:val="center"/>
        </w:trPr>
        <w:tc>
          <w:tcPr>
            <w:tcW w:w="709" w:type="dxa"/>
            <w:hideMark/>
          </w:tcPr>
          <w:p w14:paraId="671AEDC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116</w:t>
            </w:r>
          </w:p>
        </w:tc>
        <w:tc>
          <w:tcPr>
            <w:tcW w:w="3402" w:type="dxa"/>
            <w:hideMark/>
          </w:tcPr>
          <w:p w14:paraId="0F21086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PUERTO PEÑASCO</w:t>
            </w:r>
          </w:p>
        </w:tc>
        <w:tc>
          <w:tcPr>
            <w:tcW w:w="1843" w:type="dxa"/>
            <w:hideMark/>
          </w:tcPr>
          <w:p w14:paraId="014CC6E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7976E06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16D1415" w14:textId="77777777" w:rsidTr="00036A6A">
        <w:trPr>
          <w:jc w:val="center"/>
        </w:trPr>
        <w:tc>
          <w:tcPr>
            <w:tcW w:w="709" w:type="dxa"/>
            <w:hideMark/>
          </w:tcPr>
          <w:p w14:paraId="4ED9725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117</w:t>
            </w:r>
          </w:p>
        </w:tc>
        <w:tc>
          <w:tcPr>
            <w:tcW w:w="3402" w:type="dxa"/>
            <w:hideMark/>
          </w:tcPr>
          <w:p w14:paraId="0704CB8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JOSE DEL CABO</w:t>
            </w:r>
          </w:p>
        </w:tc>
        <w:tc>
          <w:tcPr>
            <w:tcW w:w="1843" w:type="dxa"/>
            <w:hideMark/>
          </w:tcPr>
          <w:p w14:paraId="5E01A66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BCS</w:t>
            </w:r>
          </w:p>
        </w:tc>
        <w:tc>
          <w:tcPr>
            <w:tcW w:w="2835" w:type="dxa"/>
            <w:hideMark/>
          </w:tcPr>
          <w:p w14:paraId="005AAB5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7B08DCC" w14:textId="77777777" w:rsidTr="00036A6A">
        <w:trPr>
          <w:jc w:val="center"/>
        </w:trPr>
        <w:tc>
          <w:tcPr>
            <w:tcW w:w="709" w:type="dxa"/>
            <w:hideMark/>
          </w:tcPr>
          <w:p w14:paraId="40A848C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118</w:t>
            </w:r>
          </w:p>
        </w:tc>
        <w:tc>
          <w:tcPr>
            <w:tcW w:w="3402" w:type="dxa"/>
            <w:hideMark/>
          </w:tcPr>
          <w:p w14:paraId="12FD497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DEL CARMEN</w:t>
            </w:r>
          </w:p>
        </w:tc>
        <w:tc>
          <w:tcPr>
            <w:tcW w:w="1843" w:type="dxa"/>
            <w:hideMark/>
          </w:tcPr>
          <w:p w14:paraId="19F8638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CAMP</w:t>
            </w:r>
          </w:p>
        </w:tc>
        <w:tc>
          <w:tcPr>
            <w:tcW w:w="2835" w:type="dxa"/>
            <w:hideMark/>
          </w:tcPr>
          <w:p w14:paraId="690DF65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8209536" w14:textId="77777777" w:rsidTr="00036A6A">
        <w:trPr>
          <w:jc w:val="center"/>
        </w:trPr>
        <w:tc>
          <w:tcPr>
            <w:tcW w:w="709" w:type="dxa"/>
            <w:hideMark/>
          </w:tcPr>
          <w:p w14:paraId="2B3CA04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119</w:t>
            </w:r>
          </w:p>
        </w:tc>
        <w:tc>
          <w:tcPr>
            <w:tcW w:w="3402" w:type="dxa"/>
            <w:hideMark/>
          </w:tcPr>
          <w:p w14:paraId="4FDE97F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CHETUMAL</w:t>
            </w:r>
          </w:p>
        </w:tc>
        <w:tc>
          <w:tcPr>
            <w:tcW w:w="1843" w:type="dxa"/>
            <w:hideMark/>
          </w:tcPr>
          <w:p w14:paraId="2978D17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QROO</w:t>
            </w:r>
          </w:p>
        </w:tc>
        <w:tc>
          <w:tcPr>
            <w:tcW w:w="2835" w:type="dxa"/>
            <w:hideMark/>
          </w:tcPr>
          <w:p w14:paraId="1B07DFC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520A1DB" w14:textId="77777777" w:rsidTr="00036A6A">
        <w:trPr>
          <w:jc w:val="center"/>
        </w:trPr>
        <w:tc>
          <w:tcPr>
            <w:tcW w:w="709" w:type="dxa"/>
            <w:hideMark/>
          </w:tcPr>
          <w:p w14:paraId="3508E9C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120</w:t>
            </w:r>
          </w:p>
        </w:tc>
        <w:tc>
          <w:tcPr>
            <w:tcW w:w="3402" w:type="dxa"/>
            <w:hideMark/>
          </w:tcPr>
          <w:p w14:paraId="31FD0A6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JUCHITAN</w:t>
            </w:r>
          </w:p>
        </w:tc>
        <w:tc>
          <w:tcPr>
            <w:tcW w:w="1843" w:type="dxa"/>
            <w:hideMark/>
          </w:tcPr>
          <w:p w14:paraId="5384D11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OAX</w:t>
            </w:r>
          </w:p>
        </w:tc>
        <w:tc>
          <w:tcPr>
            <w:tcW w:w="2835" w:type="dxa"/>
            <w:hideMark/>
          </w:tcPr>
          <w:p w14:paraId="2956E1C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714F988" w14:textId="77777777" w:rsidTr="00036A6A">
        <w:trPr>
          <w:jc w:val="center"/>
        </w:trPr>
        <w:tc>
          <w:tcPr>
            <w:tcW w:w="709" w:type="dxa"/>
            <w:hideMark/>
          </w:tcPr>
          <w:p w14:paraId="4FEE0D2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121</w:t>
            </w:r>
          </w:p>
        </w:tc>
        <w:tc>
          <w:tcPr>
            <w:tcW w:w="3402" w:type="dxa"/>
            <w:hideMark/>
          </w:tcPr>
          <w:p w14:paraId="7A7A51C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TAPACHULA </w:t>
            </w:r>
          </w:p>
        </w:tc>
        <w:tc>
          <w:tcPr>
            <w:tcW w:w="1843" w:type="dxa"/>
            <w:hideMark/>
          </w:tcPr>
          <w:p w14:paraId="41A102C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CHIS</w:t>
            </w:r>
          </w:p>
        </w:tc>
        <w:tc>
          <w:tcPr>
            <w:tcW w:w="2835" w:type="dxa"/>
            <w:hideMark/>
          </w:tcPr>
          <w:p w14:paraId="58F3ABD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AD4A196" w14:textId="77777777" w:rsidTr="00036A6A">
        <w:trPr>
          <w:jc w:val="center"/>
        </w:trPr>
        <w:tc>
          <w:tcPr>
            <w:tcW w:w="709" w:type="dxa"/>
            <w:hideMark/>
          </w:tcPr>
          <w:p w14:paraId="1AB58B6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122</w:t>
            </w:r>
          </w:p>
        </w:tc>
        <w:tc>
          <w:tcPr>
            <w:tcW w:w="3402" w:type="dxa"/>
            <w:hideMark/>
          </w:tcPr>
          <w:p w14:paraId="41B0F23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AMECAMECA</w:t>
            </w:r>
          </w:p>
        </w:tc>
        <w:tc>
          <w:tcPr>
            <w:tcW w:w="1843" w:type="dxa"/>
            <w:hideMark/>
          </w:tcPr>
          <w:p w14:paraId="3C47EF2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2EADC11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802D188" w14:textId="77777777" w:rsidTr="00036A6A">
        <w:trPr>
          <w:jc w:val="center"/>
        </w:trPr>
        <w:tc>
          <w:tcPr>
            <w:tcW w:w="709" w:type="dxa"/>
            <w:hideMark/>
          </w:tcPr>
          <w:p w14:paraId="2A47CD5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123</w:t>
            </w:r>
          </w:p>
        </w:tc>
        <w:tc>
          <w:tcPr>
            <w:tcW w:w="3402" w:type="dxa"/>
            <w:hideMark/>
          </w:tcPr>
          <w:p w14:paraId="1F9E226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IXTAPAN DE LA SAL</w:t>
            </w:r>
          </w:p>
        </w:tc>
        <w:tc>
          <w:tcPr>
            <w:tcW w:w="1843" w:type="dxa"/>
            <w:hideMark/>
          </w:tcPr>
          <w:p w14:paraId="109ABD6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1B611F8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9ABFE2F" w14:textId="77777777" w:rsidTr="00036A6A">
        <w:trPr>
          <w:jc w:val="center"/>
        </w:trPr>
        <w:tc>
          <w:tcPr>
            <w:tcW w:w="709" w:type="dxa"/>
            <w:hideMark/>
          </w:tcPr>
          <w:p w14:paraId="1F2D52A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124</w:t>
            </w:r>
          </w:p>
        </w:tc>
        <w:tc>
          <w:tcPr>
            <w:tcW w:w="3402" w:type="dxa"/>
            <w:hideMark/>
          </w:tcPr>
          <w:p w14:paraId="28C8C17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TENANCINGO</w:t>
            </w:r>
          </w:p>
        </w:tc>
        <w:tc>
          <w:tcPr>
            <w:tcW w:w="1843" w:type="dxa"/>
            <w:hideMark/>
          </w:tcPr>
          <w:p w14:paraId="38B1A75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126CF97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BA4AE99" w14:textId="77777777" w:rsidTr="00036A6A">
        <w:trPr>
          <w:jc w:val="center"/>
        </w:trPr>
        <w:tc>
          <w:tcPr>
            <w:tcW w:w="709" w:type="dxa"/>
            <w:hideMark/>
          </w:tcPr>
          <w:p w14:paraId="56433FB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125</w:t>
            </w:r>
          </w:p>
        </w:tc>
        <w:tc>
          <w:tcPr>
            <w:tcW w:w="3402" w:type="dxa"/>
            <w:hideMark/>
          </w:tcPr>
          <w:p w14:paraId="6CF140C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VALLE DE BRAVO</w:t>
            </w:r>
          </w:p>
        </w:tc>
        <w:tc>
          <w:tcPr>
            <w:tcW w:w="1843" w:type="dxa"/>
            <w:hideMark/>
          </w:tcPr>
          <w:p w14:paraId="7E4FDE1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5907646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1666DCE" w14:textId="77777777" w:rsidTr="00036A6A">
        <w:trPr>
          <w:jc w:val="center"/>
        </w:trPr>
        <w:tc>
          <w:tcPr>
            <w:tcW w:w="709" w:type="dxa"/>
            <w:hideMark/>
          </w:tcPr>
          <w:p w14:paraId="47CAE6D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lastRenderedPageBreak/>
              <w:t>126</w:t>
            </w:r>
          </w:p>
        </w:tc>
        <w:tc>
          <w:tcPr>
            <w:tcW w:w="3402" w:type="dxa"/>
            <w:hideMark/>
          </w:tcPr>
          <w:p w14:paraId="4E07B0D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ZUMPANGO</w:t>
            </w:r>
          </w:p>
        </w:tc>
        <w:tc>
          <w:tcPr>
            <w:tcW w:w="1843" w:type="dxa"/>
            <w:hideMark/>
          </w:tcPr>
          <w:p w14:paraId="1817C19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MEX</w:t>
            </w:r>
          </w:p>
        </w:tc>
        <w:tc>
          <w:tcPr>
            <w:tcW w:w="2835" w:type="dxa"/>
            <w:hideMark/>
          </w:tcPr>
          <w:p w14:paraId="626A41A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9E8C750" w14:textId="77777777" w:rsidTr="00036A6A">
        <w:trPr>
          <w:jc w:val="center"/>
        </w:trPr>
        <w:tc>
          <w:tcPr>
            <w:tcW w:w="709" w:type="dxa"/>
            <w:hideMark/>
          </w:tcPr>
          <w:p w14:paraId="718F372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127</w:t>
            </w:r>
          </w:p>
        </w:tc>
        <w:tc>
          <w:tcPr>
            <w:tcW w:w="3402" w:type="dxa"/>
            <w:hideMark/>
          </w:tcPr>
          <w:p w14:paraId="1E43994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ACUÑA</w:t>
            </w:r>
          </w:p>
        </w:tc>
        <w:tc>
          <w:tcPr>
            <w:tcW w:w="1843" w:type="dxa"/>
            <w:hideMark/>
          </w:tcPr>
          <w:p w14:paraId="225CF96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COAH</w:t>
            </w:r>
          </w:p>
        </w:tc>
        <w:tc>
          <w:tcPr>
            <w:tcW w:w="2835" w:type="dxa"/>
            <w:hideMark/>
          </w:tcPr>
          <w:p w14:paraId="63D9143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CD62DDA" w14:textId="77777777" w:rsidTr="00036A6A">
        <w:trPr>
          <w:jc w:val="center"/>
        </w:trPr>
        <w:tc>
          <w:tcPr>
            <w:tcW w:w="709" w:type="dxa"/>
            <w:hideMark/>
          </w:tcPr>
          <w:p w14:paraId="1233194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128</w:t>
            </w:r>
          </w:p>
        </w:tc>
        <w:tc>
          <w:tcPr>
            <w:tcW w:w="3402" w:type="dxa"/>
            <w:hideMark/>
          </w:tcPr>
          <w:p w14:paraId="4D5DDB7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ALLENDE </w:t>
            </w:r>
          </w:p>
        </w:tc>
        <w:tc>
          <w:tcPr>
            <w:tcW w:w="1843" w:type="dxa"/>
            <w:hideMark/>
          </w:tcPr>
          <w:p w14:paraId="24B924D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COAH</w:t>
            </w:r>
          </w:p>
        </w:tc>
        <w:tc>
          <w:tcPr>
            <w:tcW w:w="2835" w:type="dxa"/>
            <w:hideMark/>
          </w:tcPr>
          <w:p w14:paraId="6DC655C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439E9E5" w14:textId="77777777" w:rsidTr="00036A6A">
        <w:trPr>
          <w:jc w:val="center"/>
        </w:trPr>
        <w:tc>
          <w:tcPr>
            <w:tcW w:w="709" w:type="dxa"/>
            <w:hideMark/>
          </w:tcPr>
          <w:p w14:paraId="6FA9ED9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129</w:t>
            </w:r>
          </w:p>
        </w:tc>
        <w:tc>
          <w:tcPr>
            <w:tcW w:w="3402" w:type="dxa"/>
            <w:hideMark/>
          </w:tcPr>
          <w:p w14:paraId="650DB61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CADEREYTA</w:t>
            </w:r>
          </w:p>
        </w:tc>
        <w:tc>
          <w:tcPr>
            <w:tcW w:w="1843" w:type="dxa"/>
            <w:hideMark/>
          </w:tcPr>
          <w:p w14:paraId="5A10702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NL</w:t>
            </w:r>
          </w:p>
        </w:tc>
        <w:tc>
          <w:tcPr>
            <w:tcW w:w="2835" w:type="dxa"/>
            <w:hideMark/>
          </w:tcPr>
          <w:p w14:paraId="43AB0DB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8108C6B" w14:textId="77777777" w:rsidTr="00036A6A">
        <w:trPr>
          <w:jc w:val="center"/>
        </w:trPr>
        <w:tc>
          <w:tcPr>
            <w:tcW w:w="709" w:type="dxa"/>
            <w:hideMark/>
          </w:tcPr>
          <w:p w14:paraId="0CCEA37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130</w:t>
            </w:r>
          </w:p>
        </w:tc>
        <w:tc>
          <w:tcPr>
            <w:tcW w:w="3402" w:type="dxa"/>
            <w:hideMark/>
          </w:tcPr>
          <w:p w14:paraId="6E61418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 xml:space="preserve">MONTEMORELOS </w:t>
            </w:r>
          </w:p>
        </w:tc>
        <w:tc>
          <w:tcPr>
            <w:tcW w:w="1843" w:type="dxa"/>
            <w:hideMark/>
          </w:tcPr>
          <w:p w14:paraId="241BAE3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NL</w:t>
            </w:r>
          </w:p>
        </w:tc>
        <w:tc>
          <w:tcPr>
            <w:tcW w:w="2835" w:type="dxa"/>
            <w:hideMark/>
          </w:tcPr>
          <w:p w14:paraId="54F7234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743EA06" w14:textId="77777777" w:rsidTr="00036A6A">
        <w:trPr>
          <w:jc w:val="center"/>
        </w:trPr>
        <w:tc>
          <w:tcPr>
            <w:tcW w:w="709" w:type="dxa"/>
            <w:hideMark/>
          </w:tcPr>
          <w:p w14:paraId="1DE7BED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131</w:t>
            </w:r>
          </w:p>
        </w:tc>
        <w:tc>
          <w:tcPr>
            <w:tcW w:w="3402" w:type="dxa"/>
            <w:hideMark/>
          </w:tcPr>
          <w:p w14:paraId="5E91DD8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PARRAS DE LA FUENTE</w:t>
            </w:r>
          </w:p>
        </w:tc>
        <w:tc>
          <w:tcPr>
            <w:tcW w:w="1843" w:type="dxa"/>
            <w:hideMark/>
          </w:tcPr>
          <w:p w14:paraId="1CEC7B8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COAH</w:t>
            </w:r>
          </w:p>
        </w:tc>
        <w:tc>
          <w:tcPr>
            <w:tcW w:w="2835" w:type="dxa"/>
            <w:hideMark/>
          </w:tcPr>
          <w:p w14:paraId="374CC59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991DC3C" w14:textId="77777777" w:rsidTr="00036A6A">
        <w:trPr>
          <w:jc w:val="center"/>
        </w:trPr>
        <w:tc>
          <w:tcPr>
            <w:tcW w:w="709" w:type="dxa"/>
            <w:hideMark/>
          </w:tcPr>
          <w:p w14:paraId="2375B15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132</w:t>
            </w:r>
          </w:p>
        </w:tc>
        <w:tc>
          <w:tcPr>
            <w:tcW w:w="3402" w:type="dxa"/>
            <w:hideMark/>
          </w:tcPr>
          <w:p w14:paraId="7520085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FERNANDO</w:t>
            </w:r>
          </w:p>
        </w:tc>
        <w:tc>
          <w:tcPr>
            <w:tcW w:w="1843" w:type="dxa"/>
            <w:hideMark/>
          </w:tcPr>
          <w:p w14:paraId="68EC562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TAMPS</w:t>
            </w:r>
          </w:p>
        </w:tc>
        <w:tc>
          <w:tcPr>
            <w:tcW w:w="2835" w:type="dxa"/>
            <w:hideMark/>
          </w:tcPr>
          <w:p w14:paraId="4DB310A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A7A6B6A" w14:textId="77777777" w:rsidTr="00036A6A">
        <w:trPr>
          <w:jc w:val="center"/>
        </w:trPr>
        <w:tc>
          <w:tcPr>
            <w:tcW w:w="709" w:type="dxa"/>
            <w:hideMark/>
          </w:tcPr>
          <w:p w14:paraId="1BBACB4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133</w:t>
            </w:r>
          </w:p>
        </w:tc>
        <w:tc>
          <w:tcPr>
            <w:tcW w:w="3402" w:type="dxa"/>
            <w:hideMark/>
          </w:tcPr>
          <w:p w14:paraId="681548B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ACTOPAN</w:t>
            </w:r>
          </w:p>
        </w:tc>
        <w:tc>
          <w:tcPr>
            <w:tcW w:w="1843" w:type="dxa"/>
            <w:hideMark/>
          </w:tcPr>
          <w:p w14:paraId="1392AFB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HGO</w:t>
            </w:r>
          </w:p>
        </w:tc>
        <w:tc>
          <w:tcPr>
            <w:tcW w:w="2835" w:type="dxa"/>
            <w:hideMark/>
          </w:tcPr>
          <w:p w14:paraId="7D6B5A7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9EDF320" w14:textId="77777777" w:rsidTr="00036A6A">
        <w:trPr>
          <w:jc w:val="center"/>
        </w:trPr>
        <w:tc>
          <w:tcPr>
            <w:tcW w:w="709" w:type="dxa"/>
            <w:hideMark/>
          </w:tcPr>
          <w:p w14:paraId="65776F7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134</w:t>
            </w:r>
          </w:p>
        </w:tc>
        <w:tc>
          <w:tcPr>
            <w:tcW w:w="3402" w:type="dxa"/>
            <w:hideMark/>
          </w:tcPr>
          <w:p w14:paraId="31FB02C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SAHAGUN</w:t>
            </w:r>
          </w:p>
        </w:tc>
        <w:tc>
          <w:tcPr>
            <w:tcW w:w="1843" w:type="dxa"/>
            <w:hideMark/>
          </w:tcPr>
          <w:p w14:paraId="05A6D6D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HGO</w:t>
            </w:r>
          </w:p>
        </w:tc>
        <w:tc>
          <w:tcPr>
            <w:tcW w:w="2835" w:type="dxa"/>
            <w:hideMark/>
          </w:tcPr>
          <w:p w14:paraId="6C8C358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FD3CFEA" w14:textId="77777777" w:rsidTr="00036A6A">
        <w:trPr>
          <w:jc w:val="center"/>
        </w:trPr>
        <w:tc>
          <w:tcPr>
            <w:tcW w:w="709" w:type="dxa"/>
            <w:hideMark/>
          </w:tcPr>
          <w:p w14:paraId="1894FB4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135</w:t>
            </w:r>
          </w:p>
        </w:tc>
        <w:tc>
          <w:tcPr>
            <w:tcW w:w="3402" w:type="dxa"/>
            <w:hideMark/>
          </w:tcPr>
          <w:p w14:paraId="2679894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IXTAPA</w:t>
            </w:r>
          </w:p>
        </w:tc>
        <w:tc>
          <w:tcPr>
            <w:tcW w:w="1843" w:type="dxa"/>
            <w:hideMark/>
          </w:tcPr>
          <w:p w14:paraId="1F94F7A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30EDDA1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6E2E2AC" w14:textId="77777777" w:rsidTr="00036A6A">
        <w:trPr>
          <w:jc w:val="center"/>
        </w:trPr>
        <w:tc>
          <w:tcPr>
            <w:tcW w:w="709" w:type="dxa"/>
            <w:hideMark/>
          </w:tcPr>
          <w:p w14:paraId="6BDC02A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136</w:t>
            </w:r>
          </w:p>
        </w:tc>
        <w:tc>
          <w:tcPr>
            <w:tcW w:w="3402" w:type="dxa"/>
            <w:hideMark/>
          </w:tcPr>
          <w:p w14:paraId="725E6E7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IZUCAR DE  MATAMOROS</w:t>
            </w:r>
          </w:p>
        </w:tc>
        <w:tc>
          <w:tcPr>
            <w:tcW w:w="1843" w:type="dxa"/>
            <w:hideMark/>
          </w:tcPr>
          <w:p w14:paraId="2BC00B0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PUE</w:t>
            </w:r>
          </w:p>
        </w:tc>
        <w:tc>
          <w:tcPr>
            <w:tcW w:w="2835" w:type="dxa"/>
            <w:hideMark/>
          </w:tcPr>
          <w:p w14:paraId="01737F2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C7A2B28" w14:textId="77777777" w:rsidTr="00036A6A">
        <w:trPr>
          <w:jc w:val="center"/>
        </w:trPr>
        <w:tc>
          <w:tcPr>
            <w:tcW w:w="709" w:type="dxa"/>
            <w:hideMark/>
          </w:tcPr>
          <w:p w14:paraId="091ECDF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137</w:t>
            </w:r>
          </w:p>
        </w:tc>
        <w:tc>
          <w:tcPr>
            <w:tcW w:w="3402" w:type="dxa"/>
            <w:hideMark/>
          </w:tcPr>
          <w:p w14:paraId="7DCFFD6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JOJUTLA</w:t>
            </w:r>
          </w:p>
        </w:tc>
        <w:tc>
          <w:tcPr>
            <w:tcW w:w="1843" w:type="dxa"/>
            <w:hideMark/>
          </w:tcPr>
          <w:p w14:paraId="2F394A9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MOR</w:t>
            </w:r>
          </w:p>
        </w:tc>
        <w:tc>
          <w:tcPr>
            <w:tcW w:w="2835" w:type="dxa"/>
            <w:hideMark/>
          </w:tcPr>
          <w:p w14:paraId="43F0159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156831B" w14:textId="77777777" w:rsidTr="00036A6A">
        <w:trPr>
          <w:jc w:val="center"/>
        </w:trPr>
        <w:tc>
          <w:tcPr>
            <w:tcW w:w="709" w:type="dxa"/>
            <w:hideMark/>
          </w:tcPr>
          <w:p w14:paraId="25D698C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138</w:t>
            </w:r>
          </w:p>
        </w:tc>
        <w:tc>
          <w:tcPr>
            <w:tcW w:w="3402" w:type="dxa"/>
            <w:hideMark/>
          </w:tcPr>
          <w:p w14:paraId="34B04F9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MARTINEZ DE LA TORRE</w:t>
            </w:r>
          </w:p>
        </w:tc>
        <w:tc>
          <w:tcPr>
            <w:tcW w:w="1843" w:type="dxa"/>
            <w:hideMark/>
          </w:tcPr>
          <w:p w14:paraId="6AE9C49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2526ECC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7BD6ACD" w14:textId="77777777" w:rsidTr="00036A6A">
        <w:trPr>
          <w:jc w:val="center"/>
        </w:trPr>
        <w:tc>
          <w:tcPr>
            <w:tcW w:w="709" w:type="dxa"/>
            <w:hideMark/>
          </w:tcPr>
          <w:p w14:paraId="4EF0837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139</w:t>
            </w:r>
          </w:p>
        </w:tc>
        <w:tc>
          <w:tcPr>
            <w:tcW w:w="3402" w:type="dxa"/>
            <w:hideMark/>
          </w:tcPr>
          <w:p w14:paraId="7BF0523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TUXTEPEC</w:t>
            </w:r>
          </w:p>
        </w:tc>
        <w:tc>
          <w:tcPr>
            <w:tcW w:w="1843" w:type="dxa"/>
            <w:hideMark/>
          </w:tcPr>
          <w:p w14:paraId="4D8E9D4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OAX</w:t>
            </w:r>
          </w:p>
        </w:tc>
        <w:tc>
          <w:tcPr>
            <w:tcW w:w="2835" w:type="dxa"/>
            <w:hideMark/>
          </w:tcPr>
          <w:p w14:paraId="7333DD4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D931FBC" w14:textId="77777777" w:rsidTr="00036A6A">
        <w:trPr>
          <w:jc w:val="center"/>
        </w:trPr>
        <w:tc>
          <w:tcPr>
            <w:tcW w:w="709" w:type="dxa"/>
            <w:hideMark/>
          </w:tcPr>
          <w:p w14:paraId="28B70B5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140</w:t>
            </w:r>
          </w:p>
        </w:tc>
        <w:tc>
          <w:tcPr>
            <w:tcW w:w="3402" w:type="dxa"/>
            <w:hideMark/>
          </w:tcPr>
          <w:p w14:paraId="113A224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HIDALGO</w:t>
            </w:r>
          </w:p>
        </w:tc>
        <w:tc>
          <w:tcPr>
            <w:tcW w:w="1843" w:type="dxa"/>
            <w:hideMark/>
          </w:tcPr>
          <w:p w14:paraId="7E40ECC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1BC988D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FFAFDB1" w14:textId="77777777" w:rsidTr="00036A6A">
        <w:trPr>
          <w:jc w:val="center"/>
        </w:trPr>
        <w:tc>
          <w:tcPr>
            <w:tcW w:w="709" w:type="dxa"/>
            <w:hideMark/>
          </w:tcPr>
          <w:p w14:paraId="3035264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141</w:t>
            </w:r>
          </w:p>
        </w:tc>
        <w:tc>
          <w:tcPr>
            <w:tcW w:w="3402" w:type="dxa"/>
            <w:hideMark/>
          </w:tcPr>
          <w:p w14:paraId="020AF18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LOS REYES</w:t>
            </w:r>
          </w:p>
        </w:tc>
        <w:tc>
          <w:tcPr>
            <w:tcW w:w="1843" w:type="dxa"/>
            <w:hideMark/>
          </w:tcPr>
          <w:p w14:paraId="78E0793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5696530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5B4A5FA" w14:textId="77777777" w:rsidTr="00036A6A">
        <w:trPr>
          <w:jc w:val="center"/>
        </w:trPr>
        <w:tc>
          <w:tcPr>
            <w:tcW w:w="709" w:type="dxa"/>
            <w:hideMark/>
          </w:tcPr>
          <w:p w14:paraId="3AE34F3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142</w:t>
            </w:r>
          </w:p>
        </w:tc>
        <w:tc>
          <w:tcPr>
            <w:tcW w:w="3402" w:type="dxa"/>
            <w:hideMark/>
          </w:tcPr>
          <w:p w14:paraId="3D62914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PATZCUARO</w:t>
            </w:r>
          </w:p>
        </w:tc>
        <w:tc>
          <w:tcPr>
            <w:tcW w:w="1843" w:type="dxa"/>
            <w:hideMark/>
          </w:tcPr>
          <w:p w14:paraId="096C0F4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119329B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E9E1DC3" w14:textId="77777777" w:rsidTr="00036A6A">
        <w:trPr>
          <w:jc w:val="center"/>
        </w:trPr>
        <w:tc>
          <w:tcPr>
            <w:tcW w:w="709" w:type="dxa"/>
            <w:hideMark/>
          </w:tcPr>
          <w:p w14:paraId="0E5046C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143</w:t>
            </w:r>
          </w:p>
        </w:tc>
        <w:tc>
          <w:tcPr>
            <w:tcW w:w="3402" w:type="dxa"/>
            <w:hideMark/>
          </w:tcPr>
          <w:p w14:paraId="38B7394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PENJAMO</w:t>
            </w:r>
          </w:p>
        </w:tc>
        <w:tc>
          <w:tcPr>
            <w:tcW w:w="1843" w:type="dxa"/>
            <w:hideMark/>
          </w:tcPr>
          <w:p w14:paraId="681D002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3B9AD9B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AB00C87" w14:textId="77777777" w:rsidTr="00036A6A">
        <w:trPr>
          <w:jc w:val="center"/>
        </w:trPr>
        <w:tc>
          <w:tcPr>
            <w:tcW w:w="709" w:type="dxa"/>
            <w:hideMark/>
          </w:tcPr>
          <w:p w14:paraId="52E8A01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144</w:t>
            </w:r>
          </w:p>
        </w:tc>
        <w:tc>
          <w:tcPr>
            <w:tcW w:w="3402" w:type="dxa"/>
            <w:hideMark/>
          </w:tcPr>
          <w:p w14:paraId="4152CC4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PURUANDIRO</w:t>
            </w:r>
          </w:p>
        </w:tc>
        <w:tc>
          <w:tcPr>
            <w:tcW w:w="1843" w:type="dxa"/>
            <w:hideMark/>
          </w:tcPr>
          <w:p w14:paraId="2072A60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6958B1F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AC3C8D6" w14:textId="77777777" w:rsidTr="00036A6A">
        <w:trPr>
          <w:jc w:val="center"/>
        </w:trPr>
        <w:tc>
          <w:tcPr>
            <w:tcW w:w="709" w:type="dxa"/>
            <w:hideMark/>
          </w:tcPr>
          <w:p w14:paraId="1EDD489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145</w:t>
            </w:r>
          </w:p>
        </w:tc>
        <w:tc>
          <w:tcPr>
            <w:tcW w:w="3402" w:type="dxa"/>
            <w:hideMark/>
          </w:tcPr>
          <w:p w14:paraId="2A35E55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RIO VERDE</w:t>
            </w:r>
          </w:p>
        </w:tc>
        <w:tc>
          <w:tcPr>
            <w:tcW w:w="1843" w:type="dxa"/>
            <w:hideMark/>
          </w:tcPr>
          <w:p w14:paraId="70AC7F2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SLP</w:t>
            </w:r>
          </w:p>
        </w:tc>
        <w:tc>
          <w:tcPr>
            <w:tcW w:w="2835" w:type="dxa"/>
            <w:hideMark/>
          </w:tcPr>
          <w:p w14:paraId="249672E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55B7112" w14:textId="77777777" w:rsidTr="00036A6A">
        <w:trPr>
          <w:jc w:val="center"/>
        </w:trPr>
        <w:tc>
          <w:tcPr>
            <w:tcW w:w="709" w:type="dxa"/>
            <w:hideMark/>
          </w:tcPr>
          <w:p w14:paraId="03FC925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146</w:t>
            </w:r>
          </w:p>
        </w:tc>
        <w:tc>
          <w:tcPr>
            <w:tcW w:w="3402" w:type="dxa"/>
            <w:hideMark/>
          </w:tcPr>
          <w:p w14:paraId="0B85AF0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SALVATIERRA</w:t>
            </w:r>
          </w:p>
        </w:tc>
        <w:tc>
          <w:tcPr>
            <w:tcW w:w="1843" w:type="dxa"/>
            <w:hideMark/>
          </w:tcPr>
          <w:p w14:paraId="229765B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2526321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AA14858" w14:textId="77777777" w:rsidTr="00036A6A">
        <w:trPr>
          <w:jc w:val="center"/>
        </w:trPr>
        <w:tc>
          <w:tcPr>
            <w:tcW w:w="709" w:type="dxa"/>
            <w:hideMark/>
          </w:tcPr>
          <w:p w14:paraId="600D908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147</w:t>
            </w:r>
          </w:p>
        </w:tc>
        <w:tc>
          <w:tcPr>
            <w:tcW w:w="3402" w:type="dxa"/>
            <w:hideMark/>
          </w:tcPr>
          <w:p w14:paraId="036EBF2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LUIS DE LA PAZ</w:t>
            </w:r>
          </w:p>
        </w:tc>
        <w:tc>
          <w:tcPr>
            <w:tcW w:w="1843" w:type="dxa"/>
            <w:hideMark/>
          </w:tcPr>
          <w:p w14:paraId="4AA8C7E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480B0A9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96E90F0" w14:textId="77777777" w:rsidTr="00036A6A">
        <w:trPr>
          <w:jc w:val="center"/>
        </w:trPr>
        <w:tc>
          <w:tcPr>
            <w:tcW w:w="709" w:type="dxa"/>
            <w:hideMark/>
          </w:tcPr>
          <w:p w14:paraId="486158D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148</w:t>
            </w:r>
          </w:p>
        </w:tc>
        <w:tc>
          <w:tcPr>
            <w:tcW w:w="3402" w:type="dxa"/>
            <w:hideMark/>
          </w:tcPr>
          <w:p w14:paraId="599A407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SILAO</w:t>
            </w:r>
          </w:p>
        </w:tc>
        <w:tc>
          <w:tcPr>
            <w:tcW w:w="1843" w:type="dxa"/>
            <w:hideMark/>
          </w:tcPr>
          <w:p w14:paraId="0DA8FC7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GTO</w:t>
            </w:r>
          </w:p>
        </w:tc>
        <w:tc>
          <w:tcPr>
            <w:tcW w:w="2835" w:type="dxa"/>
            <w:hideMark/>
          </w:tcPr>
          <w:p w14:paraId="26E9264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F10CEC3" w14:textId="77777777" w:rsidTr="00036A6A">
        <w:trPr>
          <w:jc w:val="center"/>
        </w:trPr>
        <w:tc>
          <w:tcPr>
            <w:tcW w:w="709" w:type="dxa"/>
            <w:hideMark/>
          </w:tcPr>
          <w:p w14:paraId="01BB3FE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149</w:t>
            </w:r>
          </w:p>
        </w:tc>
        <w:tc>
          <w:tcPr>
            <w:tcW w:w="3402" w:type="dxa"/>
            <w:hideMark/>
          </w:tcPr>
          <w:p w14:paraId="078F25F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ZACAPU</w:t>
            </w:r>
          </w:p>
        </w:tc>
        <w:tc>
          <w:tcPr>
            <w:tcW w:w="1843" w:type="dxa"/>
            <w:hideMark/>
          </w:tcPr>
          <w:p w14:paraId="19AF115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6C38834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4E193C8" w14:textId="77777777" w:rsidTr="00036A6A">
        <w:trPr>
          <w:jc w:val="center"/>
        </w:trPr>
        <w:tc>
          <w:tcPr>
            <w:tcW w:w="709" w:type="dxa"/>
            <w:hideMark/>
          </w:tcPr>
          <w:p w14:paraId="52D8E53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150</w:t>
            </w:r>
          </w:p>
        </w:tc>
        <w:tc>
          <w:tcPr>
            <w:tcW w:w="3402" w:type="dxa"/>
            <w:hideMark/>
          </w:tcPr>
          <w:p w14:paraId="65DEF2D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TECATE</w:t>
            </w:r>
          </w:p>
        </w:tc>
        <w:tc>
          <w:tcPr>
            <w:tcW w:w="1843" w:type="dxa"/>
            <w:hideMark/>
          </w:tcPr>
          <w:p w14:paraId="3516AC8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BCN</w:t>
            </w:r>
          </w:p>
        </w:tc>
        <w:tc>
          <w:tcPr>
            <w:tcW w:w="2835" w:type="dxa"/>
            <w:hideMark/>
          </w:tcPr>
          <w:p w14:paraId="41E54DA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AB04383" w14:textId="77777777" w:rsidTr="00036A6A">
        <w:trPr>
          <w:jc w:val="center"/>
        </w:trPr>
        <w:tc>
          <w:tcPr>
            <w:tcW w:w="709" w:type="dxa"/>
            <w:hideMark/>
          </w:tcPr>
          <w:p w14:paraId="2CEF206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151</w:t>
            </w:r>
          </w:p>
        </w:tc>
        <w:tc>
          <w:tcPr>
            <w:tcW w:w="3402" w:type="dxa"/>
            <w:hideMark/>
          </w:tcPr>
          <w:p w14:paraId="6CBA9A2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GUADALUPE VICTORIA</w:t>
            </w:r>
          </w:p>
        </w:tc>
        <w:tc>
          <w:tcPr>
            <w:tcW w:w="1843" w:type="dxa"/>
            <w:hideMark/>
          </w:tcPr>
          <w:p w14:paraId="4DB7E33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DGO</w:t>
            </w:r>
          </w:p>
        </w:tc>
        <w:tc>
          <w:tcPr>
            <w:tcW w:w="2835" w:type="dxa"/>
            <w:hideMark/>
          </w:tcPr>
          <w:p w14:paraId="22949F4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1519C9C" w14:textId="77777777" w:rsidTr="00036A6A">
        <w:trPr>
          <w:jc w:val="center"/>
        </w:trPr>
        <w:tc>
          <w:tcPr>
            <w:tcW w:w="709" w:type="dxa"/>
            <w:hideMark/>
          </w:tcPr>
          <w:p w14:paraId="171AB9B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152</w:t>
            </w:r>
          </w:p>
        </w:tc>
        <w:tc>
          <w:tcPr>
            <w:tcW w:w="3402" w:type="dxa"/>
            <w:hideMark/>
          </w:tcPr>
          <w:p w14:paraId="7753024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ENCARNACIÓN DE DIAZ</w:t>
            </w:r>
          </w:p>
        </w:tc>
        <w:tc>
          <w:tcPr>
            <w:tcW w:w="1843" w:type="dxa"/>
            <w:hideMark/>
          </w:tcPr>
          <w:p w14:paraId="468C7B5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1663E4E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39407F5" w14:textId="77777777" w:rsidTr="00036A6A">
        <w:trPr>
          <w:jc w:val="center"/>
        </w:trPr>
        <w:tc>
          <w:tcPr>
            <w:tcW w:w="709" w:type="dxa"/>
            <w:hideMark/>
          </w:tcPr>
          <w:p w14:paraId="02F1B79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153</w:t>
            </w:r>
          </w:p>
        </w:tc>
        <w:tc>
          <w:tcPr>
            <w:tcW w:w="3402" w:type="dxa"/>
            <w:hideMark/>
          </w:tcPr>
          <w:p w14:paraId="0E1D923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CABORCA</w:t>
            </w:r>
          </w:p>
        </w:tc>
        <w:tc>
          <w:tcPr>
            <w:tcW w:w="1843" w:type="dxa"/>
            <w:hideMark/>
          </w:tcPr>
          <w:p w14:paraId="1F7F512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725A0C3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E631874" w14:textId="77777777" w:rsidTr="00036A6A">
        <w:trPr>
          <w:jc w:val="center"/>
        </w:trPr>
        <w:tc>
          <w:tcPr>
            <w:tcW w:w="709" w:type="dxa"/>
            <w:hideMark/>
          </w:tcPr>
          <w:p w14:paraId="6101F14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154</w:t>
            </w:r>
          </w:p>
        </w:tc>
        <w:tc>
          <w:tcPr>
            <w:tcW w:w="3402" w:type="dxa"/>
            <w:hideMark/>
          </w:tcPr>
          <w:p w14:paraId="2292489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CANANEA</w:t>
            </w:r>
          </w:p>
        </w:tc>
        <w:tc>
          <w:tcPr>
            <w:tcW w:w="1843" w:type="dxa"/>
            <w:hideMark/>
          </w:tcPr>
          <w:p w14:paraId="60F7EF9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22AE93A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9487F2F" w14:textId="77777777" w:rsidTr="00036A6A">
        <w:trPr>
          <w:jc w:val="center"/>
        </w:trPr>
        <w:tc>
          <w:tcPr>
            <w:tcW w:w="709" w:type="dxa"/>
            <w:hideMark/>
          </w:tcPr>
          <w:p w14:paraId="5AADE91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155</w:t>
            </w:r>
          </w:p>
        </w:tc>
        <w:tc>
          <w:tcPr>
            <w:tcW w:w="3402" w:type="dxa"/>
            <w:hideMark/>
          </w:tcPr>
          <w:p w14:paraId="5CD4E89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GUAMUCHIL</w:t>
            </w:r>
          </w:p>
        </w:tc>
        <w:tc>
          <w:tcPr>
            <w:tcW w:w="1843" w:type="dxa"/>
            <w:hideMark/>
          </w:tcPr>
          <w:p w14:paraId="6EEC71C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SIN</w:t>
            </w:r>
          </w:p>
        </w:tc>
        <w:tc>
          <w:tcPr>
            <w:tcW w:w="2835" w:type="dxa"/>
            <w:hideMark/>
          </w:tcPr>
          <w:p w14:paraId="7FD6AA1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87CC794" w14:textId="77777777" w:rsidTr="00036A6A">
        <w:trPr>
          <w:jc w:val="center"/>
        </w:trPr>
        <w:tc>
          <w:tcPr>
            <w:tcW w:w="709" w:type="dxa"/>
            <w:hideMark/>
          </w:tcPr>
          <w:p w14:paraId="1D4422E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156</w:t>
            </w:r>
          </w:p>
        </w:tc>
        <w:tc>
          <w:tcPr>
            <w:tcW w:w="3402" w:type="dxa"/>
            <w:hideMark/>
          </w:tcPr>
          <w:p w14:paraId="59FB3F1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COZUMEL</w:t>
            </w:r>
          </w:p>
        </w:tc>
        <w:tc>
          <w:tcPr>
            <w:tcW w:w="1843" w:type="dxa"/>
            <w:hideMark/>
          </w:tcPr>
          <w:p w14:paraId="16B16E3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Q.R.</w:t>
            </w:r>
          </w:p>
        </w:tc>
        <w:tc>
          <w:tcPr>
            <w:tcW w:w="2835" w:type="dxa"/>
            <w:hideMark/>
          </w:tcPr>
          <w:p w14:paraId="2FDEFC2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AAEAD15" w14:textId="77777777" w:rsidTr="00036A6A">
        <w:trPr>
          <w:jc w:val="center"/>
        </w:trPr>
        <w:tc>
          <w:tcPr>
            <w:tcW w:w="709" w:type="dxa"/>
            <w:hideMark/>
          </w:tcPr>
          <w:p w14:paraId="060136F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157</w:t>
            </w:r>
          </w:p>
        </w:tc>
        <w:tc>
          <w:tcPr>
            <w:tcW w:w="3402" w:type="dxa"/>
            <w:hideMark/>
          </w:tcPr>
          <w:p w14:paraId="77A625B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VILLA FLORES</w:t>
            </w:r>
          </w:p>
        </w:tc>
        <w:tc>
          <w:tcPr>
            <w:tcW w:w="1843" w:type="dxa"/>
            <w:hideMark/>
          </w:tcPr>
          <w:p w14:paraId="3C0135E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CHIS</w:t>
            </w:r>
          </w:p>
        </w:tc>
        <w:tc>
          <w:tcPr>
            <w:tcW w:w="2835" w:type="dxa"/>
            <w:hideMark/>
          </w:tcPr>
          <w:p w14:paraId="157E55C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9E6F6EF" w14:textId="77777777" w:rsidTr="00036A6A">
        <w:trPr>
          <w:jc w:val="center"/>
        </w:trPr>
        <w:tc>
          <w:tcPr>
            <w:tcW w:w="709" w:type="dxa"/>
            <w:hideMark/>
          </w:tcPr>
          <w:p w14:paraId="0A32D20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158</w:t>
            </w:r>
          </w:p>
        </w:tc>
        <w:tc>
          <w:tcPr>
            <w:tcW w:w="3402" w:type="dxa"/>
            <w:hideMark/>
          </w:tcPr>
          <w:p w14:paraId="5AB0106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ATLACOMULCO</w:t>
            </w:r>
          </w:p>
        </w:tc>
        <w:tc>
          <w:tcPr>
            <w:tcW w:w="1843" w:type="dxa"/>
            <w:hideMark/>
          </w:tcPr>
          <w:p w14:paraId="2F71887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EDO. DE MEX.</w:t>
            </w:r>
          </w:p>
        </w:tc>
        <w:tc>
          <w:tcPr>
            <w:tcW w:w="2835" w:type="dxa"/>
            <w:hideMark/>
          </w:tcPr>
          <w:p w14:paraId="318E448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B110047" w14:textId="77777777" w:rsidTr="00036A6A">
        <w:trPr>
          <w:jc w:val="center"/>
        </w:trPr>
        <w:tc>
          <w:tcPr>
            <w:tcW w:w="709" w:type="dxa"/>
            <w:hideMark/>
          </w:tcPr>
          <w:p w14:paraId="6C9C022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159</w:t>
            </w:r>
          </w:p>
        </w:tc>
        <w:tc>
          <w:tcPr>
            <w:tcW w:w="3402" w:type="dxa"/>
            <w:hideMark/>
          </w:tcPr>
          <w:p w14:paraId="380B1EA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HUETAMO</w:t>
            </w:r>
          </w:p>
        </w:tc>
        <w:tc>
          <w:tcPr>
            <w:tcW w:w="1843" w:type="dxa"/>
            <w:hideMark/>
          </w:tcPr>
          <w:p w14:paraId="1DA4DFF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592FD52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DE51924" w14:textId="77777777" w:rsidTr="00036A6A">
        <w:trPr>
          <w:jc w:val="center"/>
        </w:trPr>
        <w:tc>
          <w:tcPr>
            <w:tcW w:w="709" w:type="dxa"/>
            <w:hideMark/>
          </w:tcPr>
          <w:p w14:paraId="764465B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160</w:t>
            </w:r>
          </w:p>
        </w:tc>
        <w:tc>
          <w:tcPr>
            <w:tcW w:w="3402" w:type="dxa"/>
            <w:hideMark/>
          </w:tcPr>
          <w:p w14:paraId="38FF8AC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JALPA</w:t>
            </w:r>
          </w:p>
        </w:tc>
        <w:tc>
          <w:tcPr>
            <w:tcW w:w="1843" w:type="dxa"/>
            <w:hideMark/>
          </w:tcPr>
          <w:p w14:paraId="3E7BD80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ZAC</w:t>
            </w:r>
          </w:p>
        </w:tc>
        <w:tc>
          <w:tcPr>
            <w:tcW w:w="2835" w:type="dxa"/>
            <w:hideMark/>
          </w:tcPr>
          <w:p w14:paraId="301B2EF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41027EF" w14:textId="77777777" w:rsidTr="00036A6A">
        <w:trPr>
          <w:jc w:val="center"/>
        </w:trPr>
        <w:tc>
          <w:tcPr>
            <w:tcW w:w="709" w:type="dxa"/>
            <w:hideMark/>
          </w:tcPr>
          <w:p w14:paraId="79022D0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161</w:t>
            </w:r>
          </w:p>
        </w:tc>
        <w:tc>
          <w:tcPr>
            <w:tcW w:w="3402" w:type="dxa"/>
            <w:hideMark/>
          </w:tcPr>
          <w:p w14:paraId="6386532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TEQUILA</w:t>
            </w:r>
          </w:p>
        </w:tc>
        <w:tc>
          <w:tcPr>
            <w:tcW w:w="1843" w:type="dxa"/>
            <w:hideMark/>
          </w:tcPr>
          <w:p w14:paraId="3331423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JAL</w:t>
            </w:r>
          </w:p>
        </w:tc>
        <w:tc>
          <w:tcPr>
            <w:tcW w:w="2835" w:type="dxa"/>
            <w:hideMark/>
          </w:tcPr>
          <w:p w14:paraId="03C5BDD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CE1F89C" w14:textId="77777777" w:rsidTr="00036A6A">
        <w:trPr>
          <w:jc w:val="center"/>
        </w:trPr>
        <w:tc>
          <w:tcPr>
            <w:tcW w:w="709" w:type="dxa"/>
            <w:hideMark/>
          </w:tcPr>
          <w:p w14:paraId="0AD8E55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162</w:t>
            </w:r>
          </w:p>
        </w:tc>
        <w:tc>
          <w:tcPr>
            <w:tcW w:w="3402" w:type="dxa"/>
            <w:hideMark/>
          </w:tcPr>
          <w:p w14:paraId="3DE2716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BAHIA DE HUATULCO</w:t>
            </w:r>
          </w:p>
        </w:tc>
        <w:tc>
          <w:tcPr>
            <w:tcW w:w="1843" w:type="dxa"/>
            <w:hideMark/>
          </w:tcPr>
          <w:p w14:paraId="3325448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OAX</w:t>
            </w:r>
          </w:p>
        </w:tc>
        <w:tc>
          <w:tcPr>
            <w:tcW w:w="2835" w:type="dxa"/>
            <w:hideMark/>
          </w:tcPr>
          <w:p w14:paraId="37C1B24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71B880B" w14:textId="77777777" w:rsidTr="00036A6A">
        <w:trPr>
          <w:jc w:val="center"/>
        </w:trPr>
        <w:tc>
          <w:tcPr>
            <w:tcW w:w="709" w:type="dxa"/>
            <w:hideMark/>
          </w:tcPr>
          <w:p w14:paraId="240B3AD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163</w:t>
            </w:r>
          </w:p>
        </w:tc>
        <w:tc>
          <w:tcPr>
            <w:tcW w:w="3402" w:type="dxa"/>
            <w:hideMark/>
          </w:tcPr>
          <w:p w14:paraId="5DDCE62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HIDALGO</w:t>
            </w:r>
          </w:p>
        </w:tc>
        <w:tc>
          <w:tcPr>
            <w:tcW w:w="1843" w:type="dxa"/>
            <w:hideMark/>
          </w:tcPr>
          <w:p w14:paraId="7E75574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N.L.</w:t>
            </w:r>
          </w:p>
        </w:tc>
        <w:tc>
          <w:tcPr>
            <w:tcW w:w="2835" w:type="dxa"/>
            <w:hideMark/>
          </w:tcPr>
          <w:p w14:paraId="76A2301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CD4D7C7" w14:textId="77777777" w:rsidTr="00036A6A">
        <w:trPr>
          <w:jc w:val="center"/>
        </w:trPr>
        <w:tc>
          <w:tcPr>
            <w:tcW w:w="709" w:type="dxa"/>
            <w:hideMark/>
          </w:tcPr>
          <w:p w14:paraId="063EF5E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164</w:t>
            </w:r>
          </w:p>
        </w:tc>
        <w:tc>
          <w:tcPr>
            <w:tcW w:w="3402" w:type="dxa"/>
            <w:hideMark/>
          </w:tcPr>
          <w:p w14:paraId="386D361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SABINAS</w:t>
            </w:r>
          </w:p>
        </w:tc>
        <w:tc>
          <w:tcPr>
            <w:tcW w:w="1843" w:type="dxa"/>
            <w:hideMark/>
          </w:tcPr>
          <w:p w14:paraId="50C1555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COAH</w:t>
            </w:r>
          </w:p>
        </w:tc>
        <w:tc>
          <w:tcPr>
            <w:tcW w:w="2835" w:type="dxa"/>
            <w:hideMark/>
          </w:tcPr>
          <w:p w14:paraId="23F3D8E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4DF2B6F" w14:textId="77777777" w:rsidTr="00036A6A">
        <w:trPr>
          <w:jc w:val="center"/>
        </w:trPr>
        <w:tc>
          <w:tcPr>
            <w:tcW w:w="709" w:type="dxa"/>
            <w:hideMark/>
          </w:tcPr>
          <w:p w14:paraId="6C66E08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165</w:t>
            </w:r>
          </w:p>
        </w:tc>
        <w:tc>
          <w:tcPr>
            <w:tcW w:w="3402" w:type="dxa"/>
            <w:hideMark/>
          </w:tcPr>
          <w:p w14:paraId="41C0A92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ARCELIA</w:t>
            </w:r>
          </w:p>
        </w:tc>
        <w:tc>
          <w:tcPr>
            <w:tcW w:w="1843" w:type="dxa"/>
            <w:hideMark/>
          </w:tcPr>
          <w:p w14:paraId="1727399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56D8C3D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39F325D" w14:textId="77777777" w:rsidTr="00036A6A">
        <w:trPr>
          <w:jc w:val="center"/>
        </w:trPr>
        <w:tc>
          <w:tcPr>
            <w:tcW w:w="709" w:type="dxa"/>
            <w:hideMark/>
          </w:tcPr>
          <w:p w14:paraId="109230F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166</w:t>
            </w:r>
          </w:p>
        </w:tc>
        <w:tc>
          <w:tcPr>
            <w:tcW w:w="3402" w:type="dxa"/>
            <w:hideMark/>
          </w:tcPr>
          <w:p w14:paraId="536D664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TIZAYUCA</w:t>
            </w:r>
          </w:p>
        </w:tc>
        <w:tc>
          <w:tcPr>
            <w:tcW w:w="1843" w:type="dxa"/>
            <w:hideMark/>
          </w:tcPr>
          <w:p w14:paraId="26FA410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HGO</w:t>
            </w:r>
          </w:p>
        </w:tc>
        <w:tc>
          <w:tcPr>
            <w:tcW w:w="2835" w:type="dxa"/>
            <w:hideMark/>
          </w:tcPr>
          <w:p w14:paraId="699DBE6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CC0D67A" w14:textId="77777777" w:rsidTr="00036A6A">
        <w:trPr>
          <w:jc w:val="center"/>
        </w:trPr>
        <w:tc>
          <w:tcPr>
            <w:tcW w:w="709" w:type="dxa"/>
            <w:hideMark/>
          </w:tcPr>
          <w:p w14:paraId="6D5C00A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167</w:t>
            </w:r>
          </w:p>
        </w:tc>
        <w:tc>
          <w:tcPr>
            <w:tcW w:w="3402" w:type="dxa"/>
            <w:hideMark/>
          </w:tcPr>
          <w:p w14:paraId="7D923C4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CATEMACO</w:t>
            </w:r>
          </w:p>
        </w:tc>
        <w:tc>
          <w:tcPr>
            <w:tcW w:w="1843" w:type="dxa"/>
            <w:hideMark/>
          </w:tcPr>
          <w:p w14:paraId="6E1FEE7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5A0C811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DB1B17A" w14:textId="77777777" w:rsidTr="00036A6A">
        <w:trPr>
          <w:jc w:val="center"/>
        </w:trPr>
        <w:tc>
          <w:tcPr>
            <w:tcW w:w="709" w:type="dxa"/>
            <w:hideMark/>
          </w:tcPr>
          <w:p w14:paraId="7CF0C39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168</w:t>
            </w:r>
          </w:p>
        </w:tc>
        <w:tc>
          <w:tcPr>
            <w:tcW w:w="3402" w:type="dxa"/>
            <w:hideMark/>
          </w:tcPr>
          <w:p w14:paraId="3B8D27D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CHILAPA</w:t>
            </w:r>
          </w:p>
        </w:tc>
        <w:tc>
          <w:tcPr>
            <w:tcW w:w="1843" w:type="dxa"/>
            <w:hideMark/>
          </w:tcPr>
          <w:p w14:paraId="313E39C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3B3C270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18DE660" w14:textId="77777777" w:rsidTr="00036A6A">
        <w:trPr>
          <w:jc w:val="center"/>
        </w:trPr>
        <w:tc>
          <w:tcPr>
            <w:tcW w:w="709" w:type="dxa"/>
            <w:hideMark/>
          </w:tcPr>
          <w:p w14:paraId="74F253C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lastRenderedPageBreak/>
              <w:t>169</w:t>
            </w:r>
          </w:p>
        </w:tc>
        <w:tc>
          <w:tcPr>
            <w:tcW w:w="3402" w:type="dxa"/>
            <w:hideMark/>
          </w:tcPr>
          <w:p w14:paraId="0F8618C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HUITZUCO</w:t>
            </w:r>
          </w:p>
        </w:tc>
        <w:tc>
          <w:tcPr>
            <w:tcW w:w="1843" w:type="dxa"/>
            <w:hideMark/>
          </w:tcPr>
          <w:p w14:paraId="26711F0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5CC0F54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08E2164" w14:textId="77777777" w:rsidTr="00036A6A">
        <w:trPr>
          <w:jc w:val="center"/>
        </w:trPr>
        <w:tc>
          <w:tcPr>
            <w:tcW w:w="709" w:type="dxa"/>
            <w:hideMark/>
          </w:tcPr>
          <w:p w14:paraId="6BCBE55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170</w:t>
            </w:r>
          </w:p>
        </w:tc>
        <w:tc>
          <w:tcPr>
            <w:tcW w:w="3402" w:type="dxa"/>
            <w:hideMark/>
          </w:tcPr>
          <w:p w14:paraId="0829126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IXTLAN DEL RIO</w:t>
            </w:r>
          </w:p>
        </w:tc>
        <w:tc>
          <w:tcPr>
            <w:tcW w:w="1843" w:type="dxa"/>
            <w:hideMark/>
          </w:tcPr>
          <w:p w14:paraId="2AB3689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NAY</w:t>
            </w:r>
          </w:p>
        </w:tc>
        <w:tc>
          <w:tcPr>
            <w:tcW w:w="2835" w:type="dxa"/>
            <w:hideMark/>
          </w:tcPr>
          <w:p w14:paraId="3FBF14C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4AFFD53" w14:textId="77777777" w:rsidTr="00036A6A">
        <w:trPr>
          <w:jc w:val="center"/>
        </w:trPr>
        <w:tc>
          <w:tcPr>
            <w:tcW w:w="709" w:type="dxa"/>
            <w:hideMark/>
          </w:tcPr>
          <w:p w14:paraId="07A3CB2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171</w:t>
            </w:r>
          </w:p>
        </w:tc>
        <w:tc>
          <w:tcPr>
            <w:tcW w:w="3402" w:type="dxa"/>
            <w:hideMark/>
          </w:tcPr>
          <w:p w14:paraId="31B5582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PALENQUE</w:t>
            </w:r>
          </w:p>
        </w:tc>
        <w:tc>
          <w:tcPr>
            <w:tcW w:w="1843" w:type="dxa"/>
            <w:hideMark/>
          </w:tcPr>
          <w:p w14:paraId="1502D65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CHIS</w:t>
            </w:r>
          </w:p>
        </w:tc>
        <w:tc>
          <w:tcPr>
            <w:tcW w:w="2835" w:type="dxa"/>
            <w:hideMark/>
          </w:tcPr>
          <w:p w14:paraId="28E56DB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4455596" w14:textId="77777777" w:rsidTr="00036A6A">
        <w:trPr>
          <w:jc w:val="center"/>
        </w:trPr>
        <w:tc>
          <w:tcPr>
            <w:tcW w:w="709" w:type="dxa"/>
            <w:hideMark/>
          </w:tcPr>
          <w:p w14:paraId="6E9610D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172</w:t>
            </w:r>
          </w:p>
        </w:tc>
        <w:tc>
          <w:tcPr>
            <w:tcW w:w="3402" w:type="dxa"/>
            <w:hideMark/>
          </w:tcPr>
          <w:p w14:paraId="0E1046E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CINTALAPA</w:t>
            </w:r>
          </w:p>
        </w:tc>
        <w:tc>
          <w:tcPr>
            <w:tcW w:w="1843" w:type="dxa"/>
            <w:hideMark/>
          </w:tcPr>
          <w:p w14:paraId="217D7E5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CHIS</w:t>
            </w:r>
          </w:p>
        </w:tc>
        <w:tc>
          <w:tcPr>
            <w:tcW w:w="2835" w:type="dxa"/>
            <w:hideMark/>
          </w:tcPr>
          <w:p w14:paraId="66638DD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FC12BC3" w14:textId="77777777" w:rsidTr="00036A6A">
        <w:trPr>
          <w:jc w:val="center"/>
        </w:trPr>
        <w:tc>
          <w:tcPr>
            <w:tcW w:w="709" w:type="dxa"/>
            <w:hideMark/>
          </w:tcPr>
          <w:p w14:paraId="42F1253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173</w:t>
            </w:r>
          </w:p>
        </w:tc>
        <w:tc>
          <w:tcPr>
            <w:tcW w:w="3402" w:type="dxa"/>
            <w:hideMark/>
          </w:tcPr>
          <w:p w14:paraId="382DCB5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CHINA</w:t>
            </w:r>
          </w:p>
        </w:tc>
        <w:tc>
          <w:tcPr>
            <w:tcW w:w="1843" w:type="dxa"/>
            <w:hideMark/>
          </w:tcPr>
          <w:p w14:paraId="4FDF3F1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N.L.</w:t>
            </w:r>
          </w:p>
        </w:tc>
        <w:tc>
          <w:tcPr>
            <w:tcW w:w="2835" w:type="dxa"/>
            <w:hideMark/>
          </w:tcPr>
          <w:p w14:paraId="428552A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115E92E" w14:textId="77777777" w:rsidTr="00036A6A">
        <w:trPr>
          <w:jc w:val="center"/>
        </w:trPr>
        <w:tc>
          <w:tcPr>
            <w:tcW w:w="709" w:type="dxa"/>
            <w:hideMark/>
          </w:tcPr>
          <w:p w14:paraId="00B88FD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174</w:t>
            </w:r>
          </w:p>
        </w:tc>
        <w:tc>
          <w:tcPr>
            <w:tcW w:w="3402" w:type="dxa"/>
            <w:hideMark/>
          </w:tcPr>
          <w:p w14:paraId="4371EC5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TELOLOAPAN</w:t>
            </w:r>
          </w:p>
        </w:tc>
        <w:tc>
          <w:tcPr>
            <w:tcW w:w="1843" w:type="dxa"/>
            <w:hideMark/>
          </w:tcPr>
          <w:p w14:paraId="04848DE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6C4513C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141B1742" w14:textId="77777777" w:rsidTr="00036A6A">
        <w:trPr>
          <w:jc w:val="center"/>
        </w:trPr>
        <w:tc>
          <w:tcPr>
            <w:tcW w:w="709" w:type="dxa"/>
            <w:hideMark/>
          </w:tcPr>
          <w:p w14:paraId="309F62A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175</w:t>
            </w:r>
          </w:p>
        </w:tc>
        <w:tc>
          <w:tcPr>
            <w:tcW w:w="3402" w:type="dxa"/>
            <w:hideMark/>
          </w:tcPr>
          <w:p w14:paraId="6D986B7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SANTA ROSALIA</w:t>
            </w:r>
          </w:p>
        </w:tc>
        <w:tc>
          <w:tcPr>
            <w:tcW w:w="1843" w:type="dxa"/>
            <w:hideMark/>
          </w:tcPr>
          <w:p w14:paraId="0B5ED8E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B.C.S</w:t>
            </w:r>
          </w:p>
        </w:tc>
        <w:tc>
          <w:tcPr>
            <w:tcW w:w="2835" w:type="dxa"/>
            <w:hideMark/>
          </w:tcPr>
          <w:p w14:paraId="50B392F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E30A6C2" w14:textId="77777777" w:rsidTr="00036A6A">
        <w:trPr>
          <w:jc w:val="center"/>
        </w:trPr>
        <w:tc>
          <w:tcPr>
            <w:tcW w:w="709" w:type="dxa"/>
            <w:hideMark/>
          </w:tcPr>
          <w:p w14:paraId="6E57F18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176</w:t>
            </w:r>
          </w:p>
        </w:tc>
        <w:tc>
          <w:tcPr>
            <w:tcW w:w="3402" w:type="dxa"/>
            <w:hideMark/>
          </w:tcPr>
          <w:p w14:paraId="3EDA9F5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OMETEPEC</w:t>
            </w:r>
          </w:p>
        </w:tc>
        <w:tc>
          <w:tcPr>
            <w:tcW w:w="1843" w:type="dxa"/>
            <w:hideMark/>
          </w:tcPr>
          <w:p w14:paraId="6420976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515D952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318C559" w14:textId="77777777" w:rsidTr="00036A6A">
        <w:trPr>
          <w:jc w:val="center"/>
        </w:trPr>
        <w:tc>
          <w:tcPr>
            <w:tcW w:w="709" w:type="dxa"/>
            <w:hideMark/>
          </w:tcPr>
          <w:p w14:paraId="7B7A17E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177</w:t>
            </w:r>
          </w:p>
        </w:tc>
        <w:tc>
          <w:tcPr>
            <w:tcW w:w="3402" w:type="dxa"/>
            <w:hideMark/>
          </w:tcPr>
          <w:p w14:paraId="15F4A27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TLAPA DE COMONFORT</w:t>
            </w:r>
          </w:p>
        </w:tc>
        <w:tc>
          <w:tcPr>
            <w:tcW w:w="1843" w:type="dxa"/>
            <w:hideMark/>
          </w:tcPr>
          <w:p w14:paraId="650947B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3011B9F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29FF4EF" w14:textId="77777777" w:rsidTr="00036A6A">
        <w:trPr>
          <w:jc w:val="center"/>
        </w:trPr>
        <w:tc>
          <w:tcPr>
            <w:tcW w:w="709" w:type="dxa"/>
            <w:hideMark/>
          </w:tcPr>
          <w:p w14:paraId="5857C82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178</w:t>
            </w:r>
          </w:p>
        </w:tc>
        <w:tc>
          <w:tcPr>
            <w:tcW w:w="3402" w:type="dxa"/>
            <w:hideMark/>
          </w:tcPr>
          <w:p w14:paraId="3AA5DAA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LERDO DE TEJADA</w:t>
            </w:r>
          </w:p>
        </w:tc>
        <w:tc>
          <w:tcPr>
            <w:tcW w:w="1843" w:type="dxa"/>
            <w:hideMark/>
          </w:tcPr>
          <w:p w14:paraId="07C12C4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18CB845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C670F5F" w14:textId="77777777" w:rsidTr="00036A6A">
        <w:trPr>
          <w:jc w:val="center"/>
        </w:trPr>
        <w:tc>
          <w:tcPr>
            <w:tcW w:w="709" w:type="dxa"/>
            <w:hideMark/>
          </w:tcPr>
          <w:p w14:paraId="5D84690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179</w:t>
            </w:r>
          </w:p>
        </w:tc>
        <w:tc>
          <w:tcPr>
            <w:tcW w:w="3402" w:type="dxa"/>
            <w:hideMark/>
          </w:tcPr>
          <w:p w14:paraId="3BBE73E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ZINAPECUARO</w:t>
            </w:r>
          </w:p>
        </w:tc>
        <w:tc>
          <w:tcPr>
            <w:tcW w:w="1843" w:type="dxa"/>
            <w:hideMark/>
          </w:tcPr>
          <w:p w14:paraId="14716BD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5E43DC4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60D756E" w14:textId="77777777" w:rsidTr="00036A6A">
        <w:trPr>
          <w:jc w:val="center"/>
        </w:trPr>
        <w:tc>
          <w:tcPr>
            <w:tcW w:w="709" w:type="dxa"/>
            <w:hideMark/>
          </w:tcPr>
          <w:p w14:paraId="48C59F7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180</w:t>
            </w:r>
          </w:p>
        </w:tc>
        <w:tc>
          <w:tcPr>
            <w:tcW w:w="3402" w:type="dxa"/>
            <w:hideMark/>
          </w:tcPr>
          <w:p w14:paraId="60830D5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ACAPONETA</w:t>
            </w:r>
          </w:p>
        </w:tc>
        <w:tc>
          <w:tcPr>
            <w:tcW w:w="1843" w:type="dxa"/>
            <w:hideMark/>
          </w:tcPr>
          <w:p w14:paraId="1EA49C0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NAY</w:t>
            </w:r>
          </w:p>
        </w:tc>
        <w:tc>
          <w:tcPr>
            <w:tcW w:w="2835" w:type="dxa"/>
            <w:hideMark/>
          </w:tcPr>
          <w:p w14:paraId="2C0279F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912FB8E" w14:textId="77777777" w:rsidTr="00036A6A">
        <w:trPr>
          <w:jc w:val="center"/>
        </w:trPr>
        <w:tc>
          <w:tcPr>
            <w:tcW w:w="709" w:type="dxa"/>
            <w:hideMark/>
          </w:tcPr>
          <w:p w14:paraId="7D5EFD7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181</w:t>
            </w:r>
          </w:p>
        </w:tc>
        <w:tc>
          <w:tcPr>
            <w:tcW w:w="3402" w:type="dxa"/>
            <w:hideMark/>
          </w:tcPr>
          <w:p w14:paraId="402E857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TECUALA</w:t>
            </w:r>
          </w:p>
        </w:tc>
        <w:tc>
          <w:tcPr>
            <w:tcW w:w="1843" w:type="dxa"/>
            <w:hideMark/>
          </w:tcPr>
          <w:p w14:paraId="53C3DC5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NAY</w:t>
            </w:r>
          </w:p>
        </w:tc>
        <w:tc>
          <w:tcPr>
            <w:tcW w:w="2835" w:type="dxa"/>
            <w:hideMark/>
          </w:tcPr>
          <w:p w14:paraId="1BE987F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8FAA6CE" w14:textId="77777777" w:rsidTr="00036A6A">
        <w:trPr>
          <w:jc w:val="center"/>
        </w:trPr>
        <w:tc>
          <w:tcPr>
            <w:tcW w:w="709" w:type="dxa"/>
            <w:hideMark/>
          </w:tcPr>
          <w:p w14:paraId="1849601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182</w:t>
            </w:r>
          </w:p>
        </w:tc>
        <w:tc>
          <w:tcPr>
            <w:tcW w:w="3402" w:type="dxa"/>
            <w:hideMark/>
          </w:tcPr>
          <w:p w14:paraId="51F7FC3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NACOZARI</w:t>
            </w:r>
          </w:p>
        </w:tc>
        <w:tc>
          <w:tcPr>
            <w:tcW w:w="1843" w:type="dxa"/>
            <w:hideMark/>
          </w:tcPr>
          <w:p w14:paraId="31949E9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2D95701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638C4142" w14:textId="77777777" w:rsidTr="00036A6A">
        <w:trPr>
          <w:jc w:val="center"/>
        </w:trPr>
        <w:tc>
          <w:tcPr>
            <w:tcW w:w="709" w:type="dxa"/>
            <w:hideMark/>
          </w:tcPr>
          <w:p w14:paraId="22DE155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183</w:t>
            </w:r>
          </w:p>
        </w:tc>
        <w:tc>
          <w:tcPr>
            <w:tcW w:w="3402" w:type="dxa"/>
            <w:hideMark/>
          </w:tcPr>
          <w:p w14:paraId="3CE6532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CRISTOBAL DE LAS CASAS</w:t>
            </w:r>
          </w:p>
        </w:tc>
        <w:tc>
          <w:tcPr>
            <w:tcW w:w="1843" w:type="dxa"/>
            <w:hideMark/>
          </w:tcPr>
          <w:p w14:paraId="6B11964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CHIS</w:t>
            </w:r>
          </w:p>
        </w:tc>
        <w:tc>
          <w:tcPr>
            <w:tcW w:w="2835" w:type="dxa"/>
            <w:hideMark/>
          </w:tcPr>
          <w:p w14:paraId="1CBEECB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CF5DC54" w14:textId="77777777" w:rsidTr="00036A6A">
        <w:trPr>
          <w:jc w:val="center"/>
        </w:trPr>
        <w:tc>
          <w:tcPr>
            <w:tcW w:w="709" w:type="dxa"/>
            <w:hideMark/>
          </w:tcPr>
          <w:p w14:paraId="16B068D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184</w:t>
            </w:r>
          </w:p>
        </w:tc>
        <w:tc>
          <w:tcPr>
            <w:tcW w:w="3402" w:type="dxa"/>
            <w:hideMark/>
          </w:tcPr>
          <w:p w14:paraId="08B25D6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CD. CAMARGO</w:t>
            </w:r>
          </w:p>
        </w:tc>
        <w:tc>
          <w:tcPr>
            <w:tcW w:w="1843" w:type="dxa"/>
            <w:hideMark/>
          </w:tcPr>
          <w:p w14:paraId="3DB6818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TAPS</w:t>
            </w:r>
          </w:p>
        </w:tc>
        <w:tc>
          <w:tcPr>
            <w:tcW w:w="2835" w:type="dxa"/>
            <w:hideMark/>
          </w:tcPr>
          <w:p w14:paraId="1D93DF9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67021A1" w14:textId="77777777" w:rsidTr="00036A6A">
        <w:trPr>
          <w:jc w:val="center"/>
        </w:trPr>
        <w:tc>
          <w:tcPr>
            <w:tcW w:w="709" w:type="dxa"/>
            <w:hideMark/>
          </w:tcPr>
          <w:p w14:paraId="0F12640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185</w:t>
            </w:r>
          </w:p>
        </w:tc>
        <w:tc>
          <w:tcPr>
            <w:tcW w:w="3402" w:type="dxa"/>
            <w:hideMark/>
          </w:tcPr>
          <w:p w14:paraId="4F93138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CERRALVO</w:t>
            </w:r>
          </w:p>
        </w:tc>
        <w:tc>
          <w:tcPr>
            <w:tcW w:w="1843" w:type="dxa"/>
            <w:hideMark/>
          </w:tcPr>
          <w:p w14:paraId="5861702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N.L.</w:t>
            </w:r>
          </w:p>
        </w:tc>
        <w:tc>
          <w:tcPr>
            <w:tcW w:w="2835" w:type="dxa"/>
            <w:hideMark/>
          </w:tcPr>
          <w:p w14:paraId="2D19161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9A7ED9A" w14:textId="77777777" w:rsidTr="00036A6A">
        <w:trPr>
          <w:jc w:val="center"/>
        </w:trPr>
        <w:tc>
          <w:tcPr>
            <w:tcW w:w="709" w:type="dxa"/>
            <w:hideMark/>
          </w:tcPr>
          <w:p w14:paraId="06C6F1B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186</w:t>
            </w:r>
          </w:p>
        </w:tc>
        <w:tc>
          <w:tcPr>
            <w:tcW w:w="3402" w:type="dxa"/>
            <w:hideMark/>
          </w:tcPr>
          <w:p w14:paraId="19338CE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ALTAMIRANO</w:t>
            </w:r>
          </w:p>
        </w:tc>
        <w:tc>
          <w:tcPr>
            <w:tcW w:w="1843" w:type="dxa"/>
            <w:hideMark/>
          </w:tcPr>
          <w:p w14:paraId="69B0BC0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3C2A310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EE2E4F7" w14:textId="77777777" w:rsidTr="00036A6A">
        <w:trPr>
          <w:jc w:val="center"/>
        </w:trPr>
        <w:tc>
          <w:tcPr>
            <w:tcW w:w="709" w:type="dxa"/>
            <w:hideMark/>
          </w:tcPr>
          <w:p w14:paraId="7A5303C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187</w:t>
            </w:r>
          </w:p>
        </w:tc>
        <w:tc>
          <w:tcPr>
            <w:tcW w:w="3402" w:type="dxa"/>
            <w:hideMark/>
          </w:tcPr>
          <w:p w14:paraId="5DC523D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PETATLAN</w:t>
            </w:r>
          </w:p>
        </w:tc>
        <w:tc>
          <w:tcPr>
            <w:tcW w:w="1843" w:type="dxa"/>
            <w:hideMark/>
          </w:tcPr>
          <w:p w14:paraId="6EFDBA3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16DD9D2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1F0334C" w14:textId="77777777" w:rsidTr="00036A6A">
        <w:trPr>
          <w:jc w:val="center"/>
        </w:trPr>
        <w:tc>
          <w:tcPr>
            <w:tcW w:w="709" w:type="dxa"/>
            <w:hideMark/>
          </w:tcPr>
          <w:p w14:paraId="7176C4F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188</w:t>
            </w:r>
          </w:p>
        </w:tc>
        <w:tc>
          <w:tcPr>
            <w:tcW w:w="3402" w:type="dxa"/>
            <w:hideMark/>
          </w:tcPr>
          <w:p w14:paraId="746F7E3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TECPAN DE GALEANA</w:t>
            </w:r>
          </w:p>
        </w:tc>
        <w:tc>
          <w:tcPr>
            <w:tcW w:w="1843" w:type="dxa"/>
            <w:hideMark/>
          </w:tcPr>
          <w:p w14:paraId="7449E44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51C6C7E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35324815" w14:textId="77777777" w:rsidTr="00036A6A">
        <w:trPr>
          <w:jc w:val="center"/>
        </w:trPr>
        <w:tc>
          <w:tcPr>
            <w:tcW w:w="709" w:type="dxa"/>
            <w:hideMark/>
          </w:tcPr>
          <w:p w14:paraId="06ECDBE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189</w:t>
            </w:r>
          </w:p>
        </w:tc>
        <w:tc>
          <w:tcPr>
            <w:tcW w:w="3402" w:type="dxa"/>
            <w:hideMark/>
          </w:tcPr>
          <w:p w14:paraId="47BCF8F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TIXTLA</w:t>
            </w:r>
          </w:p>
        </w:tc>
        <w:tc>
          <w:tcPr>
            <w:tcW w:w="1843" w:type="dxa"/>
            <w:hideMark/>
          </w:tcPr>
          <w:p w14:paraId="37A829F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GRO</w:t>
            </w:r>
          </w:p>
        </w:tc>
        <w:tc>
          <w:tcPr>
            <w:tcW w:w="2835" w:type="dxa"/>
            <w:hideMark/>
          </w:tcPr>
          <w:p w14:paraId="495DF95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E4C89A1" w14:textId="77777777" w:rsidTr="00036A6A">
        <w:trPr>
          <w:jc w:val="center"/>
        </w:trPr>
        <w:tc>
          <w:tcPr>
            <w:tcW w:w="709" w:type="dxa"/>
            <w:hideMark/>
          </w:tcPr>
          <w:p w14:paraId="6504152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190</w:t>
            </w:r>
          </w:p>
        </w:tc>
        <w:tc>
          <w:tcPr>
            <w:tcW w:w="3402" w:type="dxa"/>
            <w:hideMark/>
          </w:tcPr>
          <w:p w14:paraId="68AD97D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SANTIAGO PAPASQUIARO</w:t>
            </w:r>
          </w:p>
        </w:tc>
        <w:tc>
          <w:tcPr>
            <w:tcW w:w="1843" w:type="dxa"/>
            <w:hideMark/>
          </w:tcPr>
          <w:p w14:paraId="66A634C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DGO</w:t>
            </w:r>
          </w:p>
        </w:tc>
        <w:tc>
          <w:tcPr>
            <w:tcW w:w="2835" w:type="dxa"/>
            <w:hideMark/>
          </w:tcPr>
          <w:p w14:paraId="11434F7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F3DF645" w14:textId="77777777" w:rsidTr="00036A6A">
        <w:trPr>
          <w:jc w:val="center"/>
        </w:trPr>
        <w:tc>
          <w:tcPr>
            <w:tcW w:w="709" w:type="dxa"/>
            <w:hideMark/>
          </w:tcPr>
          <w:p w14:paraId="3948D9E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191</w:t>
            </w:r>
          </w:p>
        </w:tc>
        <w:tc>
          <w:tcPr>
            <w:tcW w:w="3402" w:type="dxa"/>
            <w:hideMark/>
          </w:tcPr>
          <w:p w14:paraId="3ADD3D4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SANTA ANA</w:t>
            </w:r>
          </w:p>
        </w:tc>
        <w:tc>
          <w:tcPr>
            <w:tcW w:w="1843" w:type="dxa"/>
            <w:hideMark/>
          </w:tcPr>
          <w:p w14:paraId="5484A10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7F21D03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0AE7DC34" w14:textId="77777777" w:rsidTr="00036A6A">
        <w:trPr>
          <w:jc w:val="center"/>
        </w:trPr>
        <w:tc>
          <w:tcPr>
            <w:tcW w:w="709" w:type="dxa"/>
            <w:hideMark/>
          </w:tcPr>
          <w:p w14:paraId="171D8DB6"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192</w:t>
            </w:r>
          </w:p>
        </w:tc>
        <w:tc>
          <w:tcPr>
            <w:tcW w:w="3402" w:type="dxa"/>
            <w:hideMark/>
          </w:tcPr>
          <w:p w14:paraId="63D22E0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URES</w:t>
            </w:r>
          </w:p>
        </w:tc>
        <w:tc>
          <w:tcPr>
            <w:tcW w:w="1843" w:type="dxa"/>
            <w:hideMark/>
          </w:tcPr>
          <w:p w14:paraId="113C6AC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SON</w:t>
            </w:r>
          </w:p>
        </w:tc>
        <w:tc>
          <w:tcPr>
            <w:tcW w:w="2835" w:type="dxa"/>
            <w:hideMark/>
          </w:tcPr>
          <w:p w14:paraId="55D942E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EE87E3E" w14:textId="77777777" w:rsidTr="00036A6A">
        <w:trPr>
          <w:jc w:val="center"/>
        </w:trPr>
        <w:tc>
          <w:tcPr>
            <w:tcW w:w="709" w:type="dxa"/>
            <w:hideMark/>
          </w:tcPr>
          <w:p w14:paraId="7BF7734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193</w:t>
            </w:r>
          </w:p>
        </w:tc>
        <w:tc>
          <w:tcPr>
            <w:tcW w:w="3402" w:type="dxa"/>
            <w:hideMark/>
          </w:tcPr>
          <w:p w14:paraId="5F0E7A6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TICUL</w:t>
            </w:r>
          </w:p>
        </w:tc>
        <w:tc>
          <w:tcPr>
            <w:tcW w:w="1843" w:type="dxa"/>
            <w:hideMark/>
          </w:tcPr>
          <w:p w14:paraId="497BAFBE"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YUC</w:t>
            </w:r>
          </w:p>
        </w:tc>
        <w:tc>
          <w:tcPr>
            <w:tcW w:w="2835" w:type="dxa"/>
            <w:hideMark/>
          </w:tcPr>
          <w:p w14:paraId="2911E77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9DACE12" w14:textId="77777777" w:rsidTr="00036A6A">
        <w:trPr>
          <w:jc w:val="center"/>
        </w:trPr>
        <w:tc>
          <w:tcPr>
            <w:tcW w:w="709" w:type="dxa"/>
            <w:hideMark/>
          </w:tcPr>
          <w:p w14:paraId="283FE01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194</w:t>
            </w:r>
          </w:p>
        </w:tc>
        <w:tc>
          <w:tcPr>
            <w:tcW w:w="3402" w:type="dxa"/>
            <w:hideMark/>
          </w:tcPr>
          <w:p w14:paraId="3584F52D"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TIZIMIN</w:t>
            </w:r>
          </w:p>
        </w:tc>
        <w:tc>
          <w:tcPr>
            <w:tcW w:w="1843" w:type="dxa"/>
            <w:hideMark/>
          </w:tcPr>
          <w:p w14:paraId="48BE8DDF"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YUC</w:t>
            </w:r>
          </w:p>
        </w:tc>
        <w:tc>
          <w:tcPr>
            <w:tcW w:w="2835" w:type="dxa"/>
            <w:hideMark/>
          </w:tcPr>
          <w:p w14:paraId="51558BA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24998EF5" w14:textId="77777777" w:rsidTr="00036A6A">
        <w:trPr>
          <w:jc w:val="center"/>
        </w:trPr>
        <w:tc>
          <w:tcPr>
            <w:tcW w:w="709" w:type="dxa"/>
            <w:hideMark/>
          </w:tcPr>
          <w:p w14:paraId="3A206AE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195</w:t>
            </w:r>
          </w:p>
        </w:tc>
        <w:tc>
          <w:tcPr>
            <w:tcW w:w="3402" w:type="dxa"/>
            <w:hideMark/>
          </w:tcPr>
          <w:p w14:paraId="08B2A62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HUIMANGUILLO</w:t>
            </w:r>
          </w:p>
        </w:tc>
        <w:tc>
          <w:tcPr>
            <w:tcW w:w="1843" w:type="dxa"/>
            <w:hideMark/>
          </w:tcPr>
          <w:p w14:paraId="489D8F9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TAB</w:t>
            </w:r>
          </w:p>
        </w:tc>
        <w:tc>
          <w:tcPr>
            <w:tcW w:w="2835" w:type="dxa"/>
            <w:hideMark/>
          </w:tcPr>
          <w:p w14:paraId="5F99A69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E24043C" w14:textId="77777777" w:rsidTr="00036A6A">
        <w:trPr>
          <w:jc w:val="center"/>
        </w:trPr>
        <w:tc>
          <w:tcPr>
            <w:tcW w:w="709" w:type="dxa"/>
            <w:hideMark/>
          </w:tcPr>
          <w:p w14:paraId="320E1024"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196</w:t>
            </w:r>
          </w:p>
        </w:tc>
        <w:tc>
          <w:tcPr>
            <w:tcW w:w="3402" w:type="dxa"/>
            <w:hideMark/>
          </w:tcPr>
          <w:p w14:paraId="608E055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MANUEL</w:t>
            </w:r>
          </w:p>
        </w:tc>
        <w:tc>
          <w:tcPr>
            <w:tcW w:w="1843" w:type="dxa"/>
            <w:hideMark/>
          </w:tcPr>
          <w:p w14:paraId="436F2F9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TAPS</w:t>
            </w:r>
          </w:p>
        </w:tc>
        <w:tc>
          <w:tcPr>
            <w:tcW w:w="2835" w:type="dxa"/>
            <w:hideMark/>
          </w:tcPr>
          <w:p w14:paraId="1B81D062"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7A388818" w14:textId="77777777" w:rsidTr="00036A6A">
        <w:trPr>
          <w:jc w:val="center"/>
        </w:trPr>
        <w:tc>
          <w:tcPr>
            <w:tcW w:w="709" w:type="dxa"/>
            <w:hideMark/>
          </w:tcPr>
          <w:p w14:paraId="26C35A5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197</w:t>
            </w:r>
          </w:p>
        </w:tc>
        <w:tc>
          <w:tcPr>
            <w:tcW w:w="3402" w:type="dxa"/>
            <w:hideMark/>
          </w:tcPr>
          <w:p w14:paraId="2F6CE48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TLACOTALPAN</w:t>
            </w:r>
          </w:p>
        </w:tc>
        <w:tc>
          <w:tcPr>
            <w:tcW w:w="1843" w:type="dxa"/>
            <w:hideMark/>
          </w:tcPr>
          <w:p w14:paraId="7F88596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VER</w:t>
            </w:r>
          </w:p>
        </w:tc>
        <w:tc>
          <w:tcPr>
            <w:tcW w:w="2835" w:type="dxa"/>
            <w:hideMark/>
          </w:tcPr>
          <w:p w14:paraId="2CDB758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508538DA" w14:textId="77777777" w:rsidTr="00036A6A">
        <w:trPr>
          <w:jc w:val="center"/>
        </w:trPr>
        <w:tc>
          <w:tcPr>
            <w:tcW w:w="709" w:type="dxa"/>
            <w:hideMark/>
          </w:tcPr>
          <w:p w14:paraId="65C9E891"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198</w:t>
            </w:r>
          </w:p>
        </w:tc>
        <w:tc>
          <w:tcPr>
            <w:tcW w:w="3402" w:type="dxa"/>
            <w:hideMark/>
          </w:tcPr>
          <w:p w14:paraId="0DEBF997"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JOSE GRACIA</w:t>
            </w:r>
          </w:p>
        </w:tc>
        <w:tc>
          <w:tcPr>
            <w:tcW w:w="1843" w:type="dxa"/>
            <w:hideMark/>
          </w:tcPr>
          <w:p w14:paraId="30D2D37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2306A218"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8762D1" w:rsidRPr="008762D1" w14:paraId="44201CFF" w14:textId="77777777" w:rsidTr="00036A6A">
        <w:trPr>
          <w:jc w:val="center"/>
        </w:trPr>
        <w:tc>
          <w:tcPr>
            <w:tcW w:w="709" w:type="dxa"/>
            <w:hideMark/>
          </w:tcPr>
          <w:p w14:paraId="21E2DDA3"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199</w:t>
            </w:r>
          </w:p>
        </w:tc>
        <w:tc>
          <w:tcPr>
            <w:tcW w:w="3402" w:type="dxa"/>
            <w:hideMark/>
          </w:tcPr>
          <w:p w14:paraId="175D72E9"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YURECUARO</w:t>
            </w:r>
          </w:p>
        </w:tc>
        <w:tc>
          <w:tcPr>
            <w:tcW w:w="1843" w:type="dxa"/>
            <w:hideMark/>
          </w:tcPr>
          <w:p w14:paraId="770E0D10"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MICH</w:t>
            </w:r>
          </w:p>
        </w:tc>
        <w:tc>
          <w:tcPr>
            <w:tcW w:w="2835" w:type="dxa"/>
            <w:hideMark/>
          </w:tcPr>
          <w:p w14:paraId="71181665"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r w:rsidR="00526FE9" w:rsidRPr="008762D1" w14:paraId="59C3D53E" w14:textId="77777777" w:rsidTr="00036A6A">
        <w:trPr>
          <w:jc w:val="center"/>
        </w:trPr>
        <w:tc>
          <w:tcPr>
            <w:tcW w:w="709" w:type="dxa"/>
            <w:hideMark/>
          </w:tcPr>
          <w:p w14:paraId="1F0549AA"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200</w:t>
            </w:r>
          </w:p>
        </w:tc>
        <w:tc>
          <w:tcPr>
            <w:tcW w:w="3402" w:type="dxa"/>
            <w:hideMark/>
          </w:tcPr>
          <w:p w14:paraId="28E7CF3C"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SAN QUINTIN</w:t>
            </w:r>
          </w:p>
        </w:tc>
        <w:tc>
          <w:tcPr>
            <w:tcW w:w="1843" w:type="dxa"/>
            <w:hideMark/>
          </w:tcPr>
          <w:p w14:paraId="6005E76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B.C.N.</w:t>
            </w:r>
          </w:p>
        </w:tc>
        <w:tc>
          <w:tcPr>
            <w:tcW w:w="2835" w:type="dxa"/>
            <w:hideMark/>
          </w:tcPr>
          <w:p w14:paraId="5D8BDDAB" w14:textId="77777777" w:rsidR="00526FE9" w:rsidRPr="008762D1" w:rsidRDefault="00526FE9" w:rsidP="00B93C63">
            <w:pPr>
              <w:jc w:val="both"/>
              <w:rPr>
                <w:rFonts w:ascii="ITC Avant Garde" w:hAnsi="ITC Avant Garde"/>
                <w:color w:val="000000" w:themeColor="text1"/>
              </w:rPr>
            </w:pPr>
            <w:r w:rsidRPr="008762D1">
              <w:rPr>
                <w:rFonts w:ascii="ITC Avant Garde" w:hAnsi="ITC Avant Garde"/>
                <w:color w:val="000000" w:themeColor="text1"/>
              </w:rPr>
              <w:t>BAJA</w:t>
            </w:r>
          </w:p>
        </w:tc>
      </w:tr>
    </w:tbl>
    <w:p w14:paraId="48D8897C" w14:textId="77777777" w:rsidR="00526FE9" w:rsidRPr="008762D1" w:rsidRDefault="00526FE9" w:rsidP="000F0B9F">
      <w:pPr>
        <w:spacing w:before="240"/>
        <w:jc w:val="both"/>
        <w:rPr>
          <w:rFonts w:ascii="ITC Avant Garde" w:hAnsi="ITC Avant Garde"/>
          <w:color w:val="000000" w:themeColor="text1"/>
          <w:lang w:val="es-ES" w:eastAsia="es-ES"/>
        </w:rPr>
      </w:pPr>
    </w:p>
    <w:p w14:paraId="361F2B58" w14:textId="77777777" w:rsidR="00526FE9" w:rsidRPr="008762D1" w:rsidRDefault="00526FE9" w:rsidP="000F0B9F">
      <w:pPr>
        <w:spacing w:before="240"/>
        <w:rPr>
          <w:rFonts w:ascii="ITC Avant Garde" w:hAnsi="ITC Avant Garde"/>
          <w:color w:val="000000" w:themeColor="text1"/>
        </w:rPr>
        <w:sectPr w:rsidR="00526FE9" w:rsidRPr="008762D1">
          <w:pgSz w:w="12240" w:h="15840"/>
          <w:pgMar w:top="1843" w:right="1440" w:bottom="1440" w:left="1440" w:header="720" w:footer="720" w:gutter="0"/>
          <w:pgNumType w:start="1"/>
          <w:cols w:space="720"/>
        </w:sectPr>
      </w:pPr>
    </w:p>
    <w:p w14:paraId="64CEABE1" w14:textId="7F41A57F" w:rsidR="00526FE9" w:rsidRPr="008762D1" w:rsidRDefault="00526FE9" w:rsidP="000F0B9F">
      <w:pPr>
        <w:pStyle w:val="Textoindependiente"/>
        <w:spacing w:before="240"/>
        <w:jc w:val="center"/>
        <w:rPr>
          <w:rFonts w:ascii="ITC Avant Garde" w:hAnsi="ITC Avant Garde"/>
          <w:b/>
          <w:color w:val="000000" w:themeColor="text1"/>
          <w:u w:val="single"/>
        </w:rPr>
      </w:pPr>
      <w:r w:rsidRPr="008762D1">
        <w:rPr>
          <w:rFonts w:ascii="Times New Roman" w:hAnsi="Times New Roman"/>
          <w:noProof/>
          <w:color w:val="000000" w:themeColor="text1"/>
          <w:sz w:val="24"/>
          <w:szCs w:val="24"/>
          <w:lang w:eastAsia="es-MX"/>
        </w:rPr>
        <w:lastRenderedPageBreak/>
        <w:drawing>
          <wp:inline distT="0" distB="0" distL="0" distR="0" wp14:anchorId="759C97D6" wp14:editId="21D6E8FE">
            <wp:extent cx="8258175" cy="4951730"/>
            <wp:effectExtent l="0" t="0" r="9525" b="1270"/>
            <wp:docPr id="7" name="Imagen 7" descr="Anexo 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8175" cy="4951730"/>
                    </a:xfrm>
                    <a:prstGeom prst="rect">
                      <a:avLst/>
                    </a:prstGeom>
                    <a:noFill/>
                  </pic:spPr>
                </pic:pic>
              </a:graphicData>
            </a:graphic>
          </wp:inline>
        </w:drawing>
      </w:r>
      <w:r w:rsidRPr="008762D1">
        <w:rPr>
          <w:color w:val="000000" w:themeColor="text1"/>
        </w:rPr>
        <w:t xml:space="preserve"> </w:t>
      </w:r>
    </w:p>
    <w:p w14:paraId="67A4B991" w14:textId="77777777" w:rsidR="00526FE9" w:rsidRPr="008762D1" w:rsidRDefault="00526FE9" w:rsidP="000F0B9F">
      <w:pPr>
        <w:spacing w:before="240"/>
        <w:rPr>
          <w:rFonts w:ascii="ITC Avant Garde" w:hAnsi="ITC Avant Garde"/>
          <w:color w:val="000000" w:themeColor="text1"/>
          <w:u w:val="single"/>
        </w:rPr>
        <w:sectPr w:rsidR="00526FE9" w:rsidRPr="008762D1">
          <w:pgSz w:w="15840" w:h="12240" w:orient="landscape"/>
          <w:pgMar w:top="993" w:right="1418" w:bottom="1701" w:left="1418" w:header="720" w:footer="720" w:gutter="0"/>
          <w:pgNumType w:start="1"/>
          <w:cols w:space="720"/>
        </w:sectPr>
      </w:pPr>
    </w:p>
    <w:p w14:paraId="356FDFEB" w14:textId="77777777" w:rsidR="00526FE9" w:rsidRPr="008762D1" w:rsidRDefault="00526FE9" w:rsidP="00DA0894">
      <w:pPr>
        <w:pStyle w:val="Ttulo2"/>
        <w:spacing w:before="240" w:after="0"/>
        <w:jc w:val="center"/>
        <w:rPr>
          <w:color w:val="000000" w:themeColor="text1"/>
        </w:rPr>
      </w:pPr>
      <w:r w:rsidRPr="008762D1">
        <w:rPr>
          <w:color w:val="000000" w:themeColor="text1"/>
        </w:rPr>
        <w:lastRenderedPageBreak/>
        <w:t>ANEXO D</w:t>
      </w:r>
    </w:p>
    <w:p w14:paraId="10A7A7A4" w14:textId="77777777" w:rsidR="000F0B9F" w:rsidRPr="008762D1" w:rsidRDefault="00526FE9" w:rsidP="000F0B9F">
      <w:pPr>
        <w:pStyle w:val="Textoindependiente"/>
        <w:spacing w:before="240"/>
        <w:jc w:val="center"/>
        <w:rPr>
          <w:rFonts w:ascii="ITC Avant Garde" w:hAnsi="ITC Avant Garde"/>
          <w:b/>
          <w:color w:val="000000" w:themeColor="text1"/>
        </w:rPr>
      </w:pPr>
      <w:r w:rsidRPr="008762D1">
        <w:rPr>
          <w:rFonts w:ascii="ITC Avant Garde" w:hAnsi="ITC Avant Garde"/>
          <w:b/>
          <w:color w:val="000000" w:themeColor="text1"/>
          <w:u w:val="single"/>
        </w:rPr>
        <w:t>FORMATO DE FACTURACIÓN</w:t>
      </w:r>
    </w:p>
    <w:p w14:paraId="73C5EC9B" w14:textId="72D75C68"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EL PRESENTE DOCUMENTO CONSTITUYE UN ANEXO INTEGRANTE DEL CONVENIO MARCO DE INTERCONEXIÓN ENTRE LAS REDES DE TELMEX CON LA RED PÚBLICA DE TELECOMUNICACIONES DE </w:t>
      </w:r>
      <w:r w:rsidR="007B0A7C" w:rsidRPr="00F031E8">
        <w:rPr>
          <w:rFonts w:ascii="ITC Avant Garde" w:hAnsi="ITC Avant Garde" w:cs="Arial"/>
          <w:b/>
          <w:color w:val="0000FF"/>
        </w:rPr>
        <w:t>[…]</w:t>
      </w:r>
      <w:r w:rsidR="007B0A7C">
        <w:rPr>
          <w:rFonts w:ascii="ITC Avant Garde" w:hAnsi="ITC Avant Garde" w:cs="Arial"/>
          <w:b/>
          <w:color w:val="0000FF"/>
        </w:rPr>
        <w:t>.</w:t>
      </w:r>
    </w:p>
    <w:p w14:paraId="72CCA2A5" w14:textId="77777777" w:rsidR="000F0B9F" w:rsidRPr="008762D1" w:rsidRDefault="00526FE9" w:rsidP="000F0B9F">
      <w:pPr>
        <w:pStyle w:val="Textoindependiente"/>
        <w:spacing w:before="240"/>
        <w:jc w:val="both"/>
        <w:rPr>
          <w:rFonts w:ascii="ITC Avant Garde" w:hAnsi="ITC Avant Garde"/>
          <w:b/>
          <w:color w:val="000000" w:themeColor="text1"/>
        </w:rPr>
      </w:pPr>
      <w:r w:rsidRPr="008762D1">
        <w:rPr>
          <w:rFonts w:ascii="ITC Avant Garde" w:hAnsi="ITC Avant Garde"/>
          <w:b/>
          <w:color w:val="000000" w:themeColor="text1"/>
        </w:rPr>
        <w:t>I.- Introducción:</w:t>
      </w:r>
    </w:p>
    <w:p w14:paraId="24CACB39" w14:textId="77777777" w:rsidR="000F0B9F"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color w:val="000000" w:themeColor="text1"/>
        </w:rPr>
        <w:t>La emisión de la facturación y el proceso de pago correspondiente se sujetarán a los términos establecidos en cuerpo principal del Convenio de Interconexión.</w:t>
      </w:r>
    </w:p>
    <w:p w14:paraId="2CACBC7E" w14:textId="77777777" w:rsidR="000F0B9F"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color w:val="000000" w:themeColor="text1"/>
        </w:rPr>
        <w:t>El acuerdo se basa en los siguientes conceptos:</w:t>
      </w:r>
    </w:p>
    <w:p w14:paraId="3490394B" w14:textId="12E31517" w:rsidR="00526FE9" w:rsidRPr="008762D1" w:rsidRDefault="00526FE9" w:rsidP="000F0B9F">
      <w:pPr>
        <w:pStyle w:val="Textoindependiente"/>
        <w:numPr>
          <w:ilvl w:val="0"/>
          <w:numId w:val="65"/>
        </w:numPr>
        <w:tabs>
          <w:tab w:val="left" w:pos="360"/>
        </w:tabs>
        <w:spacing w:before="240" w:after="0" w:line="240" w:lineRule="auto"/>
        <w:jc w:val="both"/>
        <w:rPr>
          <w:rFonts w:ascii="ITC Avant Garde" w:hAnsi="ITC Avant Garde"/>
          <w:b/>
          <w:color w:val="000000" w:themeColor="text1"/>
        </w:rPr>
      </w:pPr>
      <w:r w:rsidRPr="008762D1">
        <w:rPr>
          <w:rFonts w:ascii="ITC Avant Garde" w:hAnsi="ITC Avant Garde"/>
          <w:b/>
          <w:color w:val="000000" w:themeColor="text1"/>
        </w:rPr>
        <w:t>Al facturar:</w:t>
      </w:r>
    </w:p>
    <w:p w14:paraId="1BF2C305" w14:textId="002BF881" w:rsidR="00526FE9" w:rsidRPr="008762D1" w:rsidRDefault="007B0A7C" w:rsidP="000F0B9F">
      <w:pPr>
        <w:pStyle w:val="Textoindependiente"/>
        <w:spacing w:before="240"/>
        <w:ind w:left="360"/>
        <w:jc w:val="both"/>
        <w:rPr>
          <w:rFonts w:ascii="ITC Avant Garde" w:hAnsi="ITC Avant Garde"/>
          <w:b/>
          <w:color w:val="000000" w:themeColor="text1"/>
        </w:rPr>
      </w:pPr>
      <w:r>
        <w:rPr>
          <w:rFonts w:ascii="ITC Avant Garde" w:hAnsi="ITC Avant Garde"/>
          <w:b/>
          <w:color w:val="000000" w:themeColor="text1"/>
        </w:rPr>
        <w:t>Facturación.</w:t>
      </w:r>
    </w:p>
    <w:p w14:paraId="4B306950" w14:textId="77777777" w:rsidR="00526FE9" w:rsidRPr="008762D1" w:rsidRDefault="00526FE9" w:rsidP="000F0B9F">
      <w:pPr>
        <w:pStyle w:val="Textoindependiente"/>
        <w:numPr>
          <w:ilvl w:val="12"/>
          <w:numId w:val="0"/>
        </w:numPr>
        <w:spacing w:before="240"/>
        <w:ind w:left="360"/>
        <w:jc w:val="both"/>
        <w:rPr>
          <w:rFonts w:ascii="ITC Avant Garde" w:hAnsi="ITC Avant Garde"/>
          <w:color w:val="000000" w:themeColor="text1"/>
        </w:rPr>
      </w:pPr>
      <w:r w:rsidRPr="008762D1">
        <w:rPr>
          <w:rFonts w:ascii="ITC Avant Garde" w:hAnsi="ITC Avant Garde"/>
          <w:color w:val="000000" w:themeColor="text1"/>
        </w:rPr>
        <w:t>Se establece la siguiente información que debe contener la factura:</w:t>
      </w:r>
    </w:p>
    <w:p w14:paraId="1B44FB61" w14:textId="77777777" w:rsidR="00526FE9" w:rsidRPr="008762D1" w:rsidRDefault="00526FE9" w:rsidP="000F0B9F">
      <w:pPr>
        <w:pStyle w:val="Textoindependiente"/>
        <w:numPr>
          <w:ilvl w:val="12"/>
          <w:numId w:val="0"/>
        </w:numPr>
        <w:spacing w:before="240"/>
        <w:ind w:left="360"/>
        <w:jc w:val="both"/>
        <w:rPr>
          <w:rFonts w:ascii="ITC Avant Garde" w:hAnsi="ITC Avant Garde"/>
          <w:color w:val="000000" w:themeColor="text1"/>
        </w:rPr>
      </w:pPr>
      <w:r w:rsidRPr="008762D1">
        <w:rPr>
          <w:rFonts w:ascii="ITC Avant Garde" w:hAnsi="ITC Avant Garde"/>
          <w:color w:val="000000" w:themeColor="text1"/>
        </w:rPr>
        <w:t>a) Requisitos de información técnica.</w:t>
      </w:r>
    </w:p>
    <w:p w14:paraId="083DD634" w14:textId="77777777" w:rsidR="000F0B9F" w:rsidRPr="008762D1" w:rsidRDefault="00526FE9" w:rsidP="000F0B9F">
      <w:pPr>
        <w:pStyle w:val="Textoindependiente"/>
        <w:numPr>
          <w:ilvl w:val="12"/>
          <w:numId w:val="0"/>
        </w:numPr>
        <w:spacing w:before="240"/>
        <w:ind w:left="360"/>
        <w:jc w:val="both"/>
        <w:rPr>
          <w:rFonts w:ascii="ITC Avant Garde" w:hAnsi="ITC Avant Garde"/>
          <w:color w:val="000000" w:themeColor="text1"/>
        </w:rPr>
      </w:pPr>
      <w:r w:rsidRPr="008762D1">
        <w:rPr>
          <w:rFonts w:ascii="ITC Avant Garde" w:hAnsi="ITC Avant Garde"/>
          <w:color w:val="000000" w:themeColor="text1"/>
        </w:rPr>
        <w:t>b) Información adicional.</w:t>
      </w:r>
    </w:p>
    <w:p w14:paraId="1FA16DB2" w14:textId="79C7FCE5" w:rsidR="00526FE9" w:rsidRPr="008762D1" w:rsidRDefault="00526FE9" w:rsidP="000F0B9F">
      <w:pPr>
        <w:pStyle w:val="Textoindependiente"/>
        <w:numPr>
          <w:ilvl w:val="0"/>
          <w:numId w:val="65"/>
        </w:numPr>
        <w:tabs>
          <w:tab w:val="left" w:pos="360"/>
        </w:tabs>
        <w:spacing w:before="240" w:after="0" w:line="240" w:lineRule="auto"/>
        <w:jc w:val="both"/>
        <w:rPr>
          <w:rFonts w:ascii="ITC Avant Garde" w:hAnsi="ITC Avant Garde"/>
          <w:b/>
          <w:color w:val="000000" w:themeColor="text1"/>
        </w:rPr>
      </w:pPr>
      <w:r w:rsidRPr="008762D1">
        <w:rPr>
          <w:rFonts w:ascii="ITC Avant Garde" w:hAnsi="ITC Avant Garde"/>
          <w:b/>
          <w:color w:val="000000" w:themeColor="text1"/>
        </w:rPr>
        <w:t>Posteriormente a la facturación:</w:t>
      </w:r>
    </w:p>
    <w:p w14:paraId="0EFA03B5" w14:textId="77777777" w:rsidR="00526FE9" w:rsidRPr="008762D1" w:rsidRDefault="00526FE9" w:rsidP="000F0B9F">
      <w:pPr>
        <w:pStyle w:val="Textoindependiente"/>
        <w:spacing w:before="240"/>
        <w:ind w:left="360"/>
        <w:jc w:val="both"/>
        <w:rPr>
          <w:rFonts w:ascii="ITC Avant Garde" w:hAnsi="ITC Avant Garde"/>
          <w:b/>
          <w:color w:val="000000" w:themeColor="text1"/>
        </w:rPr>
      </w:pPr>
      <w:r w:rsidRPr="008762D1">
        <w:rPr>
          <w:rFonts w:ascii="ITC Avant Garde" w:hAnsi="ITC Avant Garde"/>
          <w:b/>
          <w:color w:val="000000" w:themeColor="text1"/>
        </w:rPr>
        <w:t>Metodología para la aclaración de consumos no reconocidos (objeciones).</w:t>
      </w:r>
    </w:p>
    <w:p w14:paraId="47D11C8B" w14:textId="77777777" w:rsidR="000F0B9F" w:rsidRPr="008762D1" w:rsidRDefault="00526FE9" w:rsidP="000F0B9F">
      <w:pPr>
        <w:pStyle w:val="Textoindependiente"/>
        <w:spacing w:before="240"/>
        <w:ind w:left="360"/>
        <w:jc w:val="both"/>
        <w:rPr>
          <w:rFonts w:ascii="ITC Avant Garde" w:hAnsi="ITC Avant Garde"/>
          <w:b/>
          <w:color w:val="000000" w:themeColor="text1"/>
        </w:rPr>
      </w:pPr>
      <w:r w:rsidRPr="008762D1">
        <w:rPr>
          <w:rFonts w:ascii="ITC Avant Garde" w:hAnsi="ITC Avant Garde"/>
          <w:color w:val="000000" w:themeColor="text1"/>
        </w:rPr>
        <w:t>Se establece la metodología a seguir para la aclaración de consumos no reconocidos por una de las partes.</w:t>
      </w:r>
    </w:p>
    <w:p w14:paraId="1D053DF0" w14:textId="77777777" w:rsidR="000F0B9F" w:rsidRPr="008762D1" w:rsidRDefault="00526FE9" w:rsidP="000F0B9F">
      <w:pPr>
        <w:pStyle w:val="Textoindependiente"/>
        <w:spacing w:before="240"/>
        <w:jc w:val="both"/>
        <w:rPr>
          <w:rFonts w:ascii="ITC Avant Garde" w:hAnsi="ITC Avant Garde"/>
          <w:b/>
          <w:color w:val="000000" w:themeColor="text1"/>
        </w:rPr>
      </w:pPr>
      <w:r w:rsidRPr="008762D1">
        <w:rPr>
          <w:rFonts w:ascii="ITC Avant Garde" w:hAnsi="ITC Avant Garde"/>
          <w:b/>
          <w:color w:val="000000" w:themeColor="text1"/>
        </w:rPr>
        <w:t>II.- Acuerdo:</w:t>
      </w:r>
    </w:p>
    <w:p w14:paraId="5FD6EB30" w14:textId="77777777" w:rsidR="000F0B9F" w:rsidRPr="008762D1" w:rsidRDefault="00526FE9" w:rsidP="000F0B9F">
      <w:pPr>
        <w:pStyle w:val="Textoindependiente"/>
        <w:spacing w:before="240"/>
        <w:jc w:val="both"/>
        <w:rPr>
          <w:rFonts w:ascii="ITC Avant Garde" w:hAnsi="ITC Avant Garde"/>
          <w:b/>
          <w:color w:val="000000" w:themeColor="text1"/>
        </w:rPr>
      </w:pPr>
      <w:r w:rsidRPr="008762D1">
        <w:rPr>
          <w:rFonts w:ascii="ITC Avant Garde" w:hAnsi="ITC Avant Garde"/>
          <w:b/>
          <w:color w:val="000000" w:themeColor="text1"/>
        </w:rPr>
        <w:t>1.- Facturación.</w:t>
      </w:r>
    </w:p>
    <w:p w14:paraId="2B1C7905" w14:textId="77777777" w:rsidR="000F0B9F" w:rsidRPr="008762D1" w:rsidRDefault="00526FE9" w:rsidP="000F0B9F">
      <w:pPr>
        <w:pStyle w:val="Textoindependiente"/>
        <w:spacing w:before="240"/>
        <w:jc w:val="both"/>
        <w:rPr>
          <w:rFonts w:ascii="ITC Avant Garde" w:hAnsi="ITC Avant Garde"/>
          <w:b/>
          <w:color w:val="000000" w:themeColor="text1"/>
        </w:rPr>
      </w:pPr>
      <w:r w:rsidRPr="008762D1">
        <w:rPr>
          <w:rFonts w:ascii="ITC Avant Garde" w:hAnsi="ITC Avant Garde"/>
          <w:b/>
          <w:color w:val="000000" w:themeColor="text1"/>
        </w:rPr>
        <w:t>a) Información técnica:</w:t>
      </w:r>
    </w:p>
    <w:p w14:paraId="1555048E" w14:textId="77777777" w:rsidR="000F0B9F" w:rsidRPr="008762D1" w:rsidRDefault="00526FE9" w:rsidP="000F0B9F">
      <w:pPr>
        <w:pStyle w:val="Textoindependiente"/>
        <w:spacing w:before="240" w:after="0"/>
        <w:jc w:val="both"/>
        <w:rPr>
          <w:rFonts w:ascii="ITC Avant Garde" w:hAnsi="ITC Avant Garde"/>
          <w:color w:val="000000" w:themeColor="text1"/>
        </w:rPr>
      </w:pPr>
      <w:r w:rsidRPr="008762D1">
        <w:rPr>
          <w:rFonts w:ascii="ITC Avant Garde" w:hAnsi="ITC Avant Garde"/>
          <w:color w:val="000000" w:themeColor="text1"/>
        </w:rPr>
        <w:t>La facturación entre las partes para los servicios de interconexión se presenta de la siguiente manera:</w:t>
      </w:r>
    </w:p>
    <w:p w14:paraId="059659DD" w14:textId="77777777" w:rsidR="000F0B9F" w:rsidRPr="008762D1" w:rsidRDefault="00526FE9" w:rsidP="000F0B9F">
      <w:pPr>
        <w:pStyle w:val="Textoindependiente"/>
        <w:tabs>
          <w:tab w:val="left" w:pos="720"/>
        </w:tabs>
        <w:spacing w:before="240" w:after="0"/>
        <w:jc w:val="both"/>
        <w:rPr>
          <w:rFonts w:ascii="ITC Avant Garde" w:hAnsi="ITC Avant Garde"/>
          <w:b/>
          <w:color w:val="000000" w:themeColor="text1"/>
        </w:rPr>
      </w:pPr>
      <w:r w:rsidRPr="008762D1">
        <w:rPr>
          <w:rFonts w:ascii="ITC Avant Garde" w:hAnsi="ITC Avant Garde"/>
          <w:b/>
          <w:color w:val="000000" w:themeColor="text1"/>
        </w:rPr>
        <w:lastRenderedPageBreak/>
        <w:t>Factura impresa</w:t>
      </w:r>
    </w:p>
    <w:p w14:paraId="4FAA5177" w14:textId="799C8B3B" w:rsidR="00526FE9"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color w:val="000000" w:themeColor="text1"/>
        </w:rPr>
        <w:t>TELMEX facturará al OPERADOR consumos de interconexión por tráfico de entrada y por tránsito en su red mensualmente (del día 1 al día último de cada mes), para la cual se definieron las siguientes leyendas para los conceptos que presentarán las facturas que se expidan:</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Factura impresa"/>
      </w:tblPr>
      <w:tblGrid>
        <w:gridCol w:w="496"/>
        <w:gridCol w:w="5160"/>
        <w:gridCol w:w="1218"/>
        <w:gridCol w:w="4856"/>
      </w:tblGrid>
      <w:tr w:rsidR="008762D1" w:rsidRPr="008762D1" w14:paraId="13BD950C" w14:textId="77777777" w:rsidTr="00DC678C">
        <w:trPr>
          <w:tblHeader/>
          <w:jc w:val="center"/>
        </w:trPr>
        <w:tc>
          <w:tcPr>
            <w:tcW w:w="496" w:type="dxa"/>
          </w:tcPr>
          <w:p w14:paraId="54043326" w14:textId="77777777" w:rsidR="00526FE9" w:rsidRPr="008762D1" w:rsidRDefault="00526FE9" w:rsidP="008D7577">
            <w:pPr>
              <w:pStyle w:val="Textoindependiente"/>
              <w:spacing w:after="0"/>
              <w:jc w:val="center"/>
              <w:rPr>
                <w:rFonts w:ascii="ITC Avant Garde" w:hAnsi="ITC Avant Garde"/>
                <w:b/>
                <w:color w:val="000000" w:themeColor="text1"/>
              </w:rPr>
            </w:pPr>
          </w:p>
        </w:tc>
        <w:tc>
          <w:tcPr>
            <w:tcW w:w="5160" w:type="dxa"/>
            <w:hideMark/>
          </w:tcPr>
          <w:p w14:paraId="402B0861" w14:textId="4176A9BD" w:rsidR="00526FE9" w:rsidRPr="008762D1" w:rsidRDefault="007B0A7C" w:rsidP="007B0A7C">
            <w:pPr>
              <w:pStyle w:val="Textoindependiente"/>
              <w:spacing w:after="0"/>
              <w:jc w:val="center"/>
              <w:rPr>
                <w:rFonts w:ascii="ITC Avant Garde" w:hAnsi="ITC Avant Garde"/>
                <w:b/>
                <w:color w:val="000000" w:themeColor="text1"/>
              </w:rPr>
            </w:pPr>
            <w:r>
              <w:rPr>
                <w:rFonts w:ascii="ITC Avant Garde" w:hAnsi="ITC Avant Garde"/>
                <w:b/>
                <w:color w:val="000000" w:themeColor="text1"/>
              </w:rPr>
              <w:t>C</w:t>
            </w:r>
            <w:r w:rsidR="00526FE9" w:rsidRPr="008762D1">
              <w:rPr>
                <w:rFonts w:ascii="ITC Avant Garde" w:hAnsi="ITC Avant Garde"/>
                <w:b/>
                <w:color w:val="000000" w:themeColor="text1"/>
              </w:rPr>
              <w:t>ONCEPTO</w:t>
            </w:r>
          </w:p>
        </w:tc>
        <w:tc>
          <w:tcPr>
            <w:tcW w:w="1218" w:type="dxa"/>
          </w:tcPr>
          <w:p w14:paraId="4DED4755" w14:textId="77777777" w:rsidR="00526FE9" w:rsidRPr="008762D1" w:rsidRDefault="00526FE9" w:rsidP="008D7577">
            <w:pPr>
              <w:pStyle w:val="Textoindependiente"/>
              <w:spacing w:after="0"/>
              <w:jc w:val="center"/>
              <w:rPr>
                <w:rFonts w:ascii="ITC Avant Garde" w:hAnsi="ITC Avant Garde"/>
                <w:b/>
                <w:color w:val="000000" w:themeColor="text1"/>
              </w:rPr>
            </w:pPr>
          </w:p>
        </w:tc>
        <w:tc>
          <w:tcPr>
            <w:tcW w:w="4856" w:type="dxa"/>
          </w:tcPr>
          <w:p w14:paraId="22D65668" w14:textId="77777777" w:rsidR="00526FE9" w:rsidRPr="008762D1" w:rsidRDefault="00526FE9" w:rsidP="008D7577">
            <w:pPr>
              <w:pStyle w:val="Textoindependiente"/>
              <w:spacing w:after="0"/>
              <w:jc w:val="center"/>
              <w:rPr>
                <w:rFonts w:ascii="ITC Avant Garde" w:hAnsi="ITC Avant Garde"/>
                <w:b/>
                <w:color w:val="000000" w:themeColor="text1"/>
              </w:rPr>
            </w:pPr>
          </w:p>
        </w:tc>
      </w:tr>
      <w:tr w:rsidR="008762D1" w:rsidRPr="008762D1" w14:paraId="7BC925C7" w14:textId="77777777" w:rsidTr="00DC678C">
        <w:trPr>
          <w:jc w:val="center"/>
        </w:trPr>
        <w:tc>
          <w:tcPr>
            <w:tcW w:w="496" w:type="dxa"/>
          </w:tcPr>
          <w:p w14:paraId="6B0BA8DA" w14:textId="721C2AF6" w:rsidR="00526FE9" w:rsidRPr="008762D1" w:rsidRDefault="00DC678C"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w:t>
            </w:r>
          </w:p>
        </w:tc>
        <w:tc>
          <w:tcPr>
            <w:tcW w:w="5160" w:type="dxa"/>
            <w:hideMark/>
          </w:tcPr>
          <w:p w14:paraId="39599594" w14:textId="77777777" w:rsidR="00526FE9" w:rsidRPr="008762D1" w:rsidRDefault="00526FE9"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Interconexión Origen</w:t>
            </w:r>
          </w:p>
        </w:tc>
        <w:tc>
          <w:tcPr>
            <w:tcW w:w="1218" w:type="dxa"/>
          </w:tcPr>
          <w:p w14:paraId="3CCC1546" w14:textId="0168B477" w:rsidR="00526FE9" w:rsidRPr="008762D1" w:rsidRDefault="00DC678C"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w:t>
            </w:r>
          </w:p>
        </w:tc>
        <w:tc>
          <w:tcPr>
            <w:tcW w:w="4856" w:type="dxa"/>
          </w:tcPr>
          <w:p w14:paraId="7C58F558" w14:textId="03035E78" w:rsidR="00526FE9" w:rsidRPr="008762D1" w:rsidRDefault="00DC678C"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w:t>
            </w:r>
          </w:p>
        </w:tc>
      </w:tr>
      <w:tr w:rsidR="008762D1" w:rsidRPr="008762D1" w14:paraId="4A1EA292" w14:textId="77777777" w:rsidTr="00DC678C">
        <w:trPr>
          <w:jc w:val="center"/>
        </w:trPr>
        <w:tc>
          <w:tcPr>
            <w:tcW w:w="496" w:type="dxa"/>
          </w:tcPr>
          <w:p w14:paraId="6EBB4A63" w14:textId="77777777" w:rsidR="00526FE9" w:rsidRPr="008762D1" w:rsidRDefault="00526FE9" w:rsidP="008D7577">
            <w:pPr>
              <w:pStyle w:val="Textoindependiente"/>
              <w:spacing w:after="0"/>
              <w:jc w:val="both"/>
              <w:rPr>
                <w:rFonts w:ascii="ITC Avant Garde" w:hAnsi="ITC Avant Garde"/>
                <w:color w:val="000000" w:themeColor="text1"/>
              </w:rPr>
            </w:pPr>
          </w:p>
        </w:tc>
        <w:tc>
          <w:tcPr>
            <w:tcW w:w="5160" w:type="dxa"/>
            <w:hideMark/>
          </w:tcPr>
          <w:p w14:paraId="2221A4FD" w14:textId="77777777" w:rsidR="00526FE9" w:rsidRPr="008762D1" w:rsidRDefault="00526FE9"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Interconexión Terminación</w:t>
            </w:r>
          </w:p>
        </w:tc>
        <w:tc>
          <w:tcPr>
            <w:tcW w:w="1218" w:type="dxa"/>
          </w:tcPr>
          <w:p w14:paraId="7FC33C79" w14:textId="77777777" w:rsidR="00526FE9" w:rsidRPr="008762D1" w:rsidRDefault="00526FE9" w:rsidP="008D7577">
            <w:pPr>
              <w:pStyle w:val="Textoindependiente"/>
              <w:spacing w:after="0"/>
              <w:jc w:val="both"/>
              <w:rPr>
                <w:rFonts w:ascii="ITC Avant Garde" w:hAnsi="ITC Avant Garde"/>
                <w:color w:val="000000" w:themeColor="text1"/>
              </w:rPr>
            </w:pPr>
          </w:p>
        </w:tc>
        <w:tc>
          <w:tcPr>
            <w:tcW w:w="4856" w:type="dxa"/>
          </w:tcPr>
          <w:p w14:paraId="7FF3E17E" w14:textId="77777777" w:rsidR="00526FE9" w:rsidRPr="008762D1" w:rsidRDefault="00526FE9" w:rsidP="008D7577">
            <w:pPr>
              <w:pStyle w:val="Textoindependiente"/>
              <w:spacing w:after="0"/>
              <w:jc w:val="both"/>
              <w:rPr>
                <w:rFonts w:ascii="ITC Avant Garde" w:hAnsi="ITC Avant Garde"/>
                <w:color w:val="000000" w:themeColor="text1"/>
              </w:rPr>
            </w:pPr>
          </w:p>
        </w:tc>
      </w:tr>
      <w:tr w:rsidR="00526FE9" w:rsidRPr="008762D1" w14:paraId="1A2E1D55" w14:textId="77777777" w:rsidTr="00DC678C">
        <w:trPr>
          <w:jc w:val="center"/>
        </w:trPr>
        <w:tc>
          <w:tcPr>
            <w:tcW w:w="496" w:type="dxa"/>
          </w:tcPr>
          <w:p w14:paraId="144FA85D" w14:textId="77777777" w:rsidR="00526FE9" w:rsidRPr="008762D1" w:rsidRDefault="00526FE9" w:rsidP="008D7577">
            <w:pPr>
              <w:pStyle w:val="Textoindependiente"/>
              <w:spacing w:after="0"/>
              <w:jc w:val="both"/>
              <w:rPr>
                <w:rFonts w:ascii="ITC Avant Garde" w:hAnsi="ITC Avant Garde"/>
                <w:color w:val="000000" w:themeColor="text1"/>
              </w:rPr>
            </w:pPr>
          </w:p>
        </w:tc>
        <w:tc>
          <w:tcPr>
            <w:tcW w:w="5160" w:type="dxa"/>
            <w:hideMark/>
          </w:tcPr>
          <w:p w14:paraId="4EFAABC9" w14:textId="77777777" w:rsidR="00526FE9" w:rsidRPr="008762D1" w:rsidRDefault="00526FE9"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Interconexión Tránsito</w:t>
            </w:r>
          </w:p>
        </w:tc>
        <w:tc>
          <w:tcPr>
            <w:tcW w:w="1218" w:type="dxa"/>
          </w:tcPr>
          <w:p w14:paraId="019D1A1C" w14:textId="77777777" w:rsidR="00526FE9" w:rsidRPr="008762D1" w:rsidRDefault="00526FE9" w:rsidP="008D7577">
            <w:pPr>
              <w:pStyle w:val="Textoindependiente"/>
              <w:spacing w:after="0"/>
              <w:jc w:val="both"/>
              <w:rPr>
                <w:rFonts w:ascii="ITC Avant Garde" w:hAnsi="ITC Avant Garde"/>
                <w:color w:val="000000" w:themeColor="text1"/>
              </w:rPr>
            </w:pPr>
          </w:p>
        </w:tc>
        <w:tc>
          <w:tcPr>
            <w:tcW w:w="4856" w:type="dxa"/>
          </w:tcPr>
          <w:p w14:paraId="02FF60B8" w14:textId="77777777" w:rsidR="00526FE9" w:rsidRPr="008762D1" w:rsidRDefault="00526FE9" w:rsidP="008D7577">
            <w:pPr>
              <w:pStyle w:val="Textoindependiente"/>
              <w:spacing w:after="0"/>
              <w:jc w:val="both"/>
              <w:rPr>
                <w:rFonts w:ascii="ITC Avant Garde" w:hAnsi="ITC Avant Garde"/>
                <w:color w:val="000000" w:themeColor="text1"/>
              </w:rPr>
            </w:pPr>
          </w:p>
        </w:tc>
      </w:tr>
    </w:tbl>
    <w:p w14:paraId="7840AF85" w14:textId="77777777" w:rsidR="00526FE9"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color w:val="000000" w:themeColor="text1"/>
        </w:rPr>
        <w:t>EL OPERADOR facturará a TELMEX consumos de interconexión por tráfico de entrada y por tránsito en su red  mensualmente (del día 1 al día último de cada mes), y la leyenda que se definió que deberán presentar las facturas es la siguiente:</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Factura impresa"/>
      </w:tblPr>
      <w:tblGrid>
        <w:gridCol w:w="496"/>
        <w:gridCol w:w="5160"/>
        <w:gridCol w:w="1218"/>
        <w:gridCol w:w="4856"/>
      </w:tblGrid>
      <w:tr w:rsidR="008762D1" w:rsidRPr="008762D1" w14:paraId="5A1F48AE" w14:textId="77777777" w:rsidTr="00DC678C">
        <w:trPr>
          <w:tblHeader/>
          <w:jc w:val="center"/>
        </w:trPr>
        <w:tc>
          <w:tcPr>
            <w:tcW w:w="496" w:type="dxa"/>
          </w:tcPr>
          <w:p w14:paraId="649A78D3" w14:textId="77777777" w:rsidR="00526FE9" w:rsidRPr="008762D1" w:rsidRDefault="00526FE9" w:rsidP="008D7577">
            <w:pPr>
              <w:pStyle w:val="Textoindependiente"/>
              <w:spacing w:after="0"/>
              <w:jc w:val="center"/>
              <w:rPr>
                <w:rFonts w:ascii="ITC Avant Garde" w:hAnsi="ITC Avant Garde"/>
                <w:b/>
                <w:color w:val="000000" w:themeColor="text1"/>
              </w:rPr>
            </w:pPr>
          </w:p>
        </w:tc>
        <w:tc>
          <w:tcPr>
            <w:tcW w:w="5160" w:type="dxa"/>
            <w:hideMark/>
          </w:tcPr>
          <w:p w14:paraId="151A2C11" w14:textId="77777777" w:rsidR="00526FE9" w:rsidRPr="008762D1" w:rsidRDefault="00526FE9" w:rsidP="008D7577">
            <w:pPr>
              <w:pStyle w:val="Textoindependiente"/>
              <w:spacing w:after="0"/>
              <w:jc w:val="center"/>
              <w:rPr>
                <w:rFonts w:ascii="ITC Avant Garde" w:hAnsi="ITC Avant Garde"/>
                <w:b/>
                <w:color w:val="000000" w:themeColor="text1"/>
              </w:rPr>
            </w:pPr>
            <w:r w:rsidRPr="008762D1">
              <w:rPr>
                <w:rFonts w:ascii="ITC Avant Garde" w:hAnsi="ITC Avant Garde"/>
                <w:b/>
                <w:color w:val="000000" w:themeColor="text1"/>
              </w:rPr>
              <w:t>C O N C E P T O</w:t>
            </w:r>
          </w:p>
        </w:tc>
        <w:tc>
          <w:tcPr>
            <w:tcW w:w="1218" w:type="dxa"/>
          </w:tcPr>
          <w:p w14:paraId="281953DB" w14:textId="77777777" w:rsidR="00526FE9" w:rsidRPr="008762D1" w:rsidRDefault="00526FE9" w:rsidP="008D7577">
            <w:pPr>
              <w:pStyle w:val="Textoindependiente"/>
              <w:spacing w:after="0"/>
              <w:jc w:val="center"/>
              <w:rPr>
                <w:rFonts w:ascii="ITC Avant Garde" w:hAnsi="ITC Avant Garde"/>
                <w:b/>
                <w:color w:val="000000" w:themeColor="text1"/>
              </w:rPr>
            </w:pPr>
          </w:p>
        </w:tc>
        <w:tc>
          <w:tcPr>
            <w:tcW w:w="4856" w:type="dxa"/>
          </w:tcPr>
          <w:p w14:paraId="6EB2BD91" w14:textId="77777777" w:rsidR="00526FE9" w:rsidRPr="008762D1" w:rsidRDefault="00526FE9" w:rsidP="008D7577">
            <w:pPr>
              <w:pStyle w:val="Textoindependiente"/>
              <w:spacing w:after="0"/>
              <w:jc w:val="center"/>
              <w:rPr>
                <w:rFonts w:ascii="ITC Avant Garde" w:hAnsi="ITC Avant Garde"/>
                <w:b/>
                <w:color w:val="000000" w:themeColor="text1"/>
              </w:rPr>
            </w:pPr>
          </w:p>
        </w:tc>
      </w:tr>
      <w:tr w:rsidR="008762D1" w:rsidRPr="008762D1" w14:paraId="2A1BC1A2" w14:textId="77777777" w:rsidTr="00DC678C">
        <w:trPr>
          <w:jc w:val="center"/>
        </w:trPr>
        <w:tc>
          <w:tcPr>
            <w:tcW w:w="496" w:type="dxa"/>
          </w:tcPr>
          <w:p w14:paraId="7D340F5A" w14:textId="0C2E7607" w:rsidR="00526FE9" w:rsidRPr="008762D1" w:rsidRDefault="00DC678C"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w:t>
            </w:r>
          </w:p>
        </w:tc>
        <w:tc>
          <w:tcPr>
            <w:tcW w:w="5160" w:type="dxa"/>
            <w:hideMark/>
          </w:tcPr>
          <w:p w14:paraId="513DEF39" w14:textId="77777777" w:rsidR="00526FE9" w:rsidRPr="008762D1" w:rsidRDefault="00526FE9"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Interconexión Terminación.</w:t>
            </w:r>
          </w:p>
          <w:p w14:paraId="500F3D8A" w14:textId="77777777" w:rsidR="00526FE9" w:rsidRPr="008762D1" w:rsidRDefault="00526FE9"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Interconexión Origen.</w:t>
            </w:r>
          </w:p>
        </w:tc>
        <w:tc>
          <w:tcPr>
            <w:tcW w:w="1218" w:type="dxa"/>
          </w:tcPr>
          <w:p w14:paraId="73B8BD2F" w14:textId="499ADE6B" w:rsidR="00526FE9" w:rsidRPr="008762D1" w:rsidRDefault="00DC678C"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w:t>
            </w:r>
          </w:p>
        </w:tc>
        <w:tc>
          <w:tcPr>
            <w:tcW w:w="4856" w:type="dxa"/>
          </w:tcPr>
          <w:p w14:paraId="113E9D0D" w14:textId="2AA2CB07" w:rsidR="00526FE9" w:rsidRPr="008762D1" w:rsidRDefault="00DC678C" w:rsidP="008D7577">
            <w:pPr>
              <w:pStyle w:val="Textoindependiente"/>
              <w:spacing w:after="0"/>
              <w:jc w:val="both"/>
              <w:rPr>
                <w:rFonts w:ascii="ITC Avant Garde" w:hAnsi="ITC Avant Garde"/>
                <w:color w:val="000000" w:themeColor="text1"/>
              </w:rPr>
            </w:pPr>
            <w:r w:rsidRPr="008762D1">
              <w:rPr>
                <w:rFonts w:ascii="ITC Avant Garde" w:hAnsi="ITC Avant Garde"/>
                <w:color w:val="000000" w:themeColor="text1"/>
              </w:rPr>
              <w:t>-</w:t>
            </w:r>
          </w:p>
        </w:tc>
      </w:tr>
    </w:tbl>
    <w:p w14:paraId="0F4B72E6" w14:textId="77777777" w:rsidR="000F0B9F" w:rsidRPr="008762D1" w:rsidRDefault="00526FE9" w:rsidP="000F0B9F">
      <w:pPr>
        <w:pStyle w:val="Textoindependiente"/>
        <w:tabs>
          <w:tab w:val="left" w:pos="720"/>
        </w:tabs>
        <w:spacing w:before="240"/>
        <w:jc w:val="both"/>
        <w:rPr>
          <w:rFonts w:ascii="ITC Avant Garde" w:hAnsi="ITC Avant Garde"/>
          <w:b/>
          <w:color w:val="000000" w:themeColor="text1"/>
          <w:lang w:val="es-ES" w:eastAsia="es-ES"/>
        </w:rPr>
      </w:pPr>
      <w:r w:rsidRPr="008762D1">
        <w:rPr>
          <w:rFonts w:ascii="ITC Avant Garde" w:hAnsi="ITC Avant Garde"/>
          <w:b/>
          <w:color w:val="000000" w:themeColor="text1"/>
        </w:rPr>
        <w:t>Archivo soporte previamente acordado  “formato de conciliación de interconexión” (Anexo 1)</w:t>
      </w:r>
    </w:p>
    <w:p w14:paraId="3FF5917A" w14:textId="74021779" w:rsidR="00526FE9"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color w:val="000000" w:themeColor="text1"/>
        </w:rPr>
        <w:t>Se definió que para la identificación de los archivos que se entreguen con el soporte de los cargos facturados se generará una nomenclatura que permita diferenciar claramente un archivo de otro, misma que deberá de estar compuesta con los siguientes datos:</w:t>
      </w:r>
    </w:p>
    <w:tbl>
      <w:tblPr>
        <w:tblStyle w:val="Cuadrculadetablaclara"/>
        <w:tblW w:w="13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formato de conciliación de interconexión"/>
      </w:tblPr>
      <w:tblGrid>
        <w:gridCol w:w="1275"/>
        <w:gridCol w:w="2358"/>
        <w:gridCol w:w="2358"/>
        <w:gridCol w:w="2358"/>
        <w:gridCol w:w="2358"/>
        <w:gridCol w:w="2358"/>
      </w:tblGrid>
      <w:tr w:rsidR="008762D1" w:rsidRPr="008762D1" w14:paraId="48E862D8" w14:textId="77777777" w:rsidTr="00664EC0">
        <w:trPr>
          <w:tblHeader/>
          <w:jc w:val="center"/>
        </w:trPr>
        <w:tc>
          <w:tcPr>
            <w:tcW w:w="1275" w:type="dxa"/>
          </w:tcPr>
          <w:p w14:paraId="4794E634"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p>
        </w:tc>
        <w:tc>
          <w:tcPr>
            <w:tcW w:w="2358" w:type="dxa"/>
            <w:hideMark/>
          </w:tcPr>
          <w:p w14:paraId="36503A39"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Operador Origen</w:t>
            </w:r>
          </w:p>
        </w:tc>
        <w:tc>
          <w:tcPr>
            <w:tcW w:w="2358" w:type="dxa"/>
            <w:hideMark/>
          </w:tcPr>
          <w:p w14:paraId="3ED674AC"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Operador Destino</w:t>
            </w:r>
          </w:p>
        </w:tc>
        <w:tc>
          <w:tcPr>
            <w:tcW w:w="2358" w:type="dxa"/>
            <w:hideMark/>
          </w:tcPr>
          <w:p w14:paraId="4446CDC4"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Mes</w:t>
            </w:r>
          </w:p>
        </w:tc>
        <w:tc>
          <w:tcPr>
            <w:tcW w:w="2358" w:type="dxa"/>
            <w:hideMark/>
          </w:tcPr>
          <w:p w14:paraId="6B50A587"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Año</w:t>
            </w:r>
          </w:p>
        </w:tc>
        <w:tc>
          <w:tcPr>
            <w:tcW w:w="2358" w:type="dxa"/>
            <w:hideMark/>
          </w:tcPr>
          <w:p w14:paraId="0FEB1745"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Total de Dígitos</w:t>
            </w:r>
          </w:p>
        </w:tc>
      </w:tr>
      <w:tr w:rsidR="00526FE9" w:rsidRPr="008762D1" w14:paraId="0B9E8984" w14:textId="77777777" w:rsidTr="00664EC0">
        <w:trPr>
          <w:jc w:val="center"/>
        </w:trPr>
        <w:tc>
          <w:tcPr>
            <w:tcW w:w="1275" w:type="dxa"/>
            <w:hideMark/>
          </w:tcPr>
          <w:p w14:paraId="13229820"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Dígitos</w:t>
            </w:r>
          </w:p>
        </w:tc>
        <w:tc>
          <w:tcPr>
            <w:tcW w:w="2358" w:type="dxa"/>
            <w:hideMark/>
          </w:tcPr>
          <w:p w14:paraId="3132B06F"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XXX</w:t>
            </w:r>
          </w:p>
        </w:tc>
        <w:tc>
          <w:tcPr>
            <w:tcW w:w="2358" w:type="dxa"/>
            <w:hideMark/>
          </w:tcPr>
          <w:p w14:paraId="00A75DA2"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XXX</w:t>
            </w:r>
          </w:p>
        </w:tc>
        <w:tc>
          <w:tcPr>
            <w:tcW w:w="2358" w:type="dxa"/>
            <w:hideMark/>
          </w:tcPr>
          <w:p w14:paraId="2FBFB205"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99</w:t>
            </w:r>
          </w:p>
        </w:tc>
        <w:tc>
          <w:tcPr>
            <w:tcW w:w="2358" w:type="dxa"/>
            <w:hideMark/>
          </w:tcPr>
          <w:p w14:paraId="681D3D10"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9999</w:t>
            </w:r>
          </w:p>
        </w:tc>
        <w:tc>
          <w:tcPr>
            <w:tcW w:w="2358" w:type="dxa"/>
            <w:hideMark/>
          </w:tcPr>
          <w:p w14:paraId="44BC6C96" w14:textId="77777777" w:rsidR="00526FE9" w:rsidRPr="008762D1" w:rsidRDefault="00526FE9" w:rsidP="008D7577">
            <w:pPr>
              <w:pStyle w:val="Textoindependiente"/>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12</w:t>
            </w:r>
          </w:p>
        </w:tc>
      </w:tr>
    </w:tbl>
    <w:p w14:paraId="2B45FC90" w14:textId="6B06EB8C" w:rsidR="00526FE9"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noProof/>
          <w:color w:val="000000" w:themeColor="text1"/>
          <w:lang w:eastAsia="es-MX"/>
        </w:rPr>
        <w:lastRenderedPageBreak/>
        <w:drawing>
          <wp:inline distT="0" distB="0" distL="0" distR="0" wp14:anchorId="3D860E88" wp14:editId="55310276">
            <wp:extent cx="7861300" cy="5923280"/>
            <wp:effectExtent l="0" t="0" r="6350" b="1270"/>
            <wp:docPr id="2" name="Imagen 2" descr="formato de conciliación de interconex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61300" cy="5923280"/>
                    </a:xfrm>
                    <a:prstGeom prst="rect">
                      <a:avLst/>
                    </a:prstGeom>
                    <a:noFill/>
                    <a:ln>
                      <a:noFill/>
                    </a:ln>
                  </pic:spPr>
                </pic:pic>
              </a:graphicData>
            </a:graphic>
          </wp:inline>
        </w:drawing>
      </w:r>
    </w:p>
    <w:p w14:paraId="3E6F2BC9" w14:textId="77777777" w:rsidR="000F0B9F"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noProof/>
          <w:color w:val="000000" w:themeColor="text1"/>
          <w:lang w:eastAsia="es-MX"/>
        </w:rPr>
        <w:lastRenderedPageBreak/>
        <w:drawing>
          <wp:inline distT="0" distB="0" distL="0" distR="0" wp14:anchorId="5AE85F08" wp14:editId="144DC377">
            <wp:extent cx="7901940" cy="5786755"/>
            <wp:effectExtent l="0" t="0" r="3810" b="4445"/>
            <wp:docPr id="1" name="Imagen 1" descr="formato de conciliación de interconex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01940" cy="5786755"/>
                    </a:xfrm>
                    <a:prstGeom prst="rect">
                      <a:avLst/>
                    </a:prstGeom>
                    <a:noFill/>
                    <a:ln>
                      <a:noFill/>
                    </a:ln>
                  </pic:spPr>
                </pic:pic>
              </a:graphicData>
            </a:graphic>
          </wp:inline>
        </w:drawing>
      </w:r>
    </w:p>
    <w:p w14:paraId="08765B07" w14:textId="77777777" w:rsidR="000F0B9F"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color w:val="000000" w:themeColor="text1"/>
        </w:rPr>
        <w:lastRenderedPageBreak/>
        <w:t>Así mismo, todos los archivos (en el medio electrónico establecido), que se turnen entre las Compañías deberán estar debidamente etiquetados con datos que permitan identificar fácilmente a quien corresponde, la cantidad de registros que contienen y el período de facturación del que se trata:</w:t>
      </w:r>
    </w:p>
    <w:p w14:paraId="64E241E6" w14:textId="77777777" w:rsidR="000F0B9F" w:rsidRPr="008762D1" w:rsidRDefault="00526FE9" w:rsidP="000F0B9F">
      <w:pPr>
        <w:pStyle w:val="Textoindependiente"/>
        <w:spacing w:before="240"/>
        <w:jc w:val="both"/>
        <w:rPr>
          <w:rFonts w:ascii="ITC Avant Garde" w:hAnsi="ITC Avant Garde"/>
          <w:color w:val="000000" w:themeColor="text1"/>
          <w:sz w:val="24"/>
        </w:rPr>
      </w:pPr>
      <w:r w:rsidRPr="008762D1">
        <w:rPr>
          <w:rFonts w:ascii="ITC Avant Garde" w:hAnsi="ITC Avant Garde"/>
          <w:color w:val="000000" w:themeColor="text1"/>
        </w:rPr>
        <w:t>Ejemplo:</w:t>
      </w:r>
    </w:p>
    <w:p w14:paraId="218296EB" w14:textId="3F8ED085" w:rsidR="00526FE9" w:rsidRPr="008762D1" w:rsidRDefault="00526FE9" w:rsidP="000F0B9F">
      <w:pPr>
        <w:pStyle w:val="Textoindependiente"/>
        <w:spacing w:before="240"/>
        <w:jc w:val="both"/>
        <w:rPr>
          <w:rFonts w:ascii="ITC Avant Garde" w:hAnsi="ITC Avant Garde"/>
          <w:color w:val="000000" w:themeColor="text1"/>
          <w:sz w:val="24"/>
        </w:rPr>
      </w:pPr>
      <w:r w:rsidRPr="008762D1">
        <w:rPr>
          <w:rFonts w:ascii="ITC Avant Garde" w:hAnsi="ITC Avant Garde"/>
          <w:color w:val="000000" w:themeColor="text1"/>
        </w:rPr>
        <w:t>Nombre de la Compañía: Teléfonos de México S.A.B. de C.V.</w:t>
      </w:r>
    </w:p>
    <w:p w14:paraId="29E48925" w14:textId="77777777" w:rsidR="00526FE9"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color w:val="000000" w:themeColor="text1"/>
        </w:rPr>
        <w:t>Cuenta de facturación.</w:t>
      </w:r>
    </w:p>
    <w:p w14:paraId="44C872C1" w14:textId="77777777" w:rsidR="000F0B9F" w:rsidRPr="008762D1" w:rsidRDefault="00526FE9" w:rsidP="000F0B9F">
      <w:pPr>
        <w:pStyle w:val="Textoindependiente"/>
        <w:spacing w:before="240"/>
        <w:jc w:val="both"/>
        <w:rPr>
          <w:rFonts w:ascii="ITC Avant Garde" w:hAnsi="ITC Avant Garde"/>
          <w:color w:val="000000" w:themeColor="text1"/>
        </w:rPr>
      </w:pPr>
      <w:r w:rsidRPr="008762D1">
        <w:rPr>
          <w:rFonts w:ascii="ITC Avant Garde" w:hAnsi="ITC Avant Garde"/>
          <w:color w:val="000000" w:themeColor="text1"/>
        </w:rPr>
        <w:t>Período de facturación: enero de 2001.</w:t>
      </w:r>
    </w:p>
    <w:p w14:paraId="36FC82C3" w14:textId="77777777" w:rsidR="000F0B9F" w:rsidRPr="008762D1" w:rsidRDefault="00526FE9" w:rsidP="000F0B9F">
      <w:pPr>
        <w:pStyle w:val="Textoindependiente"/>
        <w:spacing w:before="240"/>
        <w:jc w:val="both"/>
        <w:rPr>
          <w:rFonts w:ascii="ITC Avant Garde" w:hAnsi="ITC Avant Garde"/>
          <w:color w:val="000000" w:themeColor="text1"/>
          <w:sz w:val="24"/>
        </w:rPr>
      </w:pPr>
      <w:r w:rsidRPr="008762D1">
        <w:rPr>
          <w:rFonts w:ascii="ITC Avant Garde" w:hAnsi="ITC Avant Garde"/>
          <w:color w:val="000000" w:themeColor="text1"/>
        </w:rPr>
        <w:t>Las facturas correspondientes se elaborarán de acuerdo a lo siguiente:</w:t>
      </w:r>
    </w:p>
    <w:p w14:paraId="237BE673" w14:textId="58E72829" w:rsidR="00526FE9" w:rsidRPr="008762D1" w:rsidRDefault="00526FE9" w:rsidP="000F0B9F">
      <w:pPr>
        <w:pStyle w:val="Textoindependiente"/>
        <w:numPr>
          <w:ilvl w:val="0"/>
          <w:numId w:val="66"/>
        </w:numPr>
        <w:tabs>
          <w:tab w:val="left" w:pos="360"/>
        </w:tabs>
        <w:spacing w:before="240" w:after="0" w:line="240" w:lineRule="auto"/>
        <w:jc w:val="both"/>
        <w:rPr>
          <w:rFonts w:ascii="ITC Avant Garde" w:hAnsi="ITC Avant Garde"/>
          <w:color w:val="000000" w:themeColor="text1"/>
          <w:sz w:val="24"/>
        </w:rPr>
      </w:pPr>
      <w:r w:rsidRPr="008762D1">
        <w:rPr>
          <w:rFonts w:ascii="ITC Avant Garde" w:hAnsi="ITC Avant Garde"/>
          <w:color w:val="000000" w:themeColor="text1"/>
        </w:rPr>
        <w:t>Factura Concentradora.</w:t>
      </w:r>
    </w:p>
    <w:p w14:paraId="634481E6" w14:textId="77777777" w:rsidR="00526FE9" w:rsidRPr="008762D1" w:rsidRDefault="00526FE9" w:rsidP="008D7577">
      <w:pPr>
        <w:pStyle w:val="Textoindependiente"/>
        <w:numPr>
          <w:ilvl w:val="0"/>
          <w:numId w:val="66"/>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Emitir facturas independientes de acuerdo con el I.V.A. correspondiente</w:t>
      </w:r>
    </w:p>
    <w:p w14:paraId="56383044" w14:textId="77777777" w:rsidR="00526FE9" w:rsidRPr="008762D1" w:rsidRDefault="00526FE9" w:rsidP="008D7577">
      <w:pPr>
        <w:pStyle w:val="Textoindependiente"/>
        <w:numPr>
          <w:ilvl w:val="0"/>
          <w:numId w:val="66"/>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Desglose por tipo de tráfico.</w:t>
      </w:r>
    </w:p>
    <w:p w14:paraId="4F433647" w14:textId="77777777" w:rsidR="000F0B9F" w:rsidRPr="008762D1" w:rsidRDefault="00526FE9" w:rsidP="008D7577">
      <w:pPr>
        <w:pStyle w:val="Textoindependiente"/>
        <w:numPr>
          <w:ilvl w:val="0"/>
          <w:numId w:val="66"/>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Minutos e importe.</w:t>
      </w:r>
    </w:p>
    <w:p w14:paraId="3537E0A5" w14:textId="103152D4" w:rsidR="00526FE9" w:rsidRPr="008762D1" w:rsidRDefault="00526FE9" w:rsidP="000F0B9F">
      <w:pPr>
        <w:pStyle w:val="Textoindependiente"/>
        <w:spacing w:before="240"/>
        <w:jc w:val="both"/>
        <w:rPr>
          <w:rFonts w:ascii="ITC Avant Garde" w:hAnsi="ITC Avant Garde"/>
          <w:b/>
          <w:color w:val="000000" w:themeColor="text1"/>
        </w:rPr>
      </w:pPr>
      <w:r w:rsidRPr="008762D1">
        <w:rPr>
          <w:rFonts w:ascii="ITC Avant Garde" w:hAnsi="ITC Avant Garde"/>
          <w:b/>
          <w:color w:val="000000" w:themeColor="text1"/>
        </w:rPr>
        <w:t>b) Información adicional:</w:t>
      </w:r>
    </w:p>
    <w:p w14:paraId="3BB1DA61" w14:textId="77777777" w:rsidR="00526FE9" w:rsidRPr="008762D1" w:rsidRDefault="00526FE9" w:rsidP="000F0B9F">
      <w:pPr>
        <w:pStyle w:val="Textoindependiente"/>
        <w:numPr>
          <w:ilvl w:val="0"/>
          <w:numId w:val="66"/>
        </w:numPr>
        <w:tabs>
          <w:tab w:val="left" w:pos="360"/>
        </w:tabs>
        <w:spacing w:before="240" w:after="0" w:line="240" w:lineRule="auto"/>
        <w:jc w:val="both"/>
        <w:rPr>
          <w:rFonts w:ascii="ITC Avant Garde" w:hAnsi="ITC Avant Garde"/>
          <w:color w:val="000000" w:themeColor="text1"/>
        </w:rPr>
      </w:pPr>
      <w:r w:rsidRPr="008762D1">
        <w:rPr>
          <w:rFonts w:ascii="ITC Avant Garde" w:hAnsi="ITC Avant Garde"/>
          <w:color w:val="000000" w:themeColor="text1"/>
        </w:rPr>
        <w:t>Se establece conjuntamente la estructura del archivo por serie que será utilizada para la facturación y validación de facturas (Anexo 1).</w:t>
      </w:r>
    </w:p>
    <w:p w14:paraId="14E75BA1" w14:textId="77777777" w:rsidR="000F0B9F" w:rsidRPr="008762D1" w:rsidRDefault="00526FE9" w:rsidP="008D7577">
      <w:pPr>
        <w:pStyle w:val="Textoindependiente"/>
        <w:numPr>
          <w:ilvl w:val="0"/>
          <w:numId w:val="66"/>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Las llamadas de meses anteriores se facturarán  conforme a lo establecido en el Convenio Marco de Interconexión.</w:t>
      </w:r>
    </w:p>
    <w:p w14:paraId="0C55286C" w14:textId="77777777" w:rsidR="000F0B9F" w:rsidRPr="008762D1" w:rsidRDefault="00526FE9" w:rsidP="000F0B9F">
      <w:pPr>
        <w:pStyle w:val="Textoindependiente"/>
        <w:spacing w:before="240"/>
        <w:jc w:val="both"/>
        <w:rPr>
          <w:rFonts w:ascii="ITC Avant Garde" w:hAnsi="ITC Avant Garde"/>
          <w:b/>
          <w:color w:val="000000" w:themeColor="text1"/>
        </w:rPr>
      </w:pPr>
      <w:r w:rsidRPr="008762D1">
        <w:rPr>
          <w:rFonts w:ascii="ITC Avant Garde" w:hAnsi="ITC Avant Garde"/>
          <w:b/>
          <w:color w:val="000000" w:themeColor="text1"/>
        </w:rPr>
        <w:t>2.- Metodología para la aclaración de consumos no reconocidos (disputas).</w:t>
      </w:r>
    </w:p>
    <w:p w14:paraId="24AA8D60" w14:textId="77777777" w:rsidR="000F0B9F" w:rsidRPr="008762D1" w:rsidRDefault="00526FE9" w:rsidP="000F0B9F">
      <w:pPr>
        <w:pStyle w:val="Textoindependiente"/>
        <w:numPr>
          <w:ilvl w:val="0"/>
          <w:numId w:val="67"/>
        </w:numPr>
        <w:tabs>
          <w:tab w:val="left" w:pos="360"/>
        </w:tabs>
        <w:spacing w:before="240" w:after="0" w:line="240" w:lineRule="auto"/>
        <w:jc w:val="both"/>
        <w:rPr>
          <w:rFonts w:ascii="ITC Avant Garde" w:hAnsi="ITC Avant Garde"/>
          <w:color w:val="000000" w:themeColor="text1"/>
          <w:sz w:val="24"/>
        </w:rPr>
      </w:pPr>
      <w:r w:rsidRPr="008762D1">
        <w:rPr>
          <w:rFonts w:ascii="ITC Avant Garde" w:hAnsi="ITC Avant Garde"/>
          <w:color w:val="000000" w:themeColor="text1"/>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14:paraId="3001E7E2" w14:textId="39FC71E7" w:rsidR="00526FE9" w:rsidRPr="008762D1" w:rsidRDefault="00526FE9" w:rsidP="008D7577">
      <w:pPr>
        <w:pStyle w:val="Textoindependiente"/>
        <w:numPr>
          <w:ilvl w:val="0"/>
          <w:numId w:val="67"/>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Elegir el día cuyos consumos se intercambiarán.</w:t>
      </w:r>
    </w:p>
    <w:p w14:paraId="542987BE" w14:textId="77777777" w:rsidR="00526FE9" w:rsidRPr="008762D1" w:rsidRDefault="00526FE9" w:rsidP="008D7577">
      <w:pPr>
        <w:pStyle w:val="Textoindependiente"/>
        <w:numPr>
          <w:ilvl w:val="0"/>
          <w:numId w:val="67"/>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Intercambiar registros utilizando el formato del Anexo 2.</w:t>
      </w:r>
    </w:p>
    <w:p w14:paraId="5849582B" w14:textId="77777777" w:rsidR="00526FE9" w:rsidRPr="008762D1" w:rsidRDefault="00526FE9" w:rsidP="008D7577">
      <w:pPr>
        <w:pStyle w:val="Textoindependiente"/>
        <w:numPr>
          <w:ilvl w:val="0"/>
          <w:numId w:val="67"/>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Validar</w:t>
      </w:r>
    </w:p>
    <w:p w14:paraId="10C842CA" w14:textId="77777777" w:rsidR="00526FE9" w:rsidRPr="008762D1" w:rsidRDefault="00526FE9" w:rsidP="008D7577">
      <w:pPr>
        <w:pStyle w:val="Textoindependiente"/>
        <w:numPr>
          <w:ilvl w:val="0"/>
          <w:numId w:val="67"/>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Intercambiar resultados.</w:t>
      </w:r>
    </w:p>
    <w:p w14:paraId="6DB6F8B3" w14:textId="77777777" w:rsidR="00526FE9" w:rsidRPr="008762D1" w:rsidRDefault="00526FE9" w:rsidP="008D7577">
      <w:pPr>
        <w:pStyle w:val="Textoindependiente"/>
        <w:numPr>
          <w:ilvl w:val="0"/>
          <w:numId w:val="67"/>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Corregir el problema que causó las diferencias.</w:t>
      </w:r>
    </w:p>
    <w:p w14:paraId="6419949E" w14:textId="77777777" w:rsidR="000F0B9F" w:rsidRPr="008762D1" w:rsidRDefault="00526FE9" w:rsidP="008D7577">
      <w:pPr>
        <w:pStyle w:val="Textoindependiente"/>
        <w:numPr>
          <w:ilvl w:val="0"/>
          <w:numId w:val="67"/>
        </w:numPr>
        <w:tabs>
          <w:tab w:val="left" w:pos="360"/>
        </w:tabs>
        <w:spacing w:after="0" w:line="240" w:lineRule="auto"/>
        <w:jc w:val="both"/>
        <w:rPr>
          <w:rFonts w:ascii="ITC Avant Garde" w:hAnsi="ITC Avant Garde"/>
          <w:color w:val="000000" w:themeColor="text1"/>
        </w:rPr>
      </w:pPr>
      <w:r w:rsidRPr="008762D1">
        <w:rPr>
          <w:rFonts w:ascii="ITC Avant Garde" w:hAnsi="ITC Avant Garde"/>
          <w:color w:val="000000" w:themeColor="text1"/>
        </w:rPr>
        <w:t>Proceder de acuerdo a convenio.</w:t>
      </w:r>
    </w:p>
    <w:p w14:paraId="651049B6" w14:textId="5618B344" w:rsidR="00526FE9" w:rsidRPr="008762D1" w:rsidRDefault="00526FE9" w:rsidP="008D7577">
      <w:pPr>
        <w:pStyle w:val="Textoindependiente"/>
        <w:tabs>
          <w:tab w:val="left" w:pos="360"/>
        </w:tabs>
        <w:spacing w:before="240"/>
        <w:jc w:val="center"/>
        <w:rPr>
          <w:rFonts w:ascii="ITC Avant Garde" w:hAnsi="ITC Avant Garde"/>
          <w:b/>
          <w:color w:val="000000" w:themeColor="text1"/>
        </w:rPr>
      </w:pPr>
      <w:r w:rsidRPr="008762D1">
        <w:rPr>
          <w:rFonts w:ascii="ITC Avant Garde" w:hAnsi="ITC Avant Garde"/>
          <w:b/>
          <w:color w:val="000000" w:themeColor="text1"/>
        </w:rPr>
        <w:lastRenderedPageBreak/>
        <w:t>LAYOUT PARA FACTURACIÓN.</w:t>
      </w:r>
      <w:r w:rsidR="008D7577" w:rsidRPr="008762D1">
        <w:rPr>
          <w:rFonts w:ascii="ITC Avant Garde" w:hAnsi="ITC Avant Garde"/>
          <w:b/>
          <w:color w:val="000000" w:themeColor="text1"/>
        </w:rPr>
        <w:tab/>
      </w:r>
      <w:r w:rsidRPr="008762D1">
        <w:rPr>
          <w:rFonts w:ascii="ITC Avant Garde" w:hAnsi="ITC Avant Garde"/>
          <w:b/>
          <w:color w:val="000000" w:themeColor="text1"/>
        </w:rPr>
        <w:t>ANEXO 1</w:t>
      </w:r>
    </w:p>
    <w:tbl>
      <w:tblPr>
        <w:tblStyle w:val="Cuadrculadetablaclara"/>
        <w:tblW w:w="0" w:type="auto"/>
        <w:jc w:val="center"/>
        <w:tblLayout w:type="fixed"/>
        <w:tblLook w:val="04A0" w:firstRow="1" w:lastRow="0" w:firstColumn="1" w:lastColumn="0" w:noHBand="0" w:noVBand="1"/>
        <w:tblCaption w:val="Tabla"/>
        <w:tblDescription w:val="LAYOUT PARA FACTURACIÓN. ANEXO 1"/>
      </w:tblPr>
      <w:tblGrid>
        <w:gridCol w:w="450"/>
        <w:gridCol w:w="2289"/>
        <w:gridCol w:w="992"/>
        <w:gridCol w:w="1418"/>
        <w:gridCol w:w="1275"/>
        <w:gridCol w:w="6349"/>
      </w:tblGrid>
      <w:tr w:rsidR="008762D1" w:rsidRPr="008762D1" w14:paraId="6D78D98C" w14:textId="77777777" w:rsidTr="00664EC0">
        <w:trPr>
          <w:trHeight w:val="202"/>
          <w:tblHeader/>
          <w:jc w:val="center"/>
        </w:trPr>
        <w:tc>
          <w:tcPr>
            <w:tcW w:w="450" w:type="dxa"/>
            <w:hideMark/>
          </w:tcPr>
          <w:p w14:paraId="3CE8B717" w14:textId="77777777"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No.</w:t>
            </w:r>
          </w:p>
        </w:tc>
        <w:tc>
          <w:tcPr>
            <w:tcW w:w="2289" w:type="dxa"/>
            <w:hideMark/>
          </w:tcPr>
          <w:p w14:paraId="46C4BD61" w14:textId="116EBA94"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NOMBRE</w:t>
            </w:r>
          </w:p>
        </w:tc>
        <w:tc>
          <w:tcPr>
            <w:tcW w:w="992" w:type="dxa"/>
            <w:hideMark/>
          </w:tcPr>
          <w:p w14:paraId="04A20BC8" w14:textId="5BC78CBB"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TIPO</w:t>
            </w:r>
          </w:p>
        </w:tc>
        <w:tc>
          <w:tcPr>
            <w:tcW w:w="1418" w:type="dxa"/>
            <w:hideMark/>
          </w:tcPr>
          <w:p w14:paraId="57AAAD74" w14:textId="77777777"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FORMATO</w:t>
            </w:r>
          </w:p>
        </w:tc>
        <w:tc>
          <w:tcPr>
            <w:tcW w:w="1275" w:type="dxa"/>
            <w:hideMark/>
          </w:tcPr>
          <w:p w14:paraId="49CD2504" w14:textId="77777777"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LONGITUD</w:t>
            </w:r>
          </w:p>
        </w:tc>
        <w:tc>
          <w:tcPr>
            <w:tcW w:w="6349" w:type="dxa"/>
            <w:hideMark/>
          </w:tcPr>
          <w:p w14:paraId="5E11D72E" w14:textId="65544B40"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DESCRIPCION</w:t>
            </w:r>
          </w:p>
        </w:tc>
      </w:tr>
      <w:tr w:rsidR="008762D1" w:rsidRPr="008762D1" w14:paraId="0C490ECA" w14:textId="77777777" w:rsidTr="00664EC0">
        <w:trPr>
          <w:trHeight w:val="192"/>
          <w:jc w:val="center"/>
        </w:trPr>
        <w:tc>
          <w:tcPr>
            <w:tcW w:w="450" w:type="dxa"/>
          </w:tcPr>
          <w:p w14:paraId="503EC7E5" w14:textId="77777777" w:rsidR="00526FE9" w:rsidRPr="008762D1" w:rsidRDefault="00526FE9" w:rsidP="008D7577">
            <w:pPr>
              <w:jc w:val="center"/>
              <w:rPr>
                <w:rFonts w:ascii="ITC Avant Garde" w:hAnsi="ITC Avant Garde"/>
                <w:snapToGrid w:val="0"/>
                <w:color w:val="000000" w:themeColor="text1"/>
                <w:sz w:val="20"/>
                <w:szCs w:val="20"/>
              </w:rPr>
            </w:pPr>
          </w:p>
        </w:tc>
        <w:tc>
          <w:tcPr>
            <w:tcW w:w="2289" w:type="dxa"/>
            <w:hideMark/>
          </w:tcPr>
          <w:p w14:paraId="138775BC" w14:textId="77777777" w:rsidR="00526FE9" w:rsidRPr="008762D1" w:rsidRDefault="00526FE9" w:rsidP="008D7577">
            <w:pP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REGISTRO HEADER</w:t>
            </w:r>
          </w:p>
        </w:tc>
        <w:tc>
          <w:tcPr>
            <w:tcW w:w="992" w:type="dxa"/>
          </w:tcPr>
          <w:p w14:paraId="4EBC6318" w14:textId="77777777" w:rsidR="00526FE9" w:rsidRPr="008762D1" w:rsidRDefault="00526FE9" w:rsidP="008D7577">
            <w:pPr>
              <w:jc w:val="right"/>
              <w:rPr>
                <w:rFonts w:ascii="ITC Avant Garde" w:hAnsi="ITC Avant Garde"/>
                <w:snapToGrid w:val="0"/>
                <w:color w:val="000000" w:themeColor="text1"/>
                <w:sz w:val="20"/>
                <w:szCs w:val="20"/>
              </w:rPr>
            </w:pPr>
          </w:p>
        </w:tc>
        <w:tc>
          <w:tcPr>
            <w:tcW w:w="1418" w:type="dxa"/>
          </w:tcPr>
          <w:p w14:paraId="2C327998" w14:textId="77777777" w:rsidR="00526FE9" w:rsidRPr="008762D1" w:rsidRDefault="00526FE9" w:rsidP="008D7577">
            <w:pPr>
              <w:jc w:val="right"/>
              <w:rPr>
                <w:rFonts w:ascii="ITC Avant Garde" w:hAnsi="ITC Avant Garde"/>
                <w:snapToGrid w:val="0"/>
                <w:color w:val="000000" w:themeColor="text1"/>
                <w:sz w:val="20"/>
                <w:szCs w:val="20"/>
              </w:rPr>
            </w:pPr>
          </w:p>
        </w:tc>
        <w:tc>
          <w:tcPr>
            <w:tcW w:w="1275" w:type="dxa"/>
          </w:tcPr>
          <w:p w14:paraId="276F88F2" w14:textId="77777777" w:rsidR="00526FE9" w:rsidRPr="008762D1" w:rsidRDefault="00526FE9" w:rsidP="008D7577">
            <w:pPr>
              <w:jc w:val="center"/>
              <w:rPr>
                <w:rFonts w:ascii="ITC Avant Garde" w:hAnsi="ITC Avant Garde"/>
                <w:snapToGrid w:val="0"/>
                <w:color w:val="000000" w:themeColor="text1"/>
                <w:sz w:val="20"/>
                <w:szCs w:val="20"/>
              </w:rPr>
            </w:pPr>
          </w:p>
        </w:tc>
        <w:tc>
          <w:tcPr>
            <w:tcW w:w="6349" w:type="dxa"/>
          </w:tcPr>
          <w:p w14:paraId="7CE585C0" w14:textId="77777777" w:rsidR="00526FE9" w:rsidRPr="008762D1" w:rsidRDefault="00526FE9" w:rsidP="008D7577">
            <w:pPr>
              <w:jc w:val="right"/>
              <w:rPr>
                <w:rFonts w:ascii="ITC Avant Garde" w:hAnsi="ITC Avant Garde"/>
                <w:snapToGrid w:val="0"/>
                <w:color w:val="000000" w:themeColor="text1"/>
                <w:sz w:val="20"/>
                <w:szCs w:val="20"/>
              </w:rPr>
            </w:pPr>
          </w:p>
        </w:tc>
      </w:tr>
      <w:tr w:rsidR="008762D1" w:rsidRPr="008762D1" w14:paraId="78841AFB" w14:textId="77777777" w:rsidTr="00664EC0">
        <w:trPr>
          <w:trHeight w:val="192"/>
          <w:jc w:val="center"/>
        </w:trPr>
        <w:tc>
          <w:tcPr>
            <w:tcW w:w="450" w:type="dxa"/>
            <w:hideMark/>
          </w:tcPr>
          <w:p w14:paraId="69C90E8E"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2289" w:type="dxa"/>
            <w:hideMark/>
          </w:tcPr>
          <w:p w14:paraId="6140601C"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Identificador de reg.</w:t>
            </w:r>
          </w:p>
        </w:tc>
        <w:tc>
          <w:tcPr>
            <w:tcW w:w="992" w:type="dxa"/>
            <w:hideMark/>
          </w:tcPr>
          <w:p w14:paraId="7DB3FC0B" w14:textId="5FF86EAB"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7CD92515"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w:t>
            </w:r>
          </w:p>
        </w:tc>
        <w:tc>
          <w:tcPr>
            <w:tcW w:w="1275" w:type="dxa"/>
            <w:hideMark/>
          </w:tcPr>
          <w:p w14:paraId="317096D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6349" w:type="dxa"/>
            <w:hideMark/>
          </w:tcPr>
          <w:p w14:paraId="47573B20"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Identificador de inicio de archivo. El valor debe ser cero.</w:t>
            </w:r>
          </w:p>
        </w:tc>
      </w:tr>
      <w:tr w:rsidR="008762D1" w:rsidRPr="008762D1" w14:paraId="1AF172C1" w14:textId="77777777" w:rsidTr="00664EC0">
        <w:trPr>
          <w:trHeight w:val="192"/>
          <w:jc w:val="center"/>
        </w:trPr>
        <w:tc>
          <w:tcPr>
            <w:tcW w:w="450" w:type="dxa"/>
            <w:hideMark/>
          </w:tcPr>
          <w:p w14:paraId="7F0BFFA6"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2</w:t>
            </w:r>
          </w:p>
        </w:tc>
        <w:tc>
          <w:tcPr>
            <w:tcW w:w="2289" w:type="dxa"/>
            <w:hideMark/>
          </w:tcPr>
          <w:p w14:paraId="0A5B75E0"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Número de </w:t>
            </w:r>
            <w:proofErr w:type="spellStart"/>
            <w:r w:rsidRPr="008762D1">
              <w:rPr>
                <w:rFonts w:ascii="ITC Avant Garde" w:hAnsi="ITC Avant Garde"/>
                <w:snapToGrid w:val="0"/>
                <w:color w:val="000000" w:themeColor="text1"/>
                <w:sz w:val="20"/>
                <w:szCs w:val="20"/>
              </w:rPr>
              <w:t>batch</w:t>
            </w:r>
            <w:proofErr w:type="spellEnd"/>
          </w:p>
        </w:tc>
        <w:tc>
          <w:tcPr>
            <w:tcW w:w="992" w:type="dxa"/>
            <w:hideMark/>
          </w:tcPr>
          <w:p w14:paraId="71C5BB82" w14:textId="58BA8B15"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49B75FB7"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9999</w:t>
            </w:r>
          </w:p>
        </w:tc>
        <w:tc>
          <w:tcPr>
            <w:tcW w:w="1275" w:type="dxa"/>
            <w:hideMark/>
          </w:tcPr>
          <w:p w14:paraId="1ADFC221"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4</w:t>
            </w:r>
          </w:p>
        </w:tc>
        <w:tc>
          <w:tcPr>
            <w:tcW w:w="6349" w:type="dxa"/>
            <w:hideMark/>
          </w:tcPr>
          <w:p w14:paraId="15272CE1"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Número de </w:t>
            </w:r>
            <w:proofErr w:type="spellStart"/>
            <w:r w:rsidRPr="008762D1">
              <w:rPr>
                <w:rFonts w:ascii="ITC Avant Garde" w:hAnsi="ITC Avant Garde"/>
                <w:snapToGrid w:val="0"/>
                <w:color w:val="000000" w:themeColor="text1"/>
                <w:sz w:val="20"/>
                <w:szCs w:val="20"/>
              </w:rPr>
              <w:t>batch</w:t>
            </w:r>
            <w:proofErr w:type="spellEnd"/>
            <w:r w:rsidRPr="008762D1">
              <w:rPr>
                <w:rFonts w:ascii="ITC Avant Garde" w:hAnsi="ITC Avant Garde"/>
                <w:snapToGrid w:val="0"/>
                <w:color w:val="000000" w:themeColor="text1"/>
                <w:sz w:val="20"/>
                <w:szCs w:val="20"/>
              </w:rPr>
              <w:t xml:space="preserve"> (consecutivo)</w:t>
            </w:r>
          </w:p>
        </w:tc>
      </w:tr>
      <w:tr w:rsidR="008762D1" w:rsidRPr="008762D1" w14:paraId="2085A414" w14:textId="77777777" w:rsidTr="00664EC0">
        <w:trPr>
          <w:trHeight w:val="192"/>
          <w:jc w:val="center"/>
        </w:trPr>
        <w:tc>
          <w:tcPr>
            <w:tcW w:w="450" w:type="dxa"/>
            <w:hideMark/>
          </w:tcPr>
          <w:p w14:paraId="3BCC26BD"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3</w:t>
            </w:r>
          </w:p>
        </w:tc>
        <w:tc>
          <w:tcPr>
            <w:tcW w:w="2289" w:type="dxa"/>
            <w:hideMark/>
          </w:tcPr>
          <w:p w14:paraId="21F6E539"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Operador Origen</w:t>
            </w:r>
          </w:p>
        </w:tc>
        <w:tc>
          <w:tcPr>
            <w:tcW w:w="992" w:type="dxa"/>
            <w:hideMark/>
          </w:tcPr>
          <w:p w14:paraId="17C476E7" w14:textId="0776933A"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6712426C"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w:t>
            </w:r>
          </w:p>
        </w:tc>
        <w:tc>
          <w:tcPr>
            <w:tcW w:w="1275" w:type="dxa"/>
            <w:hideMark/>
          </w:tcPr>
          <w:p w14:paraId="428B2684"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3</w:t>
            </w:r>
          </w:p>
        </w:tc>
        <w:tc>
          <w:tcPr>
            <w:tcW w:w="6349" w:type="dxa"/>
            <w:hideMark/>
          </w:tcPr>
          <w:p w14:paraId="6F516467"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Clave del operador que factura. CIC</w:t>
            </w:r>
          </w:p>
        </w:tc>
      </w:tr>
      <w:tr w:rsidR="008762D1" w:rsidRPr="008762D1" w14:paraId="18296A22" w14:textId="77777777" w:rsidTr="00664EC0">
        <w:trPr>
          <w:trHeight w:val="192"/>
          <w:jc w:val="center"/>
        </w:trPr>
        <w:tc>
          <w:tcPr>
            <w:tcW w:w="450" w:type="dxa"/>
            <w:hideMark/>
          </w:tcPr>
          <w:p w14:paraId="41F45308"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4</w:t>
            </w:r>
          </w:p>
        </w:tc>
        <w:tc>
          <w:tcPr>
            <w:tcW w:w="2289" w:type="dxa"/>
            <w:hideMark/>
          </w:tcPr>
          <w:p w14:paraId="5522237C"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Operador destino</w:t>
            </w:r>
          </w:p>
        </w:tc>
        <w:tc>
          <w:tcPr>
            <w:tcW w:w="992" w:type="dxa"/>
            <w:hideMark/>
          </w:tcPr>
          <w:p w14:paraId="19B83420" w14:textId="6AFACF71"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4AB46E90"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w:t>
            </w:r>
          </w:p>
        </w:tc>
        <w:tc>
          <w:tcPr>
            <w:tcW w:w="1275" w:type="dxa"/>
            <w:hideMark/>
          </w:tcPr>
          <w:p w14:paraId="07027A56"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3</w:t>
            </w:r>
          </w:p>
        </w:tc>
        <w:tc>
          <w:tcPr>
            <w:tcW w:w="6349" w:type="dxa"/>
            <w:hideMark/>
          </w:tcPr>
          <w:p w14:paraId="051BD790"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Clave del operador a quien se le factura. CIC</w:t>
            </w:r>
          </w:p>
        </w:tc>
      </w:tr>
      <w:tr w:rsidR="008762D1" w:rsidRPr="008762D1" w14:paraId="15D1D071" w14:textId="77777777" w:rsidTr="00664EC0">
        <w:trPr>
          <w:trHeight w:val="192"/>
          <w:jc w:val="center"/>
        </w:trPr>
        <w:tc>
          <w:tcPr>
            <w:tcW w:w="450" w:type="dxa"/>
            <w:hideMark/>
          </w:tcPr>
          <w:p w14:paraId="07D96462"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5</w:t>
            </w:r>
          </w:p>
        </w:tc>
        <w:tc>
          <w:tcPr>
            <w:tcW w:w="2289" w:type="dxa"/>
            <w:hideMark/>
          </w:tcPr>
          <w:p w14:paraId="39ECC8C3"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Fecha facturación</w:t>
            </w:r>
          </w:p>
        </w:tc>
        <w:tc>
          <w:tcPr>
            <w:tcW w:w="992" w:type="dxa"/>
            <w:hideMark/>
          </w:tcPr>
          <w:p w14:paraId="4BDEAD6B" w14:textId="32F504CF"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38AFADC6"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roofErr w:type="spellStart"/>
            <w:r w:rsidRPr="008762D1">
              <w:rPr>
                <w:rFonts w:ascii="ITC Avant Garde" w:hAnsi="ITC Avant Garde"/>
                <w:snapToGrid w:val="0"/>
                <w:color w:val="000000" w:themeColor="text1"/>
                <w:sz w:val="20"/>
                <w:szCs w:val="20"/>
              </w:rPr>
              <w:t>Aaaammdd</w:t>
            </w:r>
            <w:proofErr w:type="spellEnd"/>
          </w:p>
        </w:tc>
        <w:tc>
          <w:tcPr>
            <w:tcW w:w="1275" w:type="dxa"/>
            <w:hideMark/>
          </w:tcPr>
          <w:p w14:paraId="46AA5ED8"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8</w:t>
            </w:r>
          </w:p>
        </w:tc>
        <w:tc>
          <w:tcPr>
            <w:tcW w:w="6349" w:type="dxa"/>
            <w:hideMark/>
          </w:tcPr>
          <w:p w14:paraId="11055D1D"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Fecha de emisión de factura </w:t>
            </w:r>
          </w:p>
        </w:tc>
      </w:tr>
      <w:tr w:rsidR="008762D1" w:rsidRPr="008762D1" w14:paraId="7EA65F57" w14:textId="77777777" w:rsidTr="00664EC0">
        <w:trPr>
          <w:trHeight w:val="192"/>
          <w:jc w:val="center"/>
        </w:trPr>
        <w:tc>
          <w:tcPr>
            <w:tcW w:w="450" w:type="dxa"/>
            <w:hideMark/>
          </w:tcPr>
          <w:p w14:paraId="2D364DA7"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6</w:t>
            </w:r>
          </w:p>
        </w:tc>
        <w:tc>
          <w:tcPr>
            <w:tcW w:w="2289" w:type="dxa"/>
            <w:hideMark/>
          </w:tcPr>
          <w:p w14:paraId="174DC7E7"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Fecha proceso</w:t>
            </w:r>
          </w:p>
        </w:tc>
        <w:tc>
          <w:tcPr>
            <w:tcW w:w="992" w:type="dxa"/>
            <w:hideMark/>
          </w:tcPr>
          <w:p w14:paraId="1DFAA04B" w14:textId="7CC63C42"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32E419A4"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roofErr w:type="spellStart"/>
            <w:r w:rsidRPr="008762D1">
              <w:rPr>
                <w:rFonts w:ascii="ITC Avant Garde" w:hAnsi="ITC Avant Garde"/>
                <w:snapToGrid w:val="0"/>
                <w:color w:val="000000" w:themeColor="text1"/>
                <w:sz w:val="20"/>
                <w:szCs w:val="20"/>
              </w:rPr>
              <w:t>Aaaammdd</w:t>
            </w:r>
            <w:proofErr w:type="spellEnd"/>
          </w:p>
        </w:tc>
        <w:tc>
          <w:tcPr>
            <w:tcW w:w="1275" w:type="dxa"/>
            <w:hideMark/>
          </w:tcPr>
          <w:p w14:paraId="73B86B7C"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8</w:t>
            </w:r>
          </w:p>
        </w:tc>
        <w:tc>
          <w:tcPr>
            <w:tcW w:w="6349" w:type="dxa"/>
            <w:hideMark/>
          </w:tcPr>
          <w:p w14:paraId="05007C1F"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Fecha de proceso del archivo</w:t>
            </w:r>
          </w:p>
        </w:tc>
      </w:tr>
      <w:tr w:rsidR="008762D1" w:rsidRPr="008762D1" w14:paraId="352947BE" w14:textId="77777777" w:rsidTr="00664EC0">
        <w:trPr>
          <w:trHeight w:val="192"/>
          <w:jc w:val="center"/>
        </w:trPr>
        <w:tc>
          <w:tcPr>
            <w:tcW w:w="450" w:type="dxa"/>
            <w:hideMark/>
          </w:tcPr>
          <w:p w14:paraId="4FA481A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7</w:t>
            </w:r>
          </w:p>
        </w:tc>
        <w:tc>
          <w:tcPr>
            <w:tcW w:w="2289" w:type="dxa"/>
            <w:hideMark/>
          </w:tcPr>
          <w:p w14:paraId="750E664A"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Fecha de corte</w:t>
            </w:r>
          </w:p>
        </w:tc>
        <w:tc>
          <w:tcPr>
            <w:tcW w:w="992" w:type="dxa"/>
            <w:hideMark/>
          </w:tcPr>
          <w:p w14:paraId="44770C6F" w14:textId="5C029F9E"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2624D95D"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roofErr w:type="spellStart"/>
            <w:r w:rsidRPr="008762D1">
              <w:rPr>
                <w:rFonts w:ascii="ITC Avant Garde" w:hAnsi="ITC Avant Garde"/>
                <w:snapToGrid w:val="0"/>
                <w:color w:val="000000" w:themeColor="text1"/>
                <w:sz w:val="20"/>
                <w:szCs w:val="20"/>
              </w:rPr>
              <w:t>Aaaammdd</w:t>
            </w:r>
            <w:proofErr w:type="spellEnd"/>
          </w:p>
        </w:tc>
        <w:tc>
          <w:tcPr>
            <w:tcW w:w="1275" w:type="dxa"/>
            <w:hideMark/>
          </w:tcPr>
          <w:p w14:paraId="6EB392DC"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8</w:t>
            </w:r>
          </w:p>
        </w:tc>
        <w:tc>
          <w:tcPr>
            <w:tcW w:w="6349" w:type="dxa"/>
            <w:hideMark/>
          </w:tcPr>
          <w:p w14:paraId="7A15E619"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Fecha de corte de facturación</w:t>
            </w:r>
          </w:p>
        </w:tc>
      </w:tr>
      <w:tr w:rsidR="008762D1" w:rsidRPr="008762D1" w14:paraId="1339CF3E" w14:textId="77777777" w:rsidTr="00664EC0">
        <w:trPr>
          <w:trHeight w:val="192"/>
          <w:jc w:val="center"/>
        </w:trPr>
        <w:tc>
          <w:tcPr>
            <w:tcW w:w="450" w:type="dxa"/>
            <w:hideMark/>
          </w:tcPr>
          <w:p w14:paraId="0BB204D7"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8</w:t>
            </w:r>
          </w:p>
        </w:tc>
        <w:tc>
          <w:tcPr>
            <w:tcW w:w="2289" w:type="dxa"/>
            <w:hideMark/>
          </w:tcPr>
          <w:p w14:paraId="47706427" w14:textId="77777777" w:rsidR="00526FE9" w:rsidRPr="008762D1" w:rsidRDefault="00526FE9" w:rsidP="008D7577">
            <w:pPr>
              <w:rPr>
                <w:rFonts w:ascii="ITC Avant Garde" w:hAnsi="ITC Avant Garde"/>
                <w:snapToGrid w:val="0"/>
                <w:color w:val="000000" w:themeColor="text1"/>
                <w:sz w:val="20"/>
                <w:szCs w:val="20"/>
              </w:rPr>
            </w:pPr>
            <w:proofErr w:type="spellStart"/>
            <w:r w:rsidRPr="008762D1">
              <w:rPr>
                <w:rFonts w:ascii="ITC Avant Garde" w:hAnsi="ITC Avant Garde"/>
                <w:snapToGrid w:val="0"/>
                <w:color w:val="000000" w:themeColor="text1"/>
                <w:sz w:val="20"/>
                <w:szCs w:val="20"/>
              </w:rPr>
              <w:t>Filler</w:t>
            </w:r>
            <w:proofErr w:type="spellEnd"/>
          </w:p>
        </w:tc>
        <w:tc>
          <w:tcPr>
            <w:tcW w:w="992" w:type="dxa"/>
            <w:hideMark/>
          </w:tcPr>
          <w:p w14:paraId="3DBF00EA" w14:textId="6BB2631C"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C</w:t>
            </w:r>
          </w:p>
        </w:tc>
        <w:tc>
          <w:tcPr>
            <w:tcW w:w="1418" w:type="dxa"/>
            <w:hideMark/>
          </w:tcPr>
          <w:p w14:paraId="6392D531"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
        </w:tc>
        <w:tc>
          <w:tcPr>
            <w:tcW w:w="1275" w:type="dxa"/>
            <w:hideMark/>
          </w:tcPr>
          <w:p w14:paraId="13099DE2"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65</w:t>
            </w:r>
          </w:p>
        </w:tc>
        <w:tc>
          <w:tcPr>
            <w:tcW w:w="6349" w:type="dxa"/>
            <w:hideMark/>
          </w:tcPr>
          <w:p w14:paraId="72FA9BD9"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Caracteres en blanco para completar la longitud del registro a 100 posiciones</w:t>
            </w:r>
          </w:p>
        </w:tc>
      </w:tr>
      <w:tr w:rsidR="008762D1" w:rsidRPr="008762D1" w14:paraId="76132E7F" w14:textId="77777777" w:rsidTr="00664EC0">
        <w:trPr>
          <w:trHeight w:val="192"/>
          <w:jc w:val="center"/>
        </w:trPr>
        <w:tc>
          <w:tcPr>
            <w:tcW w:w="450" w:type="dxa"/>
          </w:tcPr>
          <w:p w14:paraId="2BD0374B" w14:textId="77777777" w:rsidR="00526FE9" w:rsidRPr="008762D1" w:rsidRDefault="00526FE9" w:rsidP="008D7577">
            <w:pPr>
              <w:jc w:val="center"/>
              <w:rPr>
                <w:rFonts w:ascii="ITC Avant Garde" w:hAnsi="ITC Avant Garde"/>
                <w:snapToGrid w:val="0"/>
                <w:color w:val="000000" w:themeColor="text1"/>
                <w:sz w:val="20"/>
                <w:szCs w:val="20"/>
              </w:rPr>
            </w:pPr>
          </w:p>
        </w:tc>
        <w:tc>
          <w:tcPr>
            <w:tcW w:w="2289" w:type="dxa"/>
            <w:hideMark/>
          </w:tcPr>
          <w:p w14:paraId="6DE613CE"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
        </w:tc>
        <w:tc>
          <w:tcPr>
            <w:tcW w:w="992" w:type="dxa"/>
          </w:tcPr>
          <w:p w14:paraId="2E92C4B1" w14:textId="77777777" w:rsidR="00526FE9" w:rsidRPr="008762D1" w:rsidRDefault="00526FE9" w:rsidP="008D7577">
            <w:pPr>
              <w:jc w:val="right"/>
              <w:rPr>
                <w:rFonts w:ascii="ITC Avant Garde" w:hAnsi="ITC Avant Garde"/>
                <w:snapToGrid w:val="0"/>
                <w:color w:val="000000" w:themeColor="text1"/>
                <w:sz w:val="20"/>
                <w:szCs w:val="20"/>
              </w:rPr>
            </w:pPr>
          </w:p>
        </w:tc>
        <w:tc>
          <w:tcPr>
            <w:tcW w:w="1418" w:type="dxa"/>
          </w:tcPr>
          <w:p w14:paraId="4F9081B5" w14:textId="77777777" w:rsidR="00526FE9" w:rsidRPr="008762D1" w:rsidRDefault="00526FE9" w:rsidP="008D7577">
            <w:pPr>
              <w:jc w:val="right"/>
              <w:rPr>
                <w:rFonts w:ascii="ITC Avant Garde" w:hAnsi="ITC Avant Garde"/>
                <w:snapToGrid w:val="0"/>
                <w:color w:val="000000" w:themeColor="text1"/>
                <w:sz w:val="20"/>
                <w:szCs w:val="20"/>
              </w:rPr>
            </w:pPr>
          </w:p>
        </w:tc>
        <w:tc>
          <w:tcPr>
            <w:tcW w:w="1275" w:type="dxa"/>
            <w:hideMark/>
          </w:tcPr>
          <w:p w14:paraId="75CCDA90" w14:textId="77777777"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100</w:t>
            </w:r>
          </w:p>
        </w:tc>
        <w:tc>
          <w:tcPr>
            <w:tcW w:w="6349" w:type="dxa"/>
          </w:tcPr>
          <w:p w14:paraId="4EE9B009" w14:textId="77777777" w:rsidR="00526FE9" w:rsidRPr="008762D1" w:rsidRDefault="00526FE9" w:rsidP="008D7577">
            <w:pPr>
              <w:jc w:val="right"/>
              <w:rPr>
                <w:rFonts w:ascii="ITC Avant Garde" w:hAnsi="ITC Avant Garde"/>
                <w:snapToGrid w:val="0"/>
                <w:color w:val="000000" w:themeColor="text1"/>
                <w:sz w:val="20"/>
                <w:szCs w:val="20"/>
              </w:rPr>
            </w:pPr>
          </w:p>
        </w:tc>
      </w:tr>
      <w:tr w:rsidR="008762D1" w:rsidRPr="008762D1" w14:paraId="69233AAD" w14:textId="77777777" w:rsidTr="00664EC0">
        <w:trPr>
          <w:trHeight w:val="192"/>
          <w:jc w:val="center"/>
        </w:trPr>
        <w:tc>
          <w:tcPr>
            <w:tcW w:w="450" w:type="dxa"/>
            <w:hideMark/>
          </w:tcPr>
          <w:p w14:paraId="26299B33"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2289" w:type="dxa"/>
            <w:hideMark/>
          </w:tcPr>
          <w:p w14:paraId="2533BDA2"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Identificador de reg.</w:t>
            </w:r>
          </w:p>
        </w:tc>
        <w:tc>
          <w:tcPr>
            <w:tcW w:w="992" w:type="dxa"/>
            <w:hideMark/>
          </w:tcPr>
          <w:p w14:paraId="4CFEBBFA" w14:textId="5D9CE0D2"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637E54A3"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w:t>
            </w:r>
          </w:p>
        </w:tc>
        <w:tc>
          <w:tcPr>
            <w:tcW w:w="1275" w:type="dxa"/>
            <w:hideMark/>
          </w:tcPr>
          <w:p w14:paraId="0081E3DC"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6349" w:type="dxa"/>
            <w:hideMark/>
          </w:tcPr>
          <w:p w14:paraId="120F1EF4"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Identificador de inicio de detalle de llamadas. El valor debe ser uno.</w:t>
            </w:r>
          </w:p>
        </w:tc>
      </w:tr>
      <w:tr w:rsidR="008762D1" w:rsidRPr="008762D1" w14:paraId="6E7E852F" w14:textId="77777777" w:rsidTr="00664EC0">
        <w:trPr>
          <w:trHeight w:val="192"/>
          <w:jc w:val="center"/>
        </w:trPr>
        <w:tc>
          <w:tcPr>
            <w:tcW w:w="450" w:type="dxa"/>
            <w:hideMark/>
          </w:tcPr>
          <w:p w14:paraId="078EE17F"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2</w:t>
            </w:r>
          </w:p>
        </w:tc>
        <w:tc>
          <w:tcPr>
            <w:tcW w:w="2289" w:type="dxa"/>
            <w:hideMark/>
          </w:tcPr>
          <w:p w14:paraId="0F6D6A74"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ASL</w:t>
            </w:r>
          </w:p>
        </w:tc>
        <w:tc>
          <w:tcPr>
            <w:tcW w:w="992" w:type="dxa"/>
            <w:hideMark/>
          </w:tcPr>
          <w:p w14:paraId="7399A926"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68FAFBCE"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99999</w:t>
            </w:r>
          </w:p>
        </w:tc>
        <w:tc>
          <w:tcPr>
            <w:tcW w:w="1275" w:type="dxa"/>
            <w:hideMark/>
          </w:tcPr>
          <w:p w14:paraId="7F9B0857"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5</w:t>
            </w:r>
          </w:p>
        </w:tc>
        <w:tc>
          <w:tcPr>
            <w:tcW w:w="6349" w:type="dxa"/>
            <w:hideMark/>
          </w:tcPr>
          <w:p w14:paraId="799BF121"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roofErr w:type="spellStart"/>
            <w:r w:rsidRPr="008762D1">
              <w:rPr>
                <w:rFonts w:ascii="ITC Avant Garde" w:hAnsi="ITC Avant Garde"/>
                <w:snapToGrid w:val="0"/>
                <w:color w:val="000000" w:themeColor="text1"/>
                <w:sz w:val="20"/>
                <w:szCs w:val="20"/>
              </w:rPr>
              <w:t>Area</w:t>
            </w:r>
            <w:proofErr w:type="spellEnd"/>
            <w:r w:rsidRPr="008762D1">
              <w:rPr>
                <w:rFonts w:ascii="ITC Avant Garde" w:hAnsi="ITC Avant Garde"/>
                <w:snapToGrid w:val="0"/>
                <w:color w:val="000000" w:themeColor="text1"/>
                <w:sz w:val="20"/>
                <w:szCs w:val="20"/>
              </w:rPr>
              <w:t xml:space="preserve"> de Servicio Local (en caso de aplicar)</w:t>
            </w:r>
          </w:p>
        </w:tc>
      </w:tr>
      <w:tr w:rsidR="008762D1" w:rsidRPr="008762D1" w14:paraId="1D71C856" w14:textId="77777777" w:rsidTr="00664EC0">
        <w:trPr>
          <w:trHeight w:val="192"/>
          <w:jc w:val="center"/>
        </w:trPr>
        <w:tc>
          <w:tcPr>
            <w:tcW w:w="450" w:type="dxa"/>
            <w:hideMark/>
          </w:tcPr>
          <w:p w14:paraId="06C8423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3</w:t>
            </w:r>
          </w:p>
        </w:tc>
        <w:tc>
          <w:tcPr>
            <w:tcW w:w="2289" w:type="dxa"/>
            <w:hideMark/>
          </w:tcPr>
          <w:p w14:paraId="4BA08E8B"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Día</w:t>
            </w:r>
          </w:p>
        </w:tc>
        <w:tc>
          <w:tcPr>
            <w:tcW w:w="992" w:type="dxa"/>
            <w:hideMark/>
          </w:tcPr>
          <w:p w14:paraId="6989598A" w14:textId="6669BA38"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553CE450"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roofErr w:type="spellStart"/>
            <w:r w:rsidRPr="008762D1">
              <w:rPr>
                <w:rFonts w:ascii="ITC Avant Garde" w:hAnsi="ITC Avant Garde"/>
                <w:snapToGrid w:val="0"/>
                <w:color w:val="000000" w:themeColor="text1"/>
                <w:sz w:val="20"/>
                <w:szCs w:val="20"/>
              </w:rPr>
              <w:t>Aaaammdd</w:t>
            </w:r>
            <w:proofErr w:type="spellEnd"/>
          </w:p>
        </w:tc>
        <w:tc>
          <w:tcPr>
            <w:tcW w:w="1275" w:type="dxa"/>
            <w:hideMark/>
          </w:tcPr>
          <w:p w14:paraId="1C0FC17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8</w:t>
            </w:r>
          </w:p>
        </w:tc>
        <w:tc>
          <w:tcPr>
            <w:tcW w:w="6349" w:type="dxa"/>
            <w:hideMark/>
          </w:tcPr>
          <w:p w14:paraId="237D6AAA"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Día en que se inició la llamada.</w:t>
            </w:r>
          </w:p>
        </w:tc>
      </w:tr>
      <w:tr w:rsidR="008762D1" w:rsidRPr="008762D1" w14:paraId="4CDA5A91" w14:textId="77777777" w:rsidTr="00664EC0">
        <w:trPr>
          <w:trHeight w:val="216"/>
          <w:jc w:val="center"/>
        </w:trPr>
        <w:tc>
          <w:tcPr>
            <w:tcW w:w="450" w:type="dxa"/>
            <w:hideMark/>
          </w:tcPr>
          <w:p w14:paraId="311F572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4</w:t>
            </w:r>
          </w:p>
        </w:tc>
        <w:tc>
          <w:tcPr>
            <w:tcW w:w="2289" w:type="dxa"/>
            <w:hideMark/>
          </w:tcPr>
          <w:p w14:paraId="1A5F005C"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Tipo de Tráfico</w:t>
            </w:r>
          </w:p>
        </w:tc>
        <w:tc>
          <w:tcPr>
            <w:tcW w:w="992" w:type="dxa"/>
            <w:hideMark/>
          </w:tcPr>
          <w:p w14:paraId="499D7BB3" w14:textId="0119DFB2"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399F574C"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w:t>
            </w:r>
          </w:p>
        </w:tc>
        <w:tc>
          <w:tcPr>
            <w:tcW w:w="1275" w:type="dxa"/>
            <w:hideMark/>
          </w:tcPr>
          <w:p w14:paraId="30E4CD36"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2</w:t>
            </w:r>
          </w:p>
        </w:tc>
        <w:tc>
          <w:tcPr>
            <w:tcW w:w="6349" w:type="dxa"/>
            <w:hideMark/>
          </w:tcPr>
          <w:p w14:paraId="54A158D9"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vertAlign w:val="superscript"/>
              </w:rPr>
              <w:t>2</w:t>
            </w:r>
            <w:r w:rsidRPr="008762D1">
              <w:rPr>
                <w:rFonts w:ascii="ITC Avant Garde" w:hAnsi="ITC Avant Garde"/>
                <w:snapToGrid w:val="0"/>
                <w:color w:val="000000" w:themeColor="text1"/>
                <w:sz w:val="20"/>
                <w:szCs w:val="20"/>
              </w:rPr>
              <w:t xml:space="preserve"> Indica el tipo de tráfico de acuerdo con el catálogo anexo</w:t>
            </w:r>
          </w:p>
        </w:tc>
      </w:tr>
      <w:tr w:rsidR="008762D1" w:rsidRPr="008762D1" w14:paraId="306854E3" w14:textId="77777777" w:rsidTr="00664EC0">
        <w:trPr>
          <w:trHeight w:val="216"/>
          <w:jc w:val="center"/>
        </w:trPr>
        <w:tc>
          <w:tcPr>
            <w:tcW w:w="450" w:type="dxa"/>
            <w:hideMark/>
          </w:tcPr>
          <w:p w14:paraId="6FD14F6E"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5</w:t>
            </w:r>
          </w:p>
        </w:tc>
        <w:tc>
          <w:tcPr>
            <w:tcW w:w="2289" w:type="dxa"/>
            <w:hideMark/>
          </w:tcPr>
          <w:p w14:paraId="4BE1183C"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Serie Destino</w:t>
            </w:r>
          </w:p>
        </w:tc>
        <w:tc>
          <w:tcPr>
            <w:tcW w:w="992" w:type="dxa"/>
            <w:hideMark/>
          </w:tcPr>
          <w:p w14:paraId="156B9795" w14:textId="58A771F9"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5BA2E42D"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9999999</w:t>
            </w:r>
          </w:p>
        </w:tc>
        <w:tc>
          <w:tcPr>
            <w:tcW w:w="1275" w:type="dxa"/>
            <w:hideMark/>
          </w:tcPr>
          <w:p w14:paraId="1318834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7</w:t>
            </w:r>
          </w:p>
        </w:tc>
        <w:tc>
          <w:tcPr>
            <w:tcW w:w="6349" w:type="dxa"/>
            <w:hideMark/>
          </w:tcPr>
          <w:p w14:paraId="2E709747"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vertAlign w:val="superscript"/>
              </w:rPr>
              <w:t>3</w:t>
            </w:r>
            <w:r w:rsidRPr="008762D1">
              <w:rPr>
                <w:rFonts w:ascii="ITC Avant Garde" w:hAnsi="ITC Avant Garde"/>
                <w:snapToGrid w:val="0"/>
                <w:color w:val="000000" w:themeColor="text1"/>
                <w:sz w:val="20"/>
                <w:szCs w:val="20"/>
              </w:rPr>
              <w:t xml:space="preserve"> Serie destino. (Justificado a la derecha)</w:t>
            </w:r>
          </w:p>
        </w:tc>
      </w:tr>
      <w:tr w:rsidR="008762D1" w:rsidRPr="008762D1" w14:paraId="1FC9AA8B" w14:textId="77777777" w:rsidTr="00664EC0">
        <w:trPr>
          <w:trHeight w:val="192"/>
          <w:jc w:val="center"/>
        </w:trPr>
        <w:tc>
          <w:tcPr>
            <w:tcW w:w="450" w:type="dxa"/>
            <w:hideMark/>
          </w:tcPr>
          <w:p w14:paraId="2D8D56FE"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6</w:t>
            </w:r>
          </w:p>
        </w:tc>
        <w:tc>
          <w:tcPr>
            <w:tcW w:w="2289" w:type="dxa"/>
            <w:hideMark/>
          </w:tcPr>
          <w:p w14:paraId="224F0F8A"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Número de llamadas</w:t>
            </w:r>
          </w:p>
        </w:tc>
        <w:tc>
          <w:tcPr>
            <w:tcW w:w="992" w:type="dxa"/>
            <w:hideMark/>
          </w:tcPr>
          <w:p w14:paraId="4E13DCA0" w14:textId="2ACC5425"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6B03C881"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(12)9</w:t>
            </w:r>
          </w:p>
        </w:tc>
        <w:tc>
          <w:tcPr>
            <w:tcW w:w="1275" w:type="dxa"/>
            <w:hideMark/>
          </w:tcPr>
          <w:p w14:paraId="0B2FE9AA"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12</w:t>
            </w:r>
          </w:p>
        </w:tc>
        <w:tc>
          <w:tcPr>
            <w:tcW w:w="6349" w:type="dxa"/>
            <w:hideMark/>
          </w:tcPr>
          <w:p w14:paraId="4823C858"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Número de llamadas de un mismo tipo realizadas en un día</w:t>
            </w:r>
          </w:p>
        </w:tc>
      </w:tr>
      <w:tr w:rsidR="008762D1" w:rsidRPr="008762D1" w14:paraId="50EA1ED8" w14:textId="77777777" w:rsidTr="00664EC0">
        <w:trPr>
          <w:trHeight w:val="216"/>
          <w:jc w:val="center"/>
        </w:trPr>
        <w:tc>
          <w:tcPr>
            <w:tcW w:w="450" w:type="dxa"/>
            <w:hideMark/>
          </w:tcPr>
          <w:p w14:paraId="16A0506B"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7</w:t>
            </w:r>
          </w:p>
        </w:tc>
        <w:tc>
          <w:tcPr>
            <w:tcW w:w="2289" w:type="dxa"/>
            <w:hideMark/>
          </w:tcPr>
          <w:p w14:paraId="1F39DC02"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Número de minutos</w:t>
            </w:r>
          </w:p>
        </w:tc>
        <w:tc>
          <w:tcPr>
            <w:tcW w:w="992" w:type="dxa"/>
            <w:hideMark/>
          </w:tcPr>
          <w:p w14:paraId="09BA08FA" w14:textId="7BC4E9F4"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40F726E7"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9(9).99</w:t>
            </w:r>
          </w:p>
        </w:tc>
        <w:tc>
          <w:tcPr>
            <w:tcW w:w="1275" w:type="dxa"/>
            <w:hideMark/>
          </w:tcPr>
          <w:p w14:paraId="649C3BB7"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12</w:t>
            </w:r>
          </w:p>
        </w:tc>
        <w:tc>
          <w:tcPr>
            <w:tcW w:w="6349" w:type="dxa"/>
            <w:hideMark/>
          </w:tcPr>
          <w:p w14:paraId="58ABC67A"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vertAlign w:val="superscript"/>
              </w:rPr>
              <w:t>4</w:t>
            </w:r>
            <w:r w:rsidRPr="008762D1">
              <w:rPr>
                <w:rFonts w:ascii="ITC Avant Garde" w:hAnsi="ITC Avant Garde"/>
                <w:snapToGrid w:val="0"/>
                <w:color w:val="000000" w:themeColor="text1"/>
                <w:sz w:val="20"/>
                <w:szCs w:val="20"/>
              </w:rPr>
              <w:t xml:space="preserve"> Número de minutos de las llamadas de un mismo tipo realizadas en un día</w:t>
            </w:r>
          </w:p>
        </w:tc>
      </w:tr>
      <w:tr w:rsidR="008762D1" w:rsidRPr="008762D1" w14:paraId="55A08CC5" w14:textId="77777777" w:rsidTr="00664EC0">
        <w:trPr>
          <w:trHeight w:val="192"/>
          <w:jc w:val="center"/>
        </w:trPr>
        <w:tc>
          <w:tcPr>
            <w:tcW w:w="450" w:type="dxa"/>
            <w:hideMark/>
          </w:tcPr>
          <w:p w14:paraId="40AE2D38"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8</w:t>
            </w:r>
          </w:p>
        </w:tc>
        <w:tc>
          <w:tcPr>
            <w:tcW w:w="2289" w:type="dxa"/>
            <w:hideMark/>
          </w:tcPr>
          <w:p w14:paraId="750994A2"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Tarifa</w:t>
            </w:r>
          </w:p>
        </w:tc>
        <w:tc>
          <w:tcPr>
            <w:tcW w:w="992" w:type="dxa"/>
            <w:hideMark/>
          </w:tcPr>
          <w:p w14:paraId="0B97FC26" w14:textId="4C501FAA"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60B0E37E"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99.9999999</w:t>
            </w:r>
          </w:p>
        </w:tc>
        <w:tc>
          <w:tcPr>
            <w:tcW w:w="1275" w:type="dxa"/>
            <w:hideMark/>
          </w:tcPr>
          <w:p w14:paraId="7D14409F"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10</w:t>
            </w:r>
          </w:p>
        </w:tc>
        <w:tc>
          <w:tcPr>
            <w:tcW w:w="6349" w:type="dxa"/>
            <w:hideMark/>
          </w:tcPr>
          <w:p w14:paraId="0D000A87"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Tarifa por minuto por tipo de llamada</w:t>
            </w:r>
          </w:p>
        </w:tc>
      </w:tr>
      <w:tr w:rsidR="008762D1" w:rsidRPr="008762D1" w14:paraId="59BDED91" w14:textId="77777777" w:rsidTr="00664EC0">
        <w:trPr>
          <w:trHeight w:val="216"/>
          <w:jc w:val="center"/>
        </w:trPr>
        <w:tc>
          <w:tcPr>
            <w:tcW w:w="450" w:type="dxa"/>
            <w:hideMark/>
          </w:tcPr>
          <w:p w14:paraId="0B45567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w:t>
            </w:r>
          </w:p>
        </w:tc>
        <w:tc>
          <w:tcPr>
            <w:tcW w:w="2289" w:type="dxa"/>
            <w:hideMark/>
          </w:tcPr>
          <w:p w14:paraId="7E1287C3"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Serie Origen</w:t>
            </w:r>
          </w:p>
        </w:tc>
        <w:tc>
          <w:tcPr>
            <w:tcW w:w="992" w:type="dxa"/>
            <w:hideMark/>
          </w:tcPr>
          <w:p w14:paraId="27EF4C10" w14:textId="3DD84894"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2245BDFB"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9999999</w:t>
            </w:r>
          </w:p>
        </w:tc>
        <w:tc>
          <w:tcPr>
            <w:tcW w:w="1275" w:type="dxa"/>
            <w:hideMark/>
          </w:tcPr>
          <w:p w14:paraId="68961A8D"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7</w:t>
            </w:r>
          </w:p>
        </w:tc>
        <w:tc>
          <w:tcPr>
            <w:tcW w:w="6349" w:type="dxa"/>
            <w:hideMark/>
          </w:tcPr>
          <w:p w14:paraId="6185814A"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vertAlign w:val="superscript"/>
              </w:rPr>
              <w:t>5</w:t>
            </w:r>
            <w:r w:rsidRPr="008762D1">
              <w:rPr>
                <w:rFonts w:ascii="ITC Avant Garde" w:hAnsi="ITC Avant Garde"/>
                <w:snapToGrid w:val="0"/>
                <w:color w:val="000000" w:themeColor="text1"/>
                <w:sz w:val="20"/>
                <w:szCs w:val="20"/>
              </w:rPr>
              <w:t xml:space="preserve"> Serie origen (justificado a la derecha)</w:t>
            </w:r>
          </w:p>
        </w:tc>
      </w:tr>
      <w:tr w:rsidR="008762D1" w:rsidRPr="008762D1" w14:paraId="638438E6" w14:textId="77777777" w:rsidTr="00664EC0">
        <w:trPr>
          <w:trHeight w:val="192"/>
          <w:jc w:val="center"/>
        </w:trPr>
        <w:tc>
          <w:tcPr>
            <w:tcW w:w="450" w:type="dxa"/>
            <w:hideMark/>
          </w:tcPr>
          <w:p w14:paraId="664FACEA"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10</w:t>
            </w:r>
          </w:p>
        </w:tc>
        <w:tc>
          <w:tcPr>
            <w:tcW w:w="2289" w:type="dxa"/>
            <w:hideMark/>
          </w:tcPr>
          <w:p w14:paraId="19A973AA"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NIM</w:t>
            </w:r>
          </w:p>
        </w:tc>
        <w:tc>
          <w:tcPr>
            <w:tcW w:w="992" w:type="dxa"/>
            <w:hideMark/>
          </w:tcPr>
          <w:p w14:paraId="14C6EE64"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2EB43D8F"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w:t>
            </w:r>
          </w:p>
        </w:tc>
        <w:tc>
          <w:tcPr>
            <w:tcW w:w="1275" w:type="dxa"/>
            <w:hideMark/>
          </w:tcPr>
          <w:p w14:paraId="53AA5883"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6349" w:type="dxa"/>
            <w:hideMark/>
          </w:tcPr>
          <w:p w14:paraId="491270F5"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0:Nacional, 1:Internacional, 2:Mundial</w:t>
            </w:r>
          </w:p>
        </w:tc>
      </w:tr>
      <w:tr w:rsidR="008762D1" w:rsidRPr="008762D1" w14:paraId="434E8D47" w14:textId="77777777" w:rsidTr="00664EC0">
        <w:trPr>
          <w:trHeight w:val="192"/>
          <w:jc w:val="center"/>
        </w:trPr>
        <w:tc>
          <w:tcPr>
            <w:tcW w:w="450" w:type="dxa"/>
            <w:hideMark/>
          </w:tcPr>
          <w:p w14:paraId="6287BDD9"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11</w:t>
            </w:r>
          </w:p>
        </w:tc>
        <w:tc>
          <w:tcPr>
            <w:tcW w:w="2289" w:type="dxa"/>
            <w:hideMark/>
          </w:tcPr>
          <w:p w14:paraId="0C8B1610"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Tipo de llamada</w:t>
            </w:r>
          </w:p>
        </w:tc>
        <w:tc>
          <w:tcPr>
            <w:tcW w:w="992" w:type="dxa"/>
            <w:hideMark/>
          </w:tcPr>
          <w:p w14:paraId="4EDA0A53"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1DCAF9EE"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w:t>
            </w:r>
          </w:p>
        </w:tc>
        <w:tc>
          <w:tcPr>
            <w:tcW w:w="1275" w:type="dxa"/>
            <w:hideMark/>
          </w:tcPr>
          <w:p w14:paraId="0EE2E8E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6349" w:type="dxa"/>
            <w:hideMark/>
          </w:tcPr>
          <w:p w14:paraId="320D4CF8"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1:Automática, 8:No. 800</w:t>
            </w:r>
          </w:p>
        </w:tc>
      </w:tr>
      <w:tr w:rsidR="008762D1" w:rsidRPr="008762D1" w14:paraId="624B2B5C" w14:textId="77777777" w:rsidTr="00664EC0">
        <w:trPr>
          <w:trHeight w:val="192"/>
          <w:jc w:val="center"/>
        </w:trPr>
        <w:tc>
          <w:tcPr>
            <w:tcW w:w="450" w:type="dxa"/>
            <w:hideMark/>
          </w:tcPr>
          <w:p w14:paraId="378EA5B3"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12</w:t>
            </w:r>
          </w:p>
        </w:tc>
        <w:tc>
          <w:tcPr>
            <w:tcW w:w="2289" w:type="dxa"/>
            <w:hideMark/>
          </w:tcPr>
          <w:p w14:paraId="767793C0" w14:textId="77777777" w:rsidR="00526FE9" w:rsidRPr="008762D1" w:rsidRDefault="00526FE9" w:rsidP="008D7577">
            <w:pPr>
              <w:rPr>
                <w:rFonts w:ascii="ITC Avant Garde" w:hAnsi="ITC Avant Garde"/>
                <w:snapToGrid w:val="0"/>
                <w:color w:val="000000" w:themeColor="text1"/>
                <w:sz w:val="20"/>
                <w:szCs w:val="20"/>
              </w:rPr>
            </w:pPr>
            <w:proofErr w:type="spellStart"/>
            <w:r w:rsidRPr="008762D1">
              <w:rPr>
                <w:rFonts w:ascii="ITC Avant Garde" w:hAnsi="ITC Avant Garde"/>
                <w:snapToGrid w:val="0"/>
                <w:color w:val="000000" w:themeColor="text1"/>
                <w:sz w:val="20"/>
                <w:szCs w:val="20"/>
              </w:rPr>
              <w:t>Filler</w:t>
            </w:r>
            <w:proofErr w:type="spellEnd"/>
          </w:p>
        </w:tc>
        <w:tc>
          <w:tcPr>
            <w:tcW w:w="992" w:type="dxa"/>
            <w:hideMark/>
          </w:tcPr>
          <w:p w14:paraId="646C10C7"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C</w:t>
            </w:r>
          </w:p>
        </w:tc>
        <w:tc>
          <w:tcPr>
            <w:tcW w:w="1418" w:type="dxa"/>
            <w:hideMark/>
          </w:tcPr>
          <w:p w14:paraId="20CC8F04"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11</w:t>
            </w:r>
          </w:p>
        </w:tc>
        <w:tc>
          <w:tcPr>
            <w:tcW w:w="1275" w:type="dxa"/>
            <w:hideMark/>
          </w:tcPr>
          <w:p w14:paraId="6297556E"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11</w:t>
            </w:r>
          </w:p>
        </w:tc>
        <w:tc>
          <w:tcPr>
            <w:tcW w:w="6349" w:type="dxa"/>
            <w:hideMark/>
          </w:tcPr>
          <w:p w14:paraId="62B55A04"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Caracteres con ceros</w:t>
            </w:r>
          </w:p>
        </w:tc>
      </w:tr>
      <w:tr w:rsidR="008762D1" w:rsidRPr="008762D1" w14:paraId="1053C712" w14:textId="77777777" w:rsidTr="00664EC0">
        <w:trPr>
          <w:trHeight w:val="216"/>
          <w:jc w:val="center"/>
        </w:trPr>
        <w:tc>
          <w:tcPr>
            <w:tcW w:w="450" w:type="dxa"/>
            <w:hideMark/>
          </w:tcPr>
          <w:p w14:paraId="78CB5570"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13</w:t>
            </w:r>
          </w:p>
        </w:tc>
        <w:tc>
          <w:tcPr>
            <w:tcW w:w="2289" w:type="dxa"/>
            <w:hideMark/>
          </w:tcPr>
          <w:p w14:paraId="2B99B4E8"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Cta. de facturación</w:t>
            </w:r>
          </w:p>
        </w:tc>
        <w:tc>
          <w:tcPr>
            <w:tcW w:w="992" w:type="dxa"/>
            <w:hideMark/>
          </w:tcPr>
          <w:p w14:paraId="42BDEEA4"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0B78D290"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9999999</w:t>
            </w:r>
          </w:p>
        </w:tc>
        <w:tc>
          <w:tcPr>
            <w:tcW w:w="1275" w:type="dxa"/>
            <w:hideMark/>
          </w:tcPr>
          <w:p w14:paraId="35328EA4"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7</w:t>
            </w:r>
          </w:p>
        </w:tc>
        <w:tc>
          <w:tcPr>
            <w:tcW w:w="6349" w:type="dxa"/>
            <w:hideMark/>
          </w:tcPr>
          <w:p w14:paraId="6F97097C"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vertAlign w:val="superscript"/>
              </w:rPr>
              <w:t>1</w:t>
            </w:r>
            <w:r w:rsidRPr="008762D1">
              <w:rPr>
                <w:rFonts w:ascii="ITC Avant Garde" w:hAnsi="ITC Avant Garde"/>
                <w:snapToGrid w:val="0"/>
                <w:color w:val="000000" w:themeColor="text1"/>
                <w:sz w:val="20"/>
                <w:szCs w:val="20"/>
              </w:rPr>
              <w:t>Cuenta de facturación</w:t>
            </w:r>
          </w:p>
        </w:tc>
      </w:tr>
      <w:tr w:rsidR="008762D1" w:rsidRPr="008762D1" w14:paraId="69D7371A" w14:textId="77777777" w:rsidTr="00664EC0">
        <w:trPr>
          <w:trHeight w:val="192"/>
          <w:jc w:val="center"/>
        </w:trPr>
        <w:tc>
          <w:tcPr>
            <w:tcW w:w="450" w:type="dxa"/>
            <w:hideMark/>
          </w:tcPr>
          <w:p w14:paraId="7908BC1A"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14</w:t>
            </w:r>
          </w:p>
        </w:tc>
        <w:tc>
          <w:tcPr>
            <w:tcW w:w="2289" w:type="dxa"/>
            <w:hideMark/>
          </w:tcPr>
          <w:p w14:paraId="5F2524FC"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Tasa de IVA</w:t>
            </w:r>
          </w:p>
        </w:tc>
        <w:tc>
          <w:tcPr>
            <w:tcW w:w="992" w:type="dxa"/>
            <w:hideMark/>
          </w:tcPr>
          <w:p w14:paraId="2F08B4FC"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C</w:t>
            </w:r>
          </w:p>
        </w:tc>
        <w:tc>
          <w:tcPr>
            <w:tcW w:w="1418" w:type="dxa"/>
            <w:hideMark/>
          </w:tcPr>
          <w:p w14:paraId="7C13EE6D"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w:t>
            </w:r>
          </w:p>
        </w:tc>
        <w:tc>
          <w:tcPr>
            <w:tcW w:w="1275" w:type="dxa"/>
            <w:hideMark/>
          </w:tcPr>
          <w:p w14:paraId="23AEC55C"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6349" w:type="dxa"/>
            <w:hideMark/>
          </w:tcPr>
          <w:p w14:paraId="02D61458"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Tasa de IVA aplicada 5= 16% (Opcional , su uso es de común acuerdo)</w:t>
            </w:r>
          </w:p>
        </w:tc>
      </w:tr>
      <w:tr w:rsidR="008762D1" w:rsidRPr="008762D1" w14:paraId="7C6D27E4" w14:textId="77777777" w:rsidTr="00664EC0">
        <w:trPr>
          <w:trHeight w:val="192"/>
          <w:jc w:val="center"/>
        </w:trPr>
        <w:tc>
          <w:tcPr>
            <w:tcW w:w="450" w:type="dxa"/>
            <w:hideMark/>
          </w:tcPr>
          <w:p w14:paraId="0069D710"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lastRenderedPageBreak/>
              <w:t>15</w:t>
            </w:r>
          </w:p>
        </w:tc>
        <w:tc>
          <w:tcPr>
            <w:tcW w:w="2289" w:type="dxa"/>
            <w:hideMark/>
          </w:tcPr>
          <w:p w14:paraId="776C3988" w14:textId="77777777" w:rsidR="00526FE9" w:rsidRPr="008762D1" w:rsidRDefault="00526FE9" w:rsidP="008D7577">
            <w:pPr>
              <w:rPr>
                <w:rFonts w:ascii="ITC Avant Garde" w:hAnsi="ITC Avant Garde"/>
                <w:snapToGrid w:val="0"/>
                <w:color w:val="000000" w:themeColor="text1"/>
                <w:sz w:val="20"/>
                <w:szCs w:val="20"/>
              </w:rPr>
            </w:pPr>
            <w:proofErr w:type="spellStart"/>
            <w:r w:rsidRPr="008762D1">
              <w:rPr>
                <w:rFonts w:ascii="ITC Avant Garde" w:hAnsi="ITC Avant Garde"/>
                <w:snapToGrid w:val="0"/>
                <w:color w:val="000000" w:themeColor="text1"/>
                <w:sz w:val="20"/>
                <w:szCs w:val="20"/>
              </w:rPr>
              <w:t>Filler</w:t>
            </w:r>
            <w:proofErr w:type="spellEnd"/>
          </w:p>
        </w:tc>
        <w:tc>
          <w:tcPr>
            <w:tcW w:w="992" w:type="dxa"/>
            <w:hideMark/>
          </w:tcPr>
          <w:p w14:paraId="0DE80382" w14:textId="2D65281D"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C</w:t>
            </w:r>
          </w:p>
        </w:tc>
        <w:tc>
          <w:tcPr>
            <w:tcW w:w="1418" w:type="dxa"/>
            <w:hideMark/>
          </w:tcPr>
          <w:p w14:paraId="18DB3FB6"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C</w:t>
            </w:r>
          </w:p>
        </w:tc>
        <w:tc>
          <w:tcPr>
            <w:tcW w:w="1275" w:type="dxa"/>
            <w:hideMark/>
          </w:tcPr>
          <w:p w14:paraId="2E27E669"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15</w:t>
            </w:r>
          </w:p>
        </w:tc>
        <w:tc>
          <w:tcPr>
            <w:tcW w:w="6349" w:type="dxa"/>
            <w:hideMark/>
          </w:tcPr>
          <w:p w14:paraId="4BBF13F3"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Caracteres en blanco para completar la longitud del registro a 100 posiciones</w:t>
            </w:r>
          </w:p>
        </w:tc>
      </w:tr>
      <w:tr w:rsidR="008762D1" w:rsidRPr="008762D1" w14:paraId="3D7B5E54" w14:textId="77777777" w:rsidTr="00664EC0">
        <w:trPr>
          <w:trHeight w:val="192"/>
          <w:jc w:val="center"/>
        </w:trPr>
        <w:tc>
          <w:tcPr>
            <w:tcW w:w="450" w:type="dxa"/>
          </w:tcPr>
          <w:p w14:paraId="02A05523" w14:textId="77777777" w:rsidR="00526FE9" w:rsidRPr="008762D1" w:rsidRDefault="00526FE9" w:rsidP="008D7577">
            <w:pPr>
              <w:jc w:val="center"/>
              <w:rPr>
                <w:rFonts w:ascii="ITC Avant Garde" w:hAnsi="ITC Avant Garde"/>
                <w:snapToGrid w:val="0"/>
                <w:color w:val="000000" w:themeColor="text1"/>
                <w:sz w:val="20"/>
                <w:szCs w:val="20"/>
              </w:rPr>
            </w:pPr>
          </w:p>
        </w:tc>
        <w:tc>
          <w:tcPr>
            <w:tcW w:w="2289" w:type="dxa"/>
            <w:hideMark/>
          </w:tcPr>
          <w:p w14:paraId="5BEEC434"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
        </w:tc>
        <w:tc>
          <w:tcPr>
            <w:tcW w:w="992" w:type="dxa"/>
          </w:tcPr>
          <w:p w14:paraId="71E9EA56" w14:textId="77777777" w:rsidR="00526FE9" w:rsidRPr="008762D1" w:rsidRDefault="00526FE9" w:rsidP="008D7577">
            <w:pPr>
              <w:jc w:val="right"/>
              <w:rPr>
                <w:rFonts w:ascii="ITC Avant Garde" w:hAnsi="ITC Avant Garde"/>
                <w:snapToGrid w:val="0"/>
                <w:color w:val="000000" w:themeColor="text1"/>
                <w:sz w:val="20"/>
                <w:szCs w:val="20"/>
              </w:rPr>
            </w:pPr>
          </w:p>
        </w:tc>
        <w:tc>
          <w:tcPr>
            <w:tcW w:w="1418" w:type="dxa"/>
          </w:tcPr>
          <w:p w14:paraId="35CFE838" w14:textId="77777777" w:rsidR="00526FE9" w:rsidRPr="008762D1" w:rsidRDefault="00526FE9" w:rsidP="008D7577">
            <w:pPr>
              <w:jc w:val="right"/>
              <w:rPr>
                <w:rFonts w:ascii="ITC Avant Garde" w:hAnsi="ITC Avant Garde"/>
                <w:snapToGrid w:val="0"/>
                <w:color w:val="000000" w:themeColor="text1"/>
                <w:sz w:val="20"/>
                <w:szCs w:val="20"/>
              </w:rPr>
            </w:pPr>
          </w:p>
        </w:tc>
        <w:tc>
          <w:tcPr>
            <w:tcW w:w="1275" w:type="dxa"/>
            <w:hideMark/>
          </w:tcPr>
          <w:p w14:paraId="040C734E" w14:textId="77777777"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100</w:t>
            </w:r>
          </w:p>
        </w:tc>
        <w:tc>
          <w:tcPr>
            <w:tcW w:w="6349" w:type="dxa"/>
          </w:tcPr>
          <w:p w14:paraId="6CB02B55" w14:textId="77777777" w:rsidR="00526FE9" w:rsidRPr="008762D1" w:rsidRDefault="00526FE9" w:rsidP="008D7577">
            <w:pPr>
              <w:jc w:val="right"/>
              <w:rPr>
                <w:rFonts w:ascii="ITC Avant Garde" w:hAnsi="ITC Avant Garde"/>
                <w:snapToGrid w:val="0"/>
                <w:color w:val="000000" w:themeColor="text1"/>
                <w:sz w:val="20"/>
                <w:szCs w:val="20"/>
              </w:rPr>
            </w:pPr>
          </w:p>
        </w:tc>
      </w:tr>
      <w:tr w:rsidR="008762D1" w:rsidRPr="008762D1" w14:paraId="6291007D" w14:textId="77777777" w:rsidTr="00664EC0">
        <w:trPr>
          <w:trHeight w:val="192"/>
          <w:jc w:val="center"/>
        </w:trPr>
        <w:tc>
          <w:tcPr>
            <w:tcW w:w="450" w:type="dxa"/>
          </w:tcPr>
          <w:p w14:paraId="40DE9F7F" w14:textId="77777777" w:rsidR="00526FE9" w:rsidRPr="008762D1" w:rsidRDefault="00526FE9" w:rsidP="008D7577">
            <w:pPr>
              <w:jc w:val="center"/>
              <w:rPr>
                <w:rFonts w:ascii="ITC Avant Garde" w:hAnsi="ITC Avant Garde"/>
                <w:snapToGrid w:val="0"/>
                <w:color w:val="000000" w:themeColor="text1"/>
                <w:sz w:val="20"/>
                <w:szCs w:val="20"/>
              </w:rPr>
            </w:pPr>
          </w:p>
        </w:tc>
        <w:tc>
          <w:tcPr>
            <w:tcW w:w="2289" w:type="dxa"/>
          </w:tcPr>
          <w:p w14:paraId="3799A2F4" w14:textId="77777777" w:rsidR="00526FE9" w:rsidRPr="008762D1" w:rsidRDefault="00526FE9" w:rsidP="008D7577">
            <w:pPr>
              <w:rPr>
                <w:rFonts w:ascii="ITC Avant Garde" w:hAnsi="ITC Avant Garde"/>
                <w:b/>
                <w:snapToGrid w:val="0"/>
                <w:color w:val="000000" w:themeColor="text1"/>
                <w:sz w:val="20"/>
                <w:szCs w:val="20"/>
              </w:rPr>
            </w:pPr>
          </w:p>
          <w:p w14:paraId="1C0D3FFD" w14:textId="77777777" w:rsidR="00526FE9" w:rsidRPr="008762D1" w:rsidRDefault="00526FE9" w:rsidP="008D7577">
            <w:pP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REGISTRO TRAILER</w:t>
            </w:r>
          </w:p>
        </w:tc>
        <w:tc>
          <w:tcPr>
            <w:tcW w:w="992" w:type="dxa"/>
          </w:tcPr>
          <w:p w14:paraId="435C7C1D" w14:textId="77777777" w:rsidR="00526FE9" w:rsidRPr="008762D1" w:rsidRDefault="00526FE9" w:rsidP="008D7577">
            <w:pPr>
              <w:jc w:val="right"/>
              <w:rPr>
                <w:rFonts w:ascii="ITC Avant Garde" w:hAnsi="ITC Avant Garde"/>
                <w:snapToGrid w:val="0"/>
                <w:color w:val="000000" w:themeColor="text1"/>
                <w:sz w:val="20"/>
                <w:szCs w:val="20"/>
              </w:rPr>
            </w:pPr>
          </w:p>
        </w:tc>
        <w:tc>
          <w:tcPr>
            <w:tcW w:w="1418" w:type="dxa"/>
          </w:tcPr>
          <w:p w14:paraId="4E124F02" w14:textId="77777777" w:rsidR="00526FE9" w:rsidRPr="008762D1" w:rsidRDefault="00526FE9" w:rsidP="008D7577">
            <w:pPr>
              <w:jc w:val="right"/>
              <w:rPr>
                <w:rFonts w:ascii="ITC Avant Garde" w:hAnsi="ITC Avant Garde"/>
                <w:snapToGrid w:val="0"/>
                <w:color w:val="000000" w:themeColor="text1"/>
                <w:sz w:val="20"/>
                <w:szCs w:val="20"/>
              </w:rPr>
            </w:pPr>
          </w:p>
        </w:tc>
        <w:tc>
          <w:tcPr>
            <w:tcW w:w="1275" w:type="dxa"/>
          </w:tcPr>
          <w:p w14:paraId="2F6DDDD6" w14:textId="77777777" w:rsidR="00526FE9" w:rsidRPr="008762D1" w:rsidRDefault="00526FE9" w:rsidP="008D7577">
            <w:pPr>
              <w:jc w:val="center"/>
              <w:rPr>
                <w:rFonts w:ascii="ITC Avant Garde" w:hAnsi="ITC Avant Garde"/>
                <w:snapToGrid w:val="0"/>
                <w:color w:val="000000" w:themeColor="text1"/>
                <w:sz w:val="20"/>
                <w:szCs w:val="20"/>
              </w:rPr>
            </w:pPr>
          </w:p>
        </w:tc>
        <w:tc>
          <w:tcPr>
            <w:tcW w:w="6349" w:type="dxa"/>
          </w:tcPr>
          <w:p w14:paraId="24E439FA" w14:textId="77777777" w:rsidR="00526FE9" w:rsidRPr="008762D1" w:rsidRDefault="00526FE9" w:rsidP="008D7577">
            <w:pPr>
              <w:jc w:val="right"/>
              <w:rPr>
                <w:rFonts w:ascii="ITC Avant Garde" w:hAnsi="ITC Avant Garde"/>
                <w:snapToGrid w:val="0"/>
                <w:color w:val="000000" w:themeColor="text1"/>
                <w:sz w:val="20"/>
                <w:szCs w:val="20"/>
              </w:rPr>
            </w:pPr>
          </w:p>
        </w:tc>
      </w:tr>
      <w:tr w:rsidR="008762D1" w:rsidRPr="008762D1" w14:paraId="5ADB2F93" w14:textId="77777777" w:rsidTr="00664EC0">
        <w:trPr>
          <w:trHeight w:val="192"/>
          <w:jc w:val="center"/>
        </w:trPr>
        <w:tc>
          <w:tcPr>
            <w:tcW w:w="450" w:type="dxa"/>
            <w:hideMark/>
          </w:tcPr>
          <w:p w14:paraId="6FCC9EFD"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2289" w:type="dxa"/>
            <w:hideMark/>
          </w:tcPr>
          <w:p w14:paraId="17FC391D"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Identificador de reg.</w:t>
            </w:r>
          </w:p>
        </w:tc>
        <w:tc>
          <w:tcPr>
            <w:tcW w:w="992" w:type="dxa"/>
            <w:hideMark/>
          </w:tcPr>
          <w:p w14:paraId="4227C1E9" w14:textId="1CC0ABEA"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0A46E037"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w:t>
            </w:r>
          </w:p>
        </w:tc>
        <w:tc>
          <w:tcPr>
            <w:tcW w:w="1275" w:type="dxa"/>
            <w:hideMark/>
          </w:tcPr>
          <w:p w14:paraId="5C1445EA"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w:t>
            </w:r>
          </w:p>
        </w:tc>
        <w:tc>
          <w:tcPr>
            <w:tcW w:w="6349" w:type="dxa"/>
            <w:hideMark/>
          </w:tcPr>
          <w:p w14:paraId="10CB1B18"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Identificador de inicio de </w:t>
            </w:r>
            <w:proofErr w:type="spellStart"/>
            <w:r w:rsidRPr="008762D1">
              <w:rPr>
                <w:rFonts w:ascii="ITC Avant Garde" w:hAnsi="ITC Avant Garde"/>
                <w:snapToGrid w:val="0"/>
                <w:color w:val="000000" w:themeColor="text1"/>
                <w:sz w:val="20"/>
                <w:szCs w:val="20"/>
              </w:rPr>
              <w:t>trailer</w:t>
            </w:r>
            <w:proofErr w:type="spellEnd"/>
            <w:r w:rsidRPr="008762D1">
              <w:rPr>
                <w:rFonts w:ascii="ITC Avant Garde" w:hAnsi="ITC Avant Garde"/>
                <w:snapToGrid w:val="0"/>
                <w:color w:val="000000" w:themeColor="text1"/>
                <w:sz w:val="20"/>
                <w:szCs w:val="20"/>
              </w:rPr>
              <w:t>. El valor debe ser 9.</w:t>
            </w:r>
          </w:p>
        </w:tc>
      </w:tr>
      <w:tr w:rsidR="008762D1" w:rsidRPr="008762D1" w14:paraId="46F591AB" w14:textId="77777777" w:rsidTr="00664EC0">
        <w:trPr>
          <w:trHeight w:val="192"/>
          <w:jc w:val="center"/>
        </w:trPr>
        <w:tc>
          <w:tcPr>
            <w:tcW w:w="450" w:type="dxa"/>
            <w:hideMark/>
          </w:tcPr>
          <w:p w14:paraId="25BCFBA9"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2</w:t>
            </w:r>
          </w:p>
        </w:tc>
        <w:tc>
          <w:tcPr>
            <w:tcW w:w="2289" w:type="dxa"/>
            <w:hideMark/>
          </w:tcPr>
          <w:p w14:paraId="5E0F5364"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Operador origen</w:t>
            </w:r>
          </w:p>
        </w:tc>
        <w:tc>
          <w:tcPr>
            <w:tcW w:w="992" w:type="dxa"/>
            <w:hideMark/>
          </w:tcPr>
          <w:p w14:paraId="0CFF0ABC" w14:textId="268FFF82"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2F4B74E3"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w:t>
            </w:r>
          </w:p>
        </w:tc>
        <w:tc>
          <w:tcPr>
            <w:tcW w:w="1275" w:type="dxa"/>
            <w:hideMark/>
          </w:tcPr>
          <w:p w14:paraId="7CCFF0D8"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3</w:t>
            </w:r>
          </w:p>
        </w:tc>
        <w:tc>
          <w:tcPr>
            <w:tcW w:w="6349" w:type="dxa"/>
            <w:hideMark/>
          </w:tcPr>
          <w:p w14:paraId="50577A24"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Clave del operador que factura. CIC</w:t>
            </w:r>
          </w:p>
        </w:tc>
      </w:tr>
      <w:tr w:rsidR="008762D1" w:rsidRPr="008762D1" w14:paraId="7AEA56E9" w14:textId="77777777" w:rsidTr="00664EC0">
        <w:trPr>
          <w:trHeight w:val="192"/>
          <w:jc w:val="center"/>
        </w:trPr>
        <w:tc>
          <w:tcPr>
            <w:tcW w:w="450" w:type="dxa"/>
            <w:hideMark/>
          </w:tcPr>
          <w:p w14:paraId="55E217C0"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3</w:t>
            </w:r>
          </w:p>
        </w:tc>
        <w:tc>
          <w:tcPr>
            <w:tcW w:w="2289" w:type="dxa"/>
            <w:hideMark/>
          </w:tcPr>
          <w:p w14:paraId="5DB5F74A"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Operador destino</w:t>
            </w:r>
          </w:p>
        </w:tc>
        <w:tc>
          <w:tcPr>
            <w:tcW w:w="992" w:type="dxa"/>
            <w:hideMark/>
          </w:tcPr>
          <w:p w14:paraId="28DCCA38" w14:textId="7D49ED59"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3946953E"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999</w:t>
            </w:r>
          </w:p>
        </w:tc>
        <w:tc>
          <w:tcPr>
            <w:tcW w:w="1275" w:type="dxa"/>
            <w:hideMark/>
          </w:tcPr>
          <w:p w14:paraId="63D84FA0"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3</w:t>
            </w:r>
          </w:p>
        </w:tc>
        <w:tc>
          <w:tcPr>
            <w:tcW w:w="6349" w:type="dxa"/>
            <w:hideMark/>
          </w:tcPr>
          <w:p w14:paraId="7C73A0BC"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Clave del operador a quien se le factura. CIC</w:t>
            </w:r>
          </w:p>
        </w:tc>
      </w:tr>
      <w:tr w:rsidR="008762D1" w:rsidRPr="008762D1" w14:paraId="6B1D0552" w14:textId="77777777" w:rsidTr="00664EC0">
        <w:trPr>
          <w:trHeight w:val="192"/>
          <w:jc w:val="center"/>
        </w:trPr>
        <w:tc>
          <w:tcPr>
            <w:tcW w:w="450" w:type="dxa"/>
            <w:hideMark/>
          </w:tcPr>
          <w:p w14:paraId="0B152A59"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4</w:t>
            </w:r>
          </w:p>
        </w:tc>
        <w:tc>
          <w:tcPr>
            <w:tcW w:w="2289" w:type="dxa"/>
            <w:hideMark/>
          </w:tcPr>
          <w:p w14:paraId="46065BFE"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Fecha de corte</w:t>
            </w:r>
          </w:p>
        </w:tc>
        <w:tc>
          <w:tcPr>
            <w:tcW w:w="992" w:type="dxa"/>
            <w:hideMark/>
          </w:tcPr>
          <w:p w14:paraId="7D03F9EF" w14:textId="18236858"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1C983DC9"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roofErr w:type="spellStart"/>
            <w:r w:rsidRPr="008762D1">
              <w:rPr>
                <w:rFonts w:ascii="ITC Avant Garde" w:hAnsi="ITC Avant Garde"/>
                <w:snapToGrid w:val="0"/>
                <w:color w:val="000000" w:themeColor="text1"/>
                <w:sz w:val="20"/>
                <w:szCs w:val="20"/>
              </w:rPr>
              <w:t>Aaaammdd</w:t>
            </w:r>
            <w:proofErr w:type="spellEnd"/>
          </w:p>
        </w:tc>
        <w:tc>
          <w:tcPr>
            <w:tcW w:w="1275" w:type="dxa"/>
            <w:hideMark/>
          </w:tcPr>
          <w:p w14:paraId="17871A8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8</w:t>
            </w:r>
          </w:p>
        </w:tc>
        <w:tc>
          <w:tcPr>
            <w:tcW w:w="6349" w:type="dxa"/>
            <w:hideMark/>
          </w:tcPr>
          <w:p w14:paraId="35111345"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Fecha de corte de facturación</w:t>
            </w:r>
          </w:p>
        </w:tc>
      </w:tr>
      <w:tr w:rsidR="008762D1" w:rsidRPr="008762D1" w14:paraId="19E95CCE" w14:textId="77777777" w:rsidTr="00664EC0">
        <w:trPr>
          <w:trHeight w:val="192"/>
          <w:jc w:val="center"/>
        </w:trPr>
        <w:tc>
          <w:tcPr>
            <w:tcW w:w="450" w:type="dxa"/>
            <w:hideMark/>
          </w:tcPr>
          <w:p w14:paraId="53621106"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5</w:t>
            </w:r>
          </w:p>
        </w:tc>
        <w:tc>
          <w:tcPr>
            <w:tcW w:w="2289" w:type="dxa"/>
            <w:hideMark/>
          </w:tcPr>
          <w:p w14:paraId="7434054B"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Total  llamadas</w:t>
            </w:r>
          </w:p>
        </w:tc>
        <w:tc>
          <w:tcPr>
            <w:tcW w:w="992" w:type="dxa"/>
            <w:hideMark/>
          </w:tcPr>
          <w:p w14:paraId="0ABC0097" w14:textId="2166B8EF"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696F5B86"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(15)9</w:t>
            </w:r>
          </w:p>
        </w:tc>
        <w:tc>
          <w:tcPr>
            <w:tcW w:w="1275" w:type="dxa"/>
            <w:hideMark/>
          </w:tcPr>
          <w:p w14:paraId="70170622"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15</w:t>
            </w:r>
          </w:p>
        </w:tc>
        <w:tc>
          <w:tcPr>
            <w:tcW w:w="6349" w:type="dxa"/>
            <w:hideMark/>
          </w:tcPr>
          <w:p w14:paraId="3E533A1E"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Número total de llamadas (Incluye todos los tipos)</w:t>
            </w:r>
          </w:p>
        </w:tc>
      </w:tr>
      <w:tr w:rsidR="008762D1" w:rsidRPr="008762D1" w14:paraId="1C229E37" w14:textId="77777777" w:rsidTr="00664EC0">
        <w:trPr>
          <w:trHeight w:val="192"/>
          <w:jc w:val="center"/>
        </w:trPr>
        <w:tc>
          <w:tcPr>
            <w:tcW w:w="450" w:type="dxa"/>
            <w:hideMark/>
          </w:tcPr>
          <w:p w14:paraId="2899FE63"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6</w:t>
            </w:r>
          </w:p>
        </w:tc>
        <w:tc>
          <w:tcPr>
            <w:tcW w:w="2289" w:type="dxa"/>
            <w:hideMark/>
          </w:tcPr>
          <w:p w14:paraId="36C0F49B"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Total minutos</w:t>
            </w:r>
          </w:p>
        </w:tc>
        <w:tc>
          <w:tcPr>
            <w:tcW w:w="992" w:type="dxa"/>
            <w:hideMark/>
          </w:tcPr>
          <w:p w14:paraId="2374B394" w14:textId="48BE8AA3"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4F1A035D"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(12)9.99</w:t>
            </w:r>
          </w:p>
        </w:tc>
        <w:tc>
          <w:tcPr>
            <w:tcW w:w="1275" w:type="dxa"/>
            <w:hideMark/>
          </w:tcPr>
          <w:p w14:paraId="33FFF561"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15</w:t>
            </w:r>
          </w:p>
        </w:tc>
        <w:tc>
          <w:tcPr>
            <w:tcW w:w="6349" w:type="dxa"/>
            <w:hideMark/>
          </w:tcPr>
          <w:p w14:paraId="7D7567F8"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Número total de minutos (Incluye todos los tipos)</w:t>
            </w:r>
          </w:p>
        </w:tc>
      </w:tr>
      <w:tr w:rsidR="008762D1" w:rsidRPr="008762D1" w14:paraId="0E8D718A" w14:textId="77777777" w:rsidTr="00664EC0">
        <w:trPr>
          <w:trHeight w:val="192"/>
          <w:jc w:val="center"/>
        </w:trPr>
        <w:tc>
          <w:tcPr>
            <w:tcW w:w="450" w:type="dxa"/>
            <w:hideMark/>
          </w:tcPr>
          <w:p w14:paraId="771C670A"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7</w:t>
            </w:r>
          </w:p>
        </w:tc>
        <w:tc>
          <w:tcPr>
            <w:tcW w:w="2289" w:type="dxa"/>
            <w:hideMark/>
          </w:tcPr>
          <w:p w14:paraId="17A9DA47"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Total registros</w:t>
            </w:r>
          </w:p>
        </w:tc>
        <w:tc>
          <w:tcPr>
            <w:tcW w:w="992" w:type="dxa"/>
            <w:hideMark/>
          </w:tcPr>
          <w:p w14:paraId="6A27A225" w14:textId="50D96E86"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N</w:t>
            </w:r>
          </w:p>
        </w:tc>
        <w:tc>
          <w:tcPr>
            <w:tcW w:w="1418" w:type="dxa"/>
            <w:hideMark/>
          </w:tcPr>
          <w:p w14:paraId="0D8442CE"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(15)9</w:t>
            </w:r>
          </w:p>
        </w:tc>
        <w:tc>
          <w:tcPr>
            <w:tcW w:w="1275" w:type="dxa"/>
            <w:hideMark/>
          </w:tcPr>
          <w:p w14:paraId="260398C0"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15</w:t>
            </w:r>
          </w:p>
        </w:tc>
        <w:tc>
          <w:tcPr>
            <w:tcW w:w="6349" w:type="dxa"/>
            <w:hideMark/>
          </w:tcPr>
          <w:p w14:paraId="7307D543"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Número total de registros que contiene el archivo (No incluye FH y FT)</w:t>
            </w:r>
          </w:p>
        </w:tc>
      </w:tr>
      <w:tr w:rsidR="008762D1" w:rsidRPr="008762D1" w14:paraId="2834AED0" w14:textId="77777777" w:rsidTr="00664EC0">
        <w:trPr>
          <w:trHeight w:val="192"/>
          <w:jc w:val="center"/>
        </w:trPr>
        <w:tc>
          <w:tcPr>
            <w:tcW w:w="450" w:type="dxa"/>
            <w:hideMark/>
          </w:tcPr>
          <w:p w14:paraId="63497AE5"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8</w:t>
            </w:r>
          </w:p>
        </w:tc>
        <w:tc>
          <w:tcPr>
            <w:tcW w:w="2289" w:type="dxa"/>
            <w:hideMark/>
          </w:tcPr>
          <w:p w14:paraId="14FC9323" w14:textId="77777777" w:rsidR="00526FE9" w:rsidRPr="008762D1" w:rsidRDefault="00526FE9" w:rsidP="008D7577">
            <w:pPr>
              <w:rPr>
                <w:rFonts w:ascii="ITC Avant Garde" w:hAnsi="ITC Avant Garde"/>
                <w:snapToGrid w:val="0"/>
                <w:color w:val="000000" w:themeColor="text1"/>
                <w:sz w:val="20"/>
                <w:szCs w:val="20"/>
              </w:rPr>
            </w:pPr>
            <w:proofErr w:type="spellStart"/>
            <w:r w:rsidRPr="008762D1">
              <w:rPr>
                <w:rFonts w:ascii="ITC Avant Garde" w:hAnsi="ITC Avant Garde"/>
                <w:snapToGrid w:val="0"/>
                <w:color w:val="000000" w:themeColor="text1"/>
                <w:sz w:val="20"/>
                <w:szCs w:val="20"/>
              </w:rPr>
              <w:t>Filler</w:t>
            </w:r>
            <w:proofErr w:type="spellEnd"/>
          </w:p>
        </w:tc>
        <w:tc>
          <w:tcPr>
            <w:tcW w:w="992" w:type="dxa"/>
            <w:hideMark/>
          </w:tcPr>
          <w:p w14:paraId="38A5676D" w14:textId="4071E651"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C</w:t>
            </w:r>
          </w:p>
        </w:tc>
        <w:tc>
          <w:tcPr>
            <w:tcW w:w="1418" w:type="dxa"/>
            <w:hideMark/>
          </w:tcPr>
          <w:p w14:paraId="3C7DA5E7" w14:textId="77777777" w:rsidR="00526FE9" w:rsidRPr="008762D1" w:rsidRDefault="00526FE9" w:rsidP="008D7577">
            <w:pPr>
              <w:jc w:val="right"/>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
        </w:tc>
        <w:tc>
          <w:tcPr>
            <w:tcW w:w="1275" w:type="dxa"/>
            <w:hideMark/>
          </w:tcPr>
          <w:p w14:paraId="3B525893" w14:textId="77777777" w:rsidR="00526FE9" w:rsidRPr="008762D1" w:rsidRDefault="00526FE9" w:rsidP="008D7577">
            <w:pPr>
              <w:jc w:val="cente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40</w:t>
            </w:r>
          </w:p>
        </w:tc>
        <w:tc>
          <w:tcPr>
            <w:tcW w:w="6349" w:type="dxa"/>
            <w:hideMark/>
          </w:tcPr>
          <w:p w14:paraId="611CC815"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Caracteres en blanco para completar la longitud del registro a 100 posiciones</w:t>
            </w:r>
          </w:p>
        </w:tc>
      </w:tr>
      <w:tr w:rsidR="00526FE9" w:rsidRPr="008762D1" w14:paraId="15F024B7" w14:textId="77777777" w:rsidTr="00664EC0">
        <w:trPr>
          <w:trHeight w:val="192"/>
          <w:jc w:val="center"/>
        </w:trPr>
        <w:tc>
          <w:tcPr>
            <w:tcW w:w="450" w:type="dxa"/>
          </w:tcPr>
          <w:p w14:paraId="08232B98" w14:textId="77777777" w:rsidR="00526FE9" w:rsidRPr="008762D1" w:rsidRDefault="00526FE9" w:rsidP="008D7577">
            <w:pPr>
              <w:jc w:val="center"/>
              <w:rPr>
                <w:rFonts w:ascii="ITC Avant Garde" w:hAnsi="ITC Avant Garde"/>
                <w:snapToGrid w:val="0"/>
                <w:color w:val="000000" w:themeColor="text1"/>
                <w:sz w:val="20"/>
                <w:szCs w:val="20"/>
              </w:rPr>
            </w:pPr>
          </w:p>
        </w:tc>
        <w:tc>
          <w:tcPr>
            <w:tcW w:w="2289" w:type="dxa"/>
            <w:hideMark/>
          </w:tcPr>
          <w:p w14:paraId="484C2B61" w14:textId="77777777" w:rsidR="00526FE9" w:rsidRPr="008762D1" w:rsidRDefault="00526FE9" w:rsidP="008D7577">
            <w:pPr>
              <w:rPr>
                <w:rFonts w:ascii="ITC Avant Garde" w:hAnsi="ITC Avant Garde"/>
                <w:snapToGrid w:val="0"/>
                <w:color w:val="000000" w:themeColor="text1"/>
                <w:sz w:val="20"/>
                <w:szCs w:val="20"/>
              </w:rPr>
            </w:pPr>
            <w:r w:rsidRPr="008762D1">
              <w:rPr>
                <w:rFonts w:ascii="ITC Avant Garde" w:hAnsi="ITC Avant Garde"/>
                <w:snapToGrid w:val="0"/>
                <w:color w:val="000000" w:themeColor="text1"/>
                <w:sz w:val="20"/>
                <w:szCs w:val="20"/>
              </w:rPr>
              <w:t xml:space="preserve"> </w:t>
            </w:r>
          </w:p>
        </w:tc>
        <w:tc>
          <w:tcPr>
            <w:tcW w:w="992" w:type="dxa"/>
          </w:tcPr>
          <w:p w14:paraId="2D28F4D1" w14:textId="77777777" w:rsidR="00526FE9" w:rsidRPr="008762D1" w:rsidRDefault="00526FE9" w:rsidP="008D7577">
            <w:pPr>
              <w:jc w:val="right"/>
              <w:rPr>
                <w:rFonts w:ascii="ITC Avant Garde" w:hAnsi="ITC Avant Garde"/>
                <w:snapToGrid w:val="0"/>
                <w:color w:val="000000" w:themeColor="text1"/>
                <w:sz w:val="20"/>
                <w:szCs w:val="20"/>
              </w:rPr>
            </w:pPr>
          </w:p>
        </w:tc>
        <w:tc>
          <w:tcPr>
            <w:tcW w:w="1418" w:type="dxa"/>
          </w:tcPr>
          <w:p w14:paraId="1744C1D5" w14:textId="77777777" w:rsidR="00526FE9" w:rsidRPr="008762D1" w:rsidRDefault="00526FE9" w:rsidP="008D7577">
            <w:pPr>
              <w:jc w:val="right"/>
              <w:rPr>
                <w:rFonts w:ascii="ITC Avant Garde" w:hAnsi="ITC Avant Garde"/>
                <w:snapToGrid w:val="0"/>
                <w:color w:val="000000" w:themeColor="text1"/>
                <w:sz w:val="20"/>
                <w:szCs w:val="20"/>
              </w:rPr>
            </w:pPr>
          </w:p>
        </w:tc>
        <w:tc>
          <w:tcPr>
            <w:tcW w:w="1275" w:type="dxa"/>
            <w:hideMark/>
          </w:tcPr>
          <w:p w14:paraId="43CCBBEE" w14:textId="77777777" w:rsidR="00526FE9" w:rsidRPr="008762D1" w:rsidRDefault="00526FE9" w:rsidP="008D7577">
            <w:pPr>
              <w:jc w:val="center"/>
              <w:rPr>
                <w:rFonts w:ascii="ITC Avant Garde" w:hAnsi="ITC Avant Garde"/>
                <w:b/>
                <w:snapToGrid w:val="0"/>
                <w:color w:val="000000" w:themeColor="text1"/>
                <w:sz w:val="20"/>
                <w:szCs w:val="20"/>
              </w:rPr>
            </w:pPr>
            <w:r w:rsidRPr="008762D1">
              <w:rPr>
                <w:rFonts w:ascii="ITC Avant Garde" w:hAnsi="ITC Avant Garde"/>
                <w:b/>
                <w:snapToGrid w:val="0"/>
                <w:color w:val="000000" w:themeColor="text1"/>
                <w:sz w:val="20"/>
                <w:szCs w:val="20"/>
              </w:rPr>
              <w:t>100</w:t>
            </w:r>
          </w:p>
        </w:tc>
        <w:tc>
          <w:tcPr>
            <w:tcW w:w="6349" w:type="dxa"/>
          </w:tcPr>
          <w:p w14:paraId="2052721A" w14:textId="77777777" w:rsidR="00526FE9" w:rsidRPr="008762D1" w:rsidRDefault="00526FE9" w:rsidP="008D7577">
            <w:pPr>
              <w:jc w:val="right"/>
              <w:rPr>
                <w:rFonts w:ascii="ITC Avant Garde" w:hAnsi="ITC Avant Garde"/>
                <w:snapToGrid w:val="0"/>
                <w:color w:val="000000" w:themeColor="text1"/>
                <w:sz w:val="20"/>
                <w:szCs w:val="20"/>
              </w:rPr>
            </w:pPr>
          </w:p>
        </w:tc>
      </w:tr>
    </w:tbl>
    <w:p w14:paraId="38BD4F15" w14:textId="77777777" w:rsidR="00526FE9" w:rsidRPr="008762D1" w:rsidRDefault="00526FE9" w:rsidP="000F0B9F">
      <w:pPr>
        <w:pStyle w:val="Textoindependiente"/>
        <w:tabs>
          <w:tab w:val="left" w:pos="360"/>
        </w:tabs>
        <w:spacing w:before="240"/>
        <w:rPr>
          <w:rFonts w:ascii="ITC Avant Garde" w:hAnsi="ITC Avant Garde"/>
          <w:b/>
          <w:color w:val="000000" w:themeColor="text1"/>
          <w:sz w:val="18"/>
          <w:szCs w:val="24"/>
          <w:lang w:val="es-ES" w:eastAsia="es-ES"/>
        </w:rPr>
      </w:pPr>
    </w:p>
    <w:p w14:paraId="518FA0DC" w14:textId="77777777" w:rsidR="00526FE9" w:rsidRPr="008762D1" w:rsidRDefault="00526FE9" w:rsidP="000F0B9F">
      <w:pPr>
        <w:pStyle w:val="Textoindependiente"/>
        <w:tabs>
          <w:tab w:val="left" w:pos="360"/>
        </w:tabs>
        <w:spacing w:before="240"/>
        <w:rPr>
          <w:rFonts w:ascii="ITC Avant Garde" w:hAnsi="ITC Avant Garde"/>
          <w:b/>
          <w:color w:val="000000" w:themeColor="text1"/>
          <w:sz w:val="24"/>
        </w:rPr>
      </w:pPr>
      <w:r w:rsidRPr="008762D1">
        <w:rPr>
          <w:rFonts w:ascii="ITC Avant Garde" w:hAnsi="ITC Avant Garde"/>
          <w:b/>
          <w:color w:val="000000" w:themeColor="text1"/>
        </w:rPr>
        <w:t>GUIA DEL LAYOUT GENERAL DE FACTURACIÓN</w:t>
      </w:r>
    </w:p>
    <w:tbl>
      <w:tblPr>
        <w:tblStyle w:val="Cuadrculadetablaclara"/>
        <w:tblW w:w="0" w:type="auto"/>
        <w:jc w:val="center"/>
        <w:tblLayout w:type="fixed"/>
        <w:tblLook w:val="04A0" w:firstRow="1" w:lastRow="0" w:firstColumn="1" w:lastColumn="0" w:noHBand="0" w:noVBand="1"/>
        <w:tblCaption w:val="Tabla"/>
        <w:tblDescription w:val="GUIA DEL LAYOUT GENERAL DE FACTURACIÓN"/>
      </w:tblPr>
      <w:tblGrid>
        <w:gridCol w:w="993"/>
        <w:gridCol w:w="992"/>
        <w:gridCol w:w="8376"/>
      </w:tblGrid>
      <w:tr w:rsidR="008762D1" w:rsidRPr="008762D1" w14:paraId="3CCD96F4" w14:textId="77777777" w:rsidTr="00664EC0">
        <w:trPr>
          <w:trHeight w:val="233"/>
          <w:tblHeader/>
          <w:jc w:val="center"/>
        </w:trPr>
        <w:tc>
          <w:tcPr>
            <w:tcW w:w="993" w:type="dxa"/>
            <w:tcBorders>
              <w:bottom w:val="single" w:sz="4" w:space="0" w:color="BFBFBF" w:themeColor="background1" w:themeShade="BF"/>
            </w:tcBorders>
            <w:hideMark/>
          </w:tcPr>
          <w:p w14:paraId="0E1AF5A9" w14:textId="77777777" w:rsidR="00526FE9" w:rsidRPr="008762D1" w:rsidRDefault="00526FE9" w:rsidP="009817E0">
            <w:pPr>
              <w:rPr>
                <w:rFonts w:ascii="ITC Avant Garde" w:hAnsi="ITC Avant Garde"/>
                <w:b/>
                <w:color w:val="000000" w:themeColor="text1"/>
                <w:sz w:val="20"/>
                <w:szCs w:val="20"/>
              </w:rPr>
            </w:pPr>
            <w:r w:rsidRPr="008762D1">
              <w:rPr>
                <w:rFonts w:ascii="ITC Avant Garde" w:hAnsi="ITC Avant Garde"/>
                <w:b/>
                <w:color w:val="000000" w:themeColor="text1"/>
                <w:sz w:val="20"/>
                <w:szCs w:val="20"/>
              </w:rPr>
              <w:t>Registro</w:t>
            </w:r>
          </w:p>
        </w:tc>
        <w:tc>
          <w:tcPr>
            <w:tcW w:w="992" w:type="dxa"/>
            <w:hideMark/>
          </w:tcPr>
          <w:p w14:paraId="3B4F10CA" w14:textId="77777777" w:rsidR="00526FE9" w:rsidRPr="008762D1" w:rsidRDefault="00526FE9" w:rsidP="009817E0">
            <w:pPr>
              <w:rPr>
                <w:rFonts w:ascii="ITC Avant Garde" w:hAnsi="ITC Avant Garde"/>
                <w:b/>
                <w:color w:val="000000" w:themeColor="text1"/>
                <w:sz w:val="20"/>
                <w:szCs w:val="20"/>
              </w:rPr>
            </w:pPr>
            <w:r w:rsidRPr="008762D1">
              <w:rPr>
                <w:rFonts w:ascii="ITC Avant Garde" w:hAnsi="ITC Avant Garde"/>
                <w:b/>
                <w:color w:val="000000" w:themeColor="text1"/>
                <w:sz w:val="20"/>
                <w:szCs w:val="20"/>
              </w:rPr>
              <w:t>Campo</w:t>
            </w:r>
          </w:p>
        </w:tc>
        <w:tc>
          <w:tcPr>
            <w:tcW w:w="8376" w:type="dxa"/>
            <w:hideMark/>
          </w:tcPr>
          <w:p w14:paraId="6343D84B" w14:textId="77777777" w:rsidR="00526FE9" w:rsidRPr="008762D1" w:rsidRDefault="00526FE9" w:rsidP="009817E0">
            <w:pPr>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Descripción</w:t>
            </w:r>
          </w:p>
        </w:tc>
      </w:tr>
      <w:tr w:rsidR="008762D1" w:rsidRPr="008762D1" w14:paraId="7D0E0034" w14:textId="77777777" w:rsidTr="00664EC0">
        <w:trPr>
          <w:trHeight w:val="233"/>
          <w:jc w:val="center"/>
        </w:trPr>
        <w:tc>
          <w:tcPr>
            <w:tcW w:w="993" w:type="dxa"/>
            <w:tcBorders>
              <w:bottom w:val="nil"/>
            </w:tcBorders>
            <w:hideMark/>
          </w:tcPr>
          <w:p w14:paraId="25A3058D" w14:textId="77777777" w:rsidR="00526FE9" w:rsidRPr="008762D1" w:rsidRDefault="00526FE9" w:rsidP="009817E0">
            <w:pPr>
              <w:jc w:val="center"/>
              <w:rPr>
                <w:rFonts w:ascii="ITC Avant Garde" w:hAnsi="ITC Avant Garde"/>
                <w:b/>
                <w:color w:val="000000" w:themeColor="text1"/>
                <w:sz w:val="20"/>
                <w:szCs w:val="20"/>
              </w:rPr>
            </w:pPr>
            <w:proofErr w:type="spellStart"/>
            <w:r w:rsidRPr="008762D1">
              <w:rPr>
                <w:rFonts w:ascii="ITC Avant Garde" w:hAnsi="ITC Avant Garde"/>
                <w:b/>
                <w:color w:val="000000" w:themeColor="text1"/>
                <w:sz w:val="20"/>
                <w:szCs w:val="20"/>
              </w:rPr>
              <w:t>Header</w:t>
            </w:r>
            <w:proofErr w:type="spellEnd"/>
          </w:p>
        </w:tc>
        <w:tc>
          <w:tcPr>
            <w:tcW w:w="992" w:type="dxa"/>
            <w:hideMark/>
          </w:tcPr>
          <w:p w14:paraId="7A18B19C"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w:t>
            </w:r>
          </w:p>
        </w:tc>
        <w:tc>
          <w:tcPr>
            <w:tcW w:w="8376" w:type="dxa"/>
          </w:tcPr>
          <w:p w14:paraId="2062A123"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Identificador de inicio de encabezado. El valor debe ser cero.</w:t>
            </w:r>
          </w:p>
          <w:p w14:paraId="02CC921C" w14:textId="77777777" w:rsidR="00526FE9" w:rsidRPr="008762D1" w:rsidRDefault="00526FE9" w:rsidP="009817E0">
            <w:pPr>
              <w:rPr>
                <w:rFonts w:ascii="ITC Avant Garde" w:hAnsi="ITC Avant Garde"/>
                <w:color w:val="000000" w:themeColor="text1"/>
                <w:sz w:val="20"/>
                <w:szCs w:val="20"/>
              </w:rPr>
            </w:pPr>
          </w:p>
        </w:tc>
      </w:tr>
      <w:tr w:rsidR="008762D1" w:rsidRPr="008762D1" w14:paraId="232BA834" w14:textId="77777777" w:rsidTr="00664EC0">
        <w:trPr>
          <w:trHeight w:val="466"/>
          <w:jc w:val="center"/>
        </w:trPr>
        <w:tc>
          <w:tcPr>
            <w:tcW w:w="993" w:type="dxa"/>
            <w:tcBorders>
              <w:top w:val="nil"/>
              <w:bottom w:val="nil"/>
            </w:tcBorders>
          </w:tcPr>
          <w:p w14:paraId="1D2AC866" w14:textId="77777777" w:rsidR="00526FE9" w:rsidRPr="008762D1" w:rsidRDefault="00526FE9" w:rsidP="009817E0">
            <w:pPr>
              <w:jc w:val="right"/>
              <w:rPr>
                <w:rFonts w:ascii="ITC Avant Garde" w:hAnsi="ITC Avant Garde"/>
                <w:color w:val="000000" w:themeColor="text1"/>
                <w:sz w:val="20"/>
                <w:szCs w:val="20"/>
              </w:rPr>
            </w:pPr>
          </w:p>
        </w:tc>
        <w:tc>
          <w:tcPr>
            <w:tcW w:w="992" w:type="dxa"/>
            <w:hideMark/>
          </w:tcPr>
          <w:p w14:paraId="0D56C50D"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2</w:t>
            </w:r>
          </w:p>
        </w:tc>
        <w:tc>
          <w:tcPr>
            <w:tcW w:w="8376" w:type="dxa"/>
            <w:hideMark/>
          </w:tcPr>
          <w:p w14:paraId="54D24EF3"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Número de </w:t>
            </w:r>
            <w:proofErr w:type="spellStart"/>
            <w:r w:rsidRPr="008762D1">
              <w:rPr>
                <w:rFonts w:ascii="ITC Avant Garde" w:hAnsi="ITC Avant Garde"/>
                <w:color w:val="000000" w:themeColor="text1"/>
                <w:sz w:val="20"/>
                <w:szCs w:val="20"/>
              </w:rPr>
              <w:t>batch</w:t>
            </w:r>
            <w:proofErr w:type="spellEnd"/>
            <w:r w:rsidRPr="008762D1">
              <w:rPr>
                <w:rFonts w:ascii="ITC Avant Garde" w:hAnsi="ITC Avant Garde"/>
                <w:color w:val="000000" w:themeColor="text1"/>
                <w:sz w:val="20"/>
                <w:szCs w:val="20"/>
              </w:rPr>
              <w:t>, consecutivo de cada empresa y por cada tipo de factura para su control interno.</w:t>
            </w:r>
          </w:p>
        </w:tc>
      </w:tr>
      <w:tr w:rsidR="008762D1" w:rsidRPr="008762D1" w14:paraId="7B64CD43" w14:textId="77777777" w:rsidTr="00664EC0">
        <w:trPr>
          <w:trHeight w:val="233"/>
          <w:jc w:val="center"/>
        </w:trPr>
        <w:tc>
          <w:tcPr>
            <w:tcW w:w="993" w:type="dxa"/>
            <w:tcBorders>
              <w:top w:val="nil"/>
              <w:bottom w:val="nil"/>
            </w:tcBorders>
          </w:tcPr>
          <w:p w14:paraId="5CE0AA41" w14:textId="77777777" w:rsidR="00526FE9" w:rsidRPr="008762D1" w:rsidRDefault="00526FE9" w:rsidP="009817E0">
            <w:pPr>
              <w:jc w:val="right"/>
              <w:rPr>
                <w:rFonts w:ascii="ITC Avant Garde" w:hAnsi="ITC Avant Garde"/>
                <w:color w:val="000000" w:themeColor="text1"/>
                <w:sz w:val="20"/>
                <w:szCs w:val="20"/>
              </w:rPr>
            </w:pPr>
          </w:p>
        </w:tc>
        <w:tc>
          <w:tcPr>
            <w:tcW w:w="992" w:type="dxa"/>
            <w:hideMark/>
          </w:tcPr>
          <w:p w14:paraId="31F077E0"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3</w:t>
            </w:r>
          </w:p>
        </w:tc>
        <w:tc>
          <w:tcPr>
            <w:tcW w:w="8376" w:type="dxa"/>
          </w:tcPr>
          <w:p w14:paraId="7133944E"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Clave del operador que factura. CIC</w:t>
            </w:r>
          </w:p>
          <w:p w14:paraId="62CD5C8F" w14:textId="77777777" w:rsidR="00526FE9" w:rsidRPr="008762D1" w:rsidRDefault="00526FE9" w:rsidP="009817E0">
            <w:pPr>
              <w:rPr>
                <w:rFonts w:ascii="ITC Avant Garde" w:hAnsi="ITC Avant Garde"/>
                <w:color w:val="000000" w:themeColor="text1"/>
                <w:sz w:val="20"/>
                <w:szCs w:val="20"/>
              </w:rPr>
            </w:pPr>
          </w:p>
        </w:tc>
      </w:tr>
      <w:tr w:rsidR="008762D1" w:rsidRPr="008762D1" w14:paraId="39543BAF" w14:textId="77777777" w:rsidTr="00664EC0">
        <w:trPr>
          <w:trHeight w:val="233"/>
          <w:jc w:val="center"/>
        </w:trPr>
        <w:tc>
          <w:tcPr>
            <w:tcW w:w="993" w:type="dxa"/>
            <w:tcBorders>
              <w:top w:val="nil"/>
              <w:bottom w:val="nil"/>
            </w:tcBorders>
          </w:tcPr>
          <w:p w14:paraId="65237215" w14:textId="77777777" w:rsidR="00526FE9" w:rsidRPr="008762D1" w:rsidRDefault="00526FE9" w:rsidP="009817E0">
            <w:pPr>
              <w:jc w:val="right"/>
              <w:rPr>
                <w:rFonts w:ascii="ITC Avant Garde" w:hAnsi="ITC Avant Garde"/>
                <w:color w:val="000000" w:themeColor="text1"/>
                <w:sz w:val="20"/>
                <w:szCs w:val="20"/>
              </w:rPr>
            </w:pPr>
          </w:p>
        </w:tc>
        <w:tc>
          <w:tcPr>
            <w:tcW w:w="992" w:type="dxa"/>
            <w:hideMark/>
          </w:tcPr>
          <w:p w14:paraId="1BDC7B74"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4</w:t>
            </w:r>
          </w:p>
        </w:tc>
        <w:tc>
          <w:tcPr>
            <w:tcW w:w="8376" w:type="dxa"/>
          </w:tcPr>
          <w:p w14:paraId="7478D339"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Clave del operador a quien se le factura. CIC</w:t>
            </w:r>
          </w:p>
          <w:p w14:paraId="5A4C39DA" w14:textId="77777777" w:rsidR="00526FE9" w:rsidRPr="008762D1" w:rsidRDefault="00526FE9" w:rsidP="009817E0">
            <w:pPr>
              <w:rPr>
                <w:rFonts w:ascii="ITC Avant Garde" w:hAnsi="ITC Avant Garde"/>
                <w:color w:val="000000" w:themeColor="text1"/>
                <w:sz w:val="20"/>
                <w:szCs w:val="20"/>
              </w:rPr>
            </w:pPr>
          </w:p>
        </w:tc>
      </w:tr>
      <w:tr w:rsidR="008762D1" w:rsidRPr="008762D1" w14:paraId="00E6B11D" w14:textId="77777777" w:rsidTr="00664EC0">
        <w:trPr>
          <w:trHeight w:val="466"/>
          <w:jc w:val="center"/>
        </w:trPr>
        <w:tc>
          <w:tcPr>
            <w:tcW w:w="993" w:type="dxa"/>
            <w:tcBorders>
              <w:top w:val="nil"/>
              <w:bottom w:val="nil"/>
            </w:tcBorders>
          </w:tcPr>
          <w:p w14:paraId="6F827A18" w14:textId="77777777" w:rsidR="00526FE9" w:rsidRPr="008762D1" w:rsidRDefault="00526FE9" w:rsidP="009817E0">
            <w:pPr>
              <w:jc w:val="right"/>
              <w:rPr>
                <w:rFonts w:ascii="ITC Avant Garde" w:hAnsi="ITC Avant Garde"/>
                <w:color w:val="000000" w:themeColor="text1"/>
                <w:sz w:val="20"/>
                <w:szCs w:val="20"/>
              </w:rPr>
            </w:pPr>
          </w:p>
        </w:tc>
        <w:tc>
          <w:tcPr>
            <w:tcW w:w="992" w:type="dxa"/>
            <w:hideMark/>
          </w:tcPr>
          <w:p w14:paraId="7B92DC88"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5</w:t>
            </w:r>
          </w:p>
        </w:tc>
        <w:tc>
          <w:tcPr>
            <w:tcW w:w="8376" w:type="dxa"/>
            <w:hideMark/>
          </w:tcPr>
          <w:p w14:paraId="4C234A50"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Fecha de emisión de la factura. </w:t>
            </w:r>
          </w:p>
        </w:tc>
      </w:tr>
      <w:tr w:rsidR="008762D1" w:rsidRPr="008762D1" w14:paraId="39D7F210" w14:textId="77777777" w:rsidTr="00664EC0">
        <w:trPr>
          <w:trHeight w:val="233"/>
          <w:jc w:val="center"/>
        </w:trPr>
        <w:tc>
          <w:tcPr>
            <w:tcW w:w="993" w:type="dxa"/>
            <w:tcBorders>
              <w:top w:val="nil"/>
              <w:bottom w:val="nil"/>
            </w:tcBorders>
          </w:tcPr>
          <w:p w14:paraId="2D25550B" w14:textId="77777777" w:rsidR="00526FE9" w:rsidRPr="008762D1" w:rsidRDefault="00526FE9" w:rsidP="009817E0">
            <w:pPr>
              <w:jc w:val="right"/>
              <w:rPr>
                <w:rFonts w:ascii="ITC Avant Garde" w:hAnsi="ITC Avant Garde"/>
                <w:color w:val="000000" w:themeColor="text1"/>
                <w:sz w:val="20"/>
                <w:szCs w:val="20"/>
              </w:rPr>
            </w:pPr>
          </w:p>
        </w:tc>
        <w:tc>
          <w:tcPr>
            <w:tcW w:w="992" w:type="dxa"/>
            <w:hideMark/>
          </w:tcPr>
          <w:p w14:paraId="0C3C409F"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6</w:t>
            </w:r>
          </w:p>
        </w:tc>
        <w:tc>
          <w:tcPr>
            <w:tcW w:w="8376" w:type="dxa"/>
            <w:hideMark/>
          </w:tcPr>
          <w:p w14:paraId="7E87C686"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Fecha de proceso del archivo. Fecha de generación del archivo detalle de facturación</w:t>
            </w:r>
          </w:p>
        </w:tc>
      </w:tr>
      <w:tr w:rsidR="008762D1" w:rsidRPr="008762D1" w14:paraId="70542EC9" w14:textId="77777777" w:rsidTr="00664EC0">
        <w:trPr>
          <w:trHeight w:val="233"/>
          <w:jc w:val="center"/>
        </w:trPr>
        <w:tc>
          <w:tcPr>
            <w:tcW w:w="993" w:type="dxa"/>
            <w:tcBorders>
              <w:top w:val="nil"/>
            </w:tcBorders>
          </w:tcPr>
          <w:p w14:paraId="2C6E16EC" w14:textId="77777777" w:rsidR="00526FE9" w:rsidRPr="008762D1" w:rsidRDefault="00526FE9" w:rsidP="009817E0">
            <w:pPr>
              <w:jc w:val="right"/>
              <w:rPr>
                <w:rFonts w:ascii="ITC Avant Garde" w:hAnsi="ITC Avant Garde"/>
                <w:color w:val="000000" w:themeColor="text1"/>
                <w:sz w:val="20"/>
                <w:szCs w:val="20"/>
              </w:rPr>
            </w:pPr>
          </w:p>
        </w:tc>
        <w:tc>
          <w:tcPr>
            <w:tcW w:w="992" w:type="dxa"/>
            <w:hideMark/>
          </w:tcPr>
          <w:p w14:paraId="16721DAD"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7</w:t>
            </w:r>
          </w:p>
        </w:tc>
        <w:tc>
          <w:tcPr>
            <w:tcW w:w="8376" w:type="dxa"/>
          </w:tcPr>
          <w:p w14:paraId="32E92355"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Fecha de corte de facturación. Fecha del consumo más reciente</w:t>
            </w:r>
          </w:p>
          <w:p w14:paraId="34FD312C" w14:textId="77777777" w:rsidR="00526FE9" w:rsidRPr="008762D1" w:rsidRDefault="00526FE9" w:rsidP="009817E0">
            <w:pPr>
              <w:rPr>
                <w:rFonts w:ascii="ITC Avant Garde" w:hAnsi="ITC Avant Garde"/>
                <w:color w:val="000000" w:themeColor="text1"/>
                <w:sz w:val="20"/>
                <w:szCs w:val="20"/>
              </w:rPr>
            </w:pPr>
          </w:p>
        </w:tc>
      </w:tr>
      <w:tr w:rsidR="008762D1" w:rsidRPr="008762D1" w14:paraId="3BCE74FF" w14:textId="77777777" w:rsidTr="00664EC0">
        <w:trPr>
          <w:trHeight w:val="245"/>
          <w:jc w:val="center"/>
        </w:trPr>
        <w:tc>
          <w:tcPr>
            <w:tcW w:w="993" w:type="dxa"/>
            <w:tcBorders>
              <w:bottom w:val="single" w:sz="4" w:space="0" w:color="BFBFBF" w:themeColor="background1" w:themeShade="BF"/>
            </w:tcBorders>
          </w:tcPr>
          <w:p w14:paraId="6893D1FF" w14:textId="77777777" w:rsidR="00526FE9" w:rsidRPr="008762D1" w:rsidRDefault="00526FE9" w:rsidP="009817E0">
            <w:pPr>
              <w:jc w:val="right"/>
              <w:rPr>
                <w:rFonts w:ascii="ITC Avant Garde" w:hAnsi="ITC Avant Garde"/>
                <w:color w:val="000000" w:themeColor="text1"/>
                <w:sz w:val="20"/>
                <w:szCs w:val="20"/>
              </w:rPr>
            </w:pPr>
          </w:p>
        </w:tc>
        <w:tc>
          <w:tcPr>
            <w:tcW w:w="992" w:type="dxa"/>
            <w:hideMark/>
          </w:tcPr>
          <w:p w14:paraId="09EC22F2"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8</w:t>
            </w:r>
          </w:p>
        </w:tc>
        <w:tc>
          <w:tcPr>
            <w:tcW w:w="8376" w:type="dxa"/>
            <w:hideMark/>
          </w:tcPr>
          <w:p w14:paraId="43054254"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Caracteres en blanco para completar la longitud del registro a 100 posiciones</w:t>
            </w:r>
          </w:p>
        </w:tc>
      </w:tr>
      <w:tr w:rsidR="008762D1" w:rsidRPr="008762D1" w14:paraId="319DB9AE" w14:textId="77777777" w:rsidTr="00664EC0">
        <w:trPr>
          <w:trHeight w:val="233"/>
          <w:jc w:val="center"/>
        </w:trPr>
        <w:tc>
          <w:tcPr>
            <w:tcW w:w="993" w:type="dxa"/>
            <w:tcBorders>
              <w:bottom w:val="nil"/>
            </w:tcBorders>
            <w:hideMark/>
          </w:tcPr>
          <w:p w14:paraId="4D6BA5BA" w14:textId="77777777" w:rsidR="00526FE9" w:rsidRPr="008762D1" w:rsidRDefault="00526FE9" w:rsidP="009817E0">
            <w:pPr>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Detalle</w:t>
            </w:r>
          </w:p>
        </w:tc>
        <w:tc>
          <w:tcPr>
            <w:tcW w:w="992" w:type="dxa"/>
            <w:hideMark/>
          </w:tcPr>
          <w:p w14:paraId="35C1AB29"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w:t>
            </w:r>
          </w:p>
        </w:tc>
        <w:tc>
          <w:tcPr>
            <w:tcW w:w="8376" w:type="dxa"/>
          </w:tcPr>
          <w:p w14:paraId="61D00E85"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Identificador de inicio de registro detalle, el valor debe ser uno.</w:t>
            </w:r>
          </w:p>
          <w:p w14:paraId="05CA013A" w14:textId="77777777" w:rsidR="00526FE9" w:rsidRPr="008762D1" w:rsidRDefault="00526FE9" w:rsidP="009817E0">
            <w:pPr>
              <w:rPr>
                <w:rFonts w:ascii="ITC Avant Garde" w:hAnsi="ITC Avant Garde"/>
                <w:color w:val="000000" w:themeColor="text1"/>
                <w:sz w:val="20"/>
                <w:szCs w:val="20"/>
              </w:rPr>
            </w:pPr>
          </w:p>
        </w:tc>
      </w:tr>
      <w:tr w:rsidR="008762D1" w:rsidRPr="008762D1" w14:paraId="0DC18271" w14:textId="77777777" w:rsidTr="00664EC0">
        <w:trPr>
          <w:trHeight w:val="466"/>
          <w:jc w:val="center"/>
        </w:trPr>
        <w:tc>
          <w:tcPr>
            <w:tcW w:w="993" w:type="dxa"/>
            <w:tcBorders>
              <w:top w:val="nil"/>
              <w:bottom w:val="nil"/>
            </w:tcBorders>
          </w:tcPr>
          <w:p w14:paraId="0AE9171D"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2B287147"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2</w:t>
            </w:r>
          </w:p>
        </w:tc>
        <w:tc>
          <w:tcPr>
            <w:tcW w:w="8376" w:type="dxa"/>
          </w:tcPr>
          <w:p w14:paraId="498E7E0B"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Área de Servicio Local oficialmente definida, sin importar si ya fue conformada (En caso de aplicarse).</w:t>
            </w:r>
          </w:p>
          <w:p w14:paraId="7A86503F" w14:textId="77777777" w:rsidR="00526FE9" w:rsidRPr="008762D1" w:rsidRDefault="00526FE9" w:rsidP="009817E0">
            <w:pPr>
              <w:rPr>
                <w:rFonts w:ascii="ITC Avant Garde" w:hAnsi="ITC Avant Garde"/>
                <w:color w:val="000000" w:themeColor="text1"/>
                <w:sz w:val="20"/>
                <w:szCs w:val="20"/>
              </w:rPr>
            </w:pPr>
          </w:p>
        </w:tc>
      </w:tr>
      <w:tr w:rsidR="008762D1" w:rsidRPr="008762D1" w14:paraId="66C0FE0F" w14:textId="77777777" w:rsidTr="00664EC0">
        <w:trPr>
          <w:trHeight w:val="233"/>
          <w:jc w:val="center"/>
        </w:trPr>
        <w:tc>
          <w:tcPr>
            <w:tcW w:w="993" w:type="dxa"/>
            <w:tcBorders>
              <w:top w:val="nil"/>
              <w:bottom w:val="nil"/>
            </w:tcBorders>
          </w:tcPr>
          <w:p w14:paraId="53B5DEC6"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033034D7"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3</w:t>
            </w:r>
          </w:p>
        </w:tc>
        <w:tc>
          <w:tcPr>
            <w:tcW w:w="8376" w:type="dxa"/>
          </w:tcPr>
          <w:p w14:paraId="6B67C696"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Fecha del inicio de la conferencia</w:t>
            </w:r>
          </w:p>
          <w:p w14:paraId="073A6853" w14:textId="77777777" w:rsidR="00526FE9" w:rsidRPr="008762D1" w:rsidRDefault="00526FE9" w:rsidP="009817E0">
            <w:pPr>
              <w:rPr>
                <w:rFonts w:ascii="ITC Avant Garde" w:hAnsi="ITC Avant Garde"/>
                <w:color w:val="000000" w:themeColor="text1"/>
                <w:sz w:val="20"/>
                <w:szCs w:val="20"/>
              </w:rPr>
            </w:pPr>
          </w:p>
        </w:tc>
      </w:tr>
      <w:tr w:rsidR="008762D1" w:rsidRPr="008762D1" w14:paraId="45B2A01D" w14:textId="77777777" w:rsidTr="00664EC0">
        <w:trPr>
          <w:trHeight w:val="466"/>
          <w:jc w:val="center"/>
        </w:trPr>
        <w:tc>
          <w:tcPr>
            <w:tcW w:w="993" w:type="dxa"/>
            <w:tcBorders>
              <w:top w:val="nil"/>
              <w:bottom w:val="nil"/>
            </w:tcBorders>
          </w:tcPr>
          <w:p w14:paraId="14DF7159"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5B0C2C63"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4</w:t>
            </w:r>
          </w:p>
        </w:tc>
        <w:tc>
          <w:tcPr>
            <w:tcW w:w="8376" w:type="dxa"/>
          </w:tcPr>
          <w:p w14:paraId="7D0FAF9F"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Indica el tipo de tráfico: 01Terminación para los consumos locales que facture el OPERADOR a TELMEX.  03 Tránsito (Local, celular y de LD). 05 Originado (LD).  06 Terminado (LD). </w:t>
            </w:r>
          </w:p>
          <w:p w14:paraId="5DD168E9" w14:textId="77777777" w:rsidR="00526FE9" w:rsidRPr="008762D1" w:rsidRDefault="00526FE9" w:rsidP="009817E0">
            <w:pPr>
              <w:rPr>
                <w:rFonts w:ascii="ITC Avant Garde" w:hAnsi="ITC Avant Garde"/>
                <w:color w:val="000000" w:themeColor="text1"/>
                <w:sz w:val="20"/>
                <w:szCs w:val="20"/>
              </w:rPr>
            </w:pPr>
          </w:p>
        </w:tc>
      </w:tr>
      <w:tr w:rsidR="008762D1" w:rsidRPr="008762D1" w14:paraId="020CD70E" w14:textId="77777777" w:rsidTr="00664EC0">
        <w:trPr>
          <w:trHeight w:val="424"/>
          <w:jc w:val="center"/>
        </w:trPr>
        <w:tc>
          <w:tcPr>
            <w:tcW w:w="993" w:type="dxa"/>
            <w:tcBorders>
              <w:top w:val="nil"/>
              <w:bottom w:val="nil"/>
            </w:tcBorders>
          </w:tcPr>
          <w:p w14:paraId="70B560D5"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7950C595"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5</w:t>
            </w:r>
          </w:p>
        </w:tc>
        <w:tc>
          <w:tcPr>
            <w:tcW w:w="8376" w:type="dxa"/>
          </w:tcPr>
          <w:p w14:paraId="2AB8EF39"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Serie destino justificado a la derecha, es la suma hasta el millar del número de B. </w:t>
            </w:r>
          </w:p>
          <w:p w14:paraId="13BE2E8F" w14:textId="77777777" w:rsidR="00526FE9" w:rsidRPr="008762D1" w:rsidRDefault="00526FE9" w:rsidP="009817E0">
            <w:pPr>
              <w:rPr>
                <w:rFonts w:ascii="ITC Avant Garde" w:hAnsi="ITC Avant Garde"/>
                <w:color w:val="000000" w:themeColor="text1"/>
                <w:sz w:val="20"/>
                <w:szCs w:val="20"/>
              </w:rPr>
            </w:pPr>
          </w:p>
        </w:tc>
      </w:tr>
      <w:tr w:rsidR="008762D1" w:rsidRPr="008762D1" w14:paraId="1EFB1ED2" w14:textId="77777777" w:rsidTr="00664EC0">
        <w:trPr>
          <w:trHeight w:val="233"/>
          <w:jc w:val="center"/>
        </w:trPr>
        <w:tc>
          <w:tcPr>
            <w:tcW w:w="993" w:type="dxa"/>
            <w:tcBorders>
              <w:top w:val="nil"/>
              <w:bottom w:val="nil"/>
            </w:tcBorders>
          </w:tcPr>
          <w:p w14:paraId="41A2E2EB"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20E81902"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6</w:t>
            </w:r>
          </w:p>
        </w:tc>
        <w:tc>
          <w:tcPr>
            <w:tcW w:w="8376" w:type="dxa"/>
          </w:tcPr>
          <w:p w14:paraId="03141EB9"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Número de llamadas de un mismo tipo realizadas en un día</w:t>
            </w:r>
          </w:p>
          <w:p w14:paraId="35EB4D24" w14:textId="77777777" w:rsidR="00526FE9" w:rsidRPr="008762D1" w:rsidRDefault="00526FE9" w:rsidP="009817E0">
            <w:pPr>
              <w:rPr>
                <w:rFonts w:ascii="ITC Avant Garde" w:hAnsi="ITC Avant Garde"/>
                <w:color w:val="000000" w:themeColor="text1"/>
                <w:sz w:val="20"/>
                <w:szCs w:val="20"/>
              </w:rPr>
            </w:pPr>
          </w:p>
        </w:tc>
      </w:tr>
      <w:tr w:rsidR="008762D1" w:rsidRPr="008762D1" w14:paraId="41D6DC30" w14:textId="77777777" w:rsidTr="00664EC0">
        <w:trPr>
          <w:trHeight w:val="466"/>
          <w:jc w:val="center"/>
        </w:trPr>
        <w:tc>
          <w:tcPr>
            <w:tcW w:w="993" w:type="dxa"/>
            <w:tcBorders>
              <w:top w:val="nil"/>
              <w:bottom w:val="nil"/>
            </w:tcBorders>
          </w:tcPr>
          <w:p w14:paraId="22DA265F"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25FEDA50"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7</w:t>
            </w:r>
          </w:p>
        </w:tc>
        <w:tc>
          <w:tcPr>
            <w:tcW w:w="8376" w:type="dxa"/>
            <w:hideMark/>
          </w:tcPr>
          <w:p w14:paraId="3D09F3B3"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Número de minutos de las conferencias con dos decimales. </w:t>
            </w:r>
          </w:p>
        </w:tc>
      </w:tr>
      <w:tr w:rsidR="008762D1" w:rsidRPr="008762D1" w14:paraId="5B6294FB" w14:textId="77777777" w:rsidTr="00664EC0">
        <w:trPr>
          <w:trHeight w:val="233"/>
          <w:jc w:val="center"/>
        </w:trPr>
        <w:tc>
          <w:tcPr>
            <w:tcW w:w="993" w:type="dxa"/>
            <w:tcBorders>
              <w:top w:val="nil"/>
              <w:bottom w:val="nil"/>
            </w:tcBorders>
          </w:tcPr>
          <w:p w14:paraId="6ACA062F"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635C36BA"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8</w:t>
            </w:r>
          </w:p>
        </w:tc>
        <w:tc>
          <w:tcPr>
            <w:tcW w:w="8376" w:type="dxa"/>
          </w:tcPr>
          <w:p w14:paraId="63AC6EEF"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Tarifa por minuto por tipo de llamada</w:t>
            </w:r>
          </w:p>
          <w:p w14:paraId="6928C035" w14:textId="77777777" w:rsidR="00526FE9" w:rsidRPr="008762D1" w:rsidRDefault="00526FE9" w:rsidP="009817E0">
            <w:pPr>
              <w:rPr>
                <w:rFonts w:ascii="ITC Avant Garde" w:hAnsi="ITC Avant Garde"/>
                <w:color w:val="000000" w:themeColor="text1"/>
                <w:sz w:val="20"/>
                <w:szCs w:val="20"/>
              </w:rPr>
            </w:pPr>
          </w:p>
        </w:tc>
      </w:tr>
      <w:tr w:rsidR="008762D1" w:rsidRPr="008762D1" w14:paraId="3B1023A3" w14:textId="77777777" w:rsidTr="00664EC0">
        <w:trPr>
          <w:trHeight w:val="537"/>
          <w:jc w:val="center"/>
        </w:trPr>
        <w:tc>
          <w:tcPr>
            <w:tcW w:w="993" w:type="dxa"/>
            <w:tcBorders>
              <w:top w:val="nil"/>
              <w:bottom w:val="nil"/>
            </w:tcBorders>
          </w:tcPr>
          <w:p w14:paraId="6FFA5851"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721B1448"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9</w:t>
            </w:r>
          </w:p>
        </w:tc>
        <w:tc>
          <w:tcPr>
            <w:tcW w:w="8376" w:type="dxa"/>
          </w:tcPr>
          <w:p w14:paraId="13E60DE9"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Serie origen justificado a la derecha, es la suma hasta el millar del número de A. </w:t>
            </w:r>
          </w:p>
          <w:p w14:paraId="7BB071F1" w14:textId="77777777" w:rsidR="00526FE9" w:rsidRPr="008762D1" w:rsidRDefault="00526FE9" w:rsidP="009817E0">
            <w:pPr>
              <w:rPr>
                <w:rFonts w:ascii="ITC Avant Garde" w:hAnsi="ITC Avant Garde"/>
                <w:color w:val="000000" w:themeColor="text1"/>
                <w:sz w:val="20"/>
                <w:szCs w:val="20"/>
              </w:rPr>
            </w:pPr>
          </w:p>
        </w:tc>
      </w:tr>
      <w:tr w:rsidR="008762D1" w:rsidRPr="008762D1" w14:paraId="79814559" w14:textId="77777777" w:rsidTr="00664EC0">
        <w:trPr>
          <w:trHeight w:val="466"/>
          <w:jc w:val="center"/>
        </w:trPr>
        <w:tc>
          <w:tcPr>
            <w:tcW w:w="993" w:type="dxa"/>
            <w:tcBorders>
              <w:top w:val="nil"/>
              <w:bottom w:val="nil"/>
            </w:tcBorders>
          </w:tcPr>
          <w:p w14:paraId="7533EC11"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63F44FCB"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10</w:t>
            </w:r>
          </w:p>
        </w:tc>
        <w:tc>
          <w:tcPr>
            <w:tcW w:w="8376" w:type="dxa"/>
          </w:tcPr>
          <w:p w14:paraId="2EA61642"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Identificador de la procedencia de la llamada 0</w:t>
            </w:r>
            <w:proofErr w:type="gramStart"/>
            <w:r w:rsidRPr="008762D1">
              <w:rPr>
                <w:rFonts w:ascii="ITC Avant Garde" w:hAnsi="ITC Avant Garde"/>
                <w:color w:val="000000" w:themeColor="text1"/>
                <w:sz w:val="20"/>
                <w:szCs w:val="20"/>
              </w:rPr>
              <w:t>:Nacional</w:t>
            </w:r>
            <w:proofErr w:type="gramEnd"/>
            <w:r w:rsidRPr="008762D1">
              <w:rPr>
                <w:rFonts w:ascii="ITC Avant Garde" w:hAnsi="ITC Avant Garde"/>
                <w:color w:val="000000" w:themeColor="text1"/>
                <w:sz w:val="20"/>
                <w:szCs w:val="20"/>
              </w:rPr>
              <w:t>, 1:Internacional, 2:Mundial. Se aplica solo para interconexión de LD.</w:t>
            </w:r>
          </w:p>
          <w:p w14:paraId="34B0B0F4" w14:textId="77777777" w:rsidR="00526FE9" w:rsidRPr="008762D1" w:rsidRDefault="00526FE9" w:rsidP="009817E0">
            <w:pPr>
              <w:rPr>
                <w:rFonts w:ascii="ITC Avant Garde" w:hAnsi="ITC Avant Garde"/>
                <w:color w:val="000000" w:themeColor="text1"/>
                <w:sz w:val="20"/>
                <w:szCs w:val="20"/>
              </w:rPr>
            </w:pPr>
          </w:p>
        </w:tc>
      </w:tr>
      <w:tr w:rsidR="008762D1" w:rsidRPr="008762D1" w14:paraId="40C9C34D" w14:textId="77777777" w:rsidTr="00664EC0">
        <w:trPr>
          <w:trHeight w:val="233"/>
          <w:jc w:val="center"/>
        </w:trPr>
        <w:tc>
          <w:tcPr>
            <w:tcW w:w="993" w:type="dxa"/>
            <w:tcBorders>
              <w:top w:val="nil"/>
              <w:bottom w:val="nil"/>
            </w:tcBorders>
          </w:tcPr>
          <w:p w14:paraId="6F4E56D3"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2B65C148"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11</w:t>
            </w:r>
          </w:p>
        </w:tc>
        <w:tc>
          <w:tcPr>
            <w:tcW w:w="8376" w:type="dxa"/>
          </w:tcPr>
          <w:p w14:paraId="79B4BEE5"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Tipo de llamada 1</w:t>
            </w:r>
            <w:proofErr w:type="gramStart"/>
            <w:r w:rsidRPr="008762D1">
              <w:rPr>
                <w:rFonts w:ascii="ITC Avant Garde" w:hAnsi="ITC Avant Garde"/>
                <w:color w:val="000000" w:themeColor="text1"/>
                <w:sz w:val="20"/>
                <w:szCs w:val="20"/>
              </w:rPr>
              <w:t>:Automática</w:t>
            </w:r>
            <w:proofErr w:type="gramEnd"/>
            <w:r w:rsidRPr="008762D1">
              <w:rPr>
                <w:rFonts w:ascii="ITC Avant Garde" w:hAnsi="ITC Avant Garde"/>
                <w:color w:val="000000" w:themeColor="text1"/>
                <w:sz w:val="20"/>
                <w:szCs w:val="20"/>
              </w:rPr>
              <w:t>, 8:No. 800. Estos dos tipos aplican solamente para Local y LD.</w:t>
            </w:r>
          </w:p>
          <w:p w14:paraId="260C4BEE" w14:textId="77777777" w:rsidR="00526FE9" w:rsidRPr="008762D1" w:rsidRDefault="00526FE9" w:rsidP="009817E0">
            <w:pPr>
              <w:rPr>
                <w:rFonts w:ascii="ITC Avant Garde" w:hAnsi="ITC Avant Garde"/>
                <w:color w:val="000000" w:themeColor="text1"/>
                <w:sz w:val="20"/>
                <w:szCs w:val="20"/>
              </w:rPr>
            </w:pPr>
          </w:p>
        </w:tc>
      </w:tr>
      <w:tr w:rsidR="008762D1" w:rsidRPr="008762D1" w14:paraId="7AC0BB8F" w14:textId="77777777" w:rsidTr="00664EC0">
        <w:trPr>
          <w:trHeight w:val="466"/>
          <w:jc w:val="center"/>
        </w:trPr>
        <w:tc>
          <w:tcPr>
            <w:tcW w:w="993" w:type="dxa"/>
            <w:tcBorders>
              <w:top w:val="nil"/>
              <w:bottom w:val="single" w:sz="4" w:space="0" w:color="BFBFBF" w:themeColor="background1" w:themeShade="BF"/>
            </w:tcBorders>
          </w:tcPr>
          <w:p w14:paraId="175632A6"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60E1BD54"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12</w:t>
            </w:r>
          </w:p>
        </w:tc>
        <w:tc>
          <w:tcPr>
            <w:tcW w:w="8376" w:type="dxa"/>
            <w:hideMark/>
          </w:tcPr>
          <w:p w14:paraId="4F29341A" w14:textId="77777777" w:rsidR="00526FE9" w:rsidRPr="008762D1" w:rsidRDefault="00526FE9" w:rsidP="009817E0">
            <w:pPr>
              <w:rPr>
                <w:rFonts w:ascii="ITC Avant Garde" w:hAnsi="ITC Avant Garde"/>
                <w:color w:val="000000" w:themeColor="text1"/>
                <w:sz w:val="20"/>
                <w:szCs w:val="20"/>
              </w:rPr>
            </w:pPr>
            <w:proofErr w:type="spellStart"/>
            <w:r w:rsidRPr="008762D1">
              <w:rPr>
                <w:rFonts w:ascii="ITC Avant Garde" w:hAnsi="ITC Avant Garde"/>
                <w:color w:val="000000" w:themeColor="text1"/>
                <w:sz w:val="20"/>
                <w:szCs w:val="20"/>
              </w:rPr>
              <w:t>Filler</w:t>
            </w:r>
            <w:proofErr w:type="spellEnd"/>
          </w:p>
        </w:tc>
      </w:tr>
      <w:tr w:rsidR="008762D1" w:rsidRPr="008762D1" w14:paraId="7F0963A1" w14:textId="77777777" w:rsidTr="00664EC0">
        <w:trPr>
          <w:trHeight w:val="437"/>
          <w:jc w:val="center"/>
        </w:trPr>
        <w:tc>
          <w:tcPr>
            <w:tcW w:w="993" w:type="dxa"/>
            <w:tcBorders>
              <w:bottom w:val="nil"/>
            </w:tcBorders>
          </w:tcPr>
          <w:p w14:paraId="4EE84F4A" w14:textId="77777777" w:rsidR="00526FE9" w:rsidRPr="008762D1" w:rsidRDefault="00526FE9" w:rsidP="009817E0">
            <w:pPr>
              <w:jc w:val="center"/>
              <w:rPr>
                <w:rFonts w:ascii="ITC Avant Garde" w:hAnsi="ITC Avant Garde"/>
                <w:b/>
                <w:color w:val="000000" w:themeColor="text1"/>
                <w:sz w:val="20"/>
                <w:szCs w:val="20"/>
              </w:rPr>
            </w:pPr>
          </w:p>
        </w:tc>
        <w:tc>
          <w:tcPr>
            <w:tcW w:w="992" w:type="dxa"/>
            <w:hideMark/>
          </w:tcPr>
          <w:p w14:paraId="4136AAEA"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13</w:t>
            </w:r>
          </w:p>
        </w:tc>
        <w:tc>
          <w:tcPr>
            <w:tcW w:w="8376" w:type="dxa"/>
            <w:hideMark/>
          </w:tcPr>
          <w:p w14:paraId="6947B576"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Cuenta de facturación asignada.</w:t>
            </w:r>
          </w:p>
        </w:tc>
      </w:tr>
      <w:tr w:rsidR="008762D1" w:rsidRPr="008762D1" w14:paraId="12146425" w14:textId="77777777" w:rsidTr="00664EC0">
        <w:trPr>
          <w:trHeight w:val="245"/>
          <w:jc w:val="center"/>
        </w:trPr>
        <w:tc>
          <w:tcPr>
            <w:tcW w:w="993" w:type="dxa"/>
            <w:tcBorders>
              <w:top w:val="nil"/>
              <w:bottom w:val="nil"/>
            </w:tcBorders>
          </w:tcPr>
          <w:p w14:paraId="264009AE" w14:textId="72497DCF" w:rsidR="00664EC0" w:rsidRPr="008762D1" w:rsidRDefault="00664EC0" w:rsidP="009817E0">
            <w:pPr>
              <w:jc w:val="center"/>
              <w:rPr>
                <w:rFonts w:ascii="ITC Avant Garde" w:hAnsi="ITC Avant Garde"/>
                <w:b/>
                <w:color w:val="000000" w:themeColor="text1"/>
                <w:sz w:val="20"/>
                <w:szCs w:val="20"/>
              </w:rPr>
            </w:pPr>
          </w:p>
        </w:tc>
        <w:tc>
          <w:tcPr>
            <w:tcW w:w="992" w:type="dxa"/>
            <w:hideMark/>
          </w:tcPr>
          <w:p w14:paraId="01C02B29" w14:textId="77777777" w:rsidR="00664EC0" w:rsidRPr="008762D1" w:rsidRDefault="00664EC0"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14</w:t>
            </w:r>
          </w:p>
        </w:tc>
        <w:tc>
          <w:tcPr>
            <w:tcW w:w="8376" w:type="dxa"/>
            <w:hideMark/>
          </w:tcPr>
          <w:p w14:paraId="44447A4B" w14:textId="77777777" w:rsidR="00664EC0" w:rsidRPr="008762D1" w:rsidRDefault="00664EC0" w:rsidP="009817E0">
            <w:pPr>
              <w:rPr>
                <w:rFonts w:ascii="ITC Avant Garde" w:hAnsi="ITC Avant Garde"/>
                <w:color w:val="000000" w:themeColor="text1"/>
                <w:sz w:val="20"/>
                <w:szCs w:val="20"/>
              </w:rPr>
            </w:pPr>
            <w:r w:rsidRPr="008762D1">
              <w:rPr>
                <w:rFonts w:ascii="ITC Avant Garde" w:hAnsi="ITC Avant Garde"/>
                <w:snapToGrid w:val="0"/>
                <w:color w:val="000000" w:themeColor="text1"/>
                <w:sz w:val="20"/>
                <w:szCs w:val="20"/>
              </w:rPr>
              <w:t>Tasa de IVA aplicada 5= 16%</w:t>
            </w:r>
          </w:p>
        </w:tc>
      </w:tr>
      <w:tr w:rsidR="00664EC0" w:rsidRPr="008762D1" w14:paraId="62E66CD4" w14:textId="77777777" w:rsidTr="00664EC0">
        <w:trPr>
          <w:trHeight w:val="245"/>
          <w:jc w:val="center"/>
        </w:trPr>
        <w:tc>
          <w:tcPr>
            <w:tcW w:w="993" w:type="dxa"/>
            <w:tcBorders>
              <w:top w:val="nil"/>
            </w:tcBorders>
            <w:hideMark/>
          </w:tcPr>
          <w:p w14:paraId="3352A234" w14:textId="77777777" w:rsidR="00664EC0" w:rsidRPr="008762D1" w:rsidRDefault="00664EC0" w:rsidP="009817E0">
            <w:pPr>
              <w:rPr>
                <w:rFonts w:ascii="ITC Avant Garde" w:hAnsi="ITC Avant Garde"/>
                <w:b/>
                <w:color w:val="000000" w:themeColor="text1"/>
                <w:sz w:val="20"/>
                <w:szCs w:val="20"/>
                <w:lang w:val="es-ES" w:eastAsia="es-ES"/>
              </w:rPr>
            </w:pPr>
          </w:p>
        </w:tc>
        <w:tc>
          <w:tcPr>
            <w:tcW w:w="992" w:type="dxa"/>
            <w:hideMark/>
          </w:tcPr>
          <w:p w14:paraId="042578AA" w14:textId="77777777" w:rsidR="00664EC0" w:rsidRPr="008762D1" w:rsidRDefault="00664EC0"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15</w:t>
            </w:r>
          </w:p>
        </w:tc>
        <w:tc>
          <w:tcPr>
            <w:tcW w:w="8376" w:type="dxa"/>
          </w:tcPr>
          <w:p w14:paraId="2C92C815" w14:textId="77777777" w:rsidR="00664EC0" w:rsidRPr="008762D1" w:rsidRDefault="00664EC0"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Caracteres en blanco para completar la longitud del registro a 100 posiciones</w:t>
            </w:r>
          </w:p>
          <w:p w14:paraId="16129B8F" w14:textId="77777777" w:rsidR="00664EC0" w:rsidRPr="008762D1" w:rsidRDefault="00664EC0" w:rsidP="009817E0">
            <w:pPr>
              <w:rPr>
                <w:rFonts w:ascii="ITC Avant Garde" w:hAnsi="ITC Avant Garde"/>
                <w:color w:val="000000" w:themeColor="text1"/>
                <w:sz w:val="20"/>
                <w:szCs w:val="20"/>
              </w:rPr>
            </w:pPr>
          </w:p>
        </w:tc>
      </w:tr>
    </w:tbl>
    <w:p w14:paraId="2FEB25A9" w14:textId="77777777" w:rsidR="000F0B9F" w:rsidRPr="008762D1" w:rsidRDefault="000F0B9F" w:rsidP="000F0B9F">
      <w:pPr>
        <w:spacing w:before="240"/>
        <w:rPr>
          <w:rFonts w:ascii="ITC Avant Garde" w:hAnsi="ITC Avant Garde"/>
          <w:color w:val="000000" w:themeColor="text1"/>
          <w:sz w:val="24"/>
          <w:szCs w:val="24"/>
          <w:lang w:val="es-ES" w:eastAsia="es-ES"/>
        </w:rPr>
      </w:pPr>
    </w:p>
    <w:tbl>
      <w:tblPr>
        <w:tblStyle w:val="Cuadrculadetablaclara"/>
        <w:tblW w:w="0" w:type="auto"/>
        <w:jc w:val="center"/>
        <w:tblLayout w:type="fixed"/>
        <w:tblLook w:val="04A0" w:firstRow="1" w:lastRow="0" w:firstColumn="1" w:lastColumn="0" w:noHBand="0" w:noVBand="1"/>
        <w:tblCaption w:val="Tabla"/>
        <w:tblDescription w:val="GUIA DEL LAYOUT GENERAL DE FACTURACIÓN"/>
      </w:tblPr>
      <w:tblGrid>
        <w:gridCol w:w="876"/>
        <w:gridCol w:w="770"/>
        <w:gridCol w:w="8376"/>
      </w:tblGrid>
      <w:tr w:rsidR="008762D1" w:rsidRPr="008762D1" w14:paraId="043D7274" w14:textId="77777777" w:rsidTr="00664EC0">
        <w:trPr>
          <w:trHeight w:val="233"/>
          <w:tblHeader/>
          <w:jc w:val="center"/>
        </w:trPr>
        <w:tc>
          <w:tcPr>
            <w:tcW w:w="876" w:type="dxa"/>
            <w:tcBorders>
              <w:bottom w:val="nil"/>
            </w:tcBorders>
            <w:hideMark/>
          </w:tcPr>
          <w:p w14:paraId="2B2B8A7B" w14:textId="77777777" w:rsidR="00526FE9" w:rsidRPr="008762D1" w:rsidRDefault="00526FE9" w:rsidP="009817E0">
            <w:pPr>
              <w:jc w:val="center"/>
              <w:rPr>
                <w:rFonts w:ascii="ITC Avant Garde" w:hAnsi="ITC Avant Garde"/>
                <w:b/>
                <w:color w:val="000000" w:themeColor="text1"/>
                <w:sz w:val="20"/>
                <w:szCs w:val="20"/>
              </w:rPr>
            </w:pPr>
            <w:proofErr w:type="spellStart"/>
            <w:r w:rsidRPr="008762D1">
              <w:rPr>
                <w:rFonts w:ascii="ITC Avant Garde" w:hAnsi="ITC Avant Garde"/>
                <w:b/>
                <w:color w:val="000000" w:themeColor="text1"/>
                <w:sz w:val="20"/>
                <w:szCs w:val="20"/>
              </w:rPr>
              <w:lastRenderedPageBreak/>
              <w:t>Trailer</w:t>
            </w:r>
            <w:proofErr w:type="spellEnd"/>
          </w:p>
        </w:tc>
        <w:tc>
          <w:tcPr>
            <w:tcW w:w="770" w:type="dxa"/>
            <w:hideMark/>
          </w:tcPr>
          <w:p w14:paraId="406C6B59"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1</w:t>
            </w:r>
          </w:p>
        </w:tc>
        <w:tc>
          <w:tcPr>
            <w:tcW w:w="8376" w:type="dxa"/>
          </w:tcPr>
          <w:p w14:paraId="4A99AAE2" w14:textId="2730228C"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Identificador de inicio d</w:t>
            </w:r>
            <w:r w:rsidR="009817E0" w:rsidRPr="008762D1">
              <w:rPr>
                <w:rFonts w:ascii="ITC Avant Garde" w:hAnsi="ITC Avant Garde"/>
                <w:color w:val="000000" w:themeColor="text1"/>
                <w:sz w:val="20"/>
                <w:szCs w:val="20"/>
              </w:rPr>
              <w:t xml:space="preserve">e </w:t>
            </w:r>
            <w:proofErr w:type="spellStart"/>
            <w:r w:rsidR="009817E0" w:rsidRPr="008762D1">
              <w:rPr>
                <w:rFonts w:ascii="ITC Avant Garde" w:hAnsi="ITC Avant Garde"/>
                <w:color w:val="000000" w:themeColor="text1"/>
                <w:sz w:val="20"/>
                <w:szCs w:val="20"/>
              </w:rPr>
              <w:t>trailer</w:t>
            </w:r>
            <w:proofErr w:type="spellEnd"/>
            <w:r w:rsidR="009817E0" w:rsidRPr="008762D1">
              <w:rPr>
                <w:rFonts w:ascii="ITC Avant Garde" w:hAnsi="ITC Avant Garde"/>
                <w:color w:val="000000" w:themeColor="text1"/>
                <w:sz w:val="20"/>
                <w:szCs w:val="20"/>
              </w:rPr>
              <w:t>. El valor debe ser 9.</w:t>
            </w:r>
          </w:p>
        </w:tc>
      </w:tr>
      <w:tr w:rsidR="008762D1" w:rsidRPr="008762D1" w14:paraId="0A60B28E" w14:textId="77777777" w:rsidTr="00664EC0">
        <w:trPr>
          <w:trHeight w:val="233"/>
          <w:tblHeader/>
          <w:jc w:val="center"/>
        </w:trPr>
        <w:tc>
          <w:tcPr>
            <w:tcW w:w="876" w:type="dxa"/>
            <w:tcBorders>
              <w:top w:val="nil"/>
              <w:bottom w:val="nil"/>
            </w:tcBorders>
          </w:tcPr>
          <w:p w14:paraId="445C7128" w14:textId="77777777" w:rsidR="00526FE9" w:rsidRPr="008762D1" w:rsidRDefault="00526FE9" w:rsidP="009817E0">
            <w:pPr>
              <w:jc w:val="right"/>
              <w:rPr>
                <w:rFonts w:ascii="ITC Avant Garde" w:hAnsi="ITC Avant Garde"/>
                <w:color w:val="000000" w:themeColor="text1"/>
                <w:sz w:val="20"/>
                <w:szCs w:val="20"/>
              </w:rPr>
            </w:pPr>
          </w:p>
        </w:tc>
        <w:tc>
          <w:tcPr>
            <w:tcW w:w="770" w:type="dxa"/>
            <w:hideMark/>
          </w:tcPr>
          <w:p w14:paraId="296DDB08"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2</w:t>
            </w:r>
          </w:p>
        </w:tc>
        <w:tc>
          <w:tcPr>
            <w:tcW w:w="8376" w:type="dxa"/>
            <w:hideMark/>
          </w:tcPr>
          <w:p w14:paraId="76789107"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Clave del operador que factura. CIC</w:t>
            </w:r>
          </w:p>
        </w:tc>
      </w:tr>
      <w:tr w:rsidR="008762D1" w:rsidRPr="008762D1" w14:paraId="0A63596A" w14:textId="77777777" w:rsidTr="00664EC0">
        <w:trPr>
          <w:trHeight w:val="233"/>
          <w:tblHeader/>
          <w:jc w:val="center"/>
        </w:trPr>
        <w:tc>
          <w:tcPr>
            <w:tcW w:w="876" w:type="dxa"/>
            <w:tcBorders>
              <w:top w:val="nil"/>
              <w:bottom w:val="nil"/>
            </w:tcBorders>
          </w:tcPr>
          <w:p w14:paraId="3AAEB28D" w14:textId="77777777" w:rsidR="00526FE9" w:rsidRPr="008762D1" w:rsidRDefault="00526FE9" w:rsidP="009817E0">
            <w:pPr>
              <w:jc w:val="right"/>
              <w:rPr>
                <w:rFonts w:ascii="ITC Avant Garde" w:hAnsi="ITC Avant Garde"/>
                <w:color w:val="000000" w:themeColor="text1"/>
                <w:sz w:val="20"/>
                <w:szCs w:val="20"/>
              </w:rPr>
            </w:pPr>
          </w:p>
        </w:tc>
        <w:tc>
          <w:tcPr>
            <w:tcW w:w="770" w:type="dxa"/>
            <w:hideMark/>
          </w:tcPr>
          <w:p w14:paraId="5B049134"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3</w:t>
            </w:r>
          </w:p>
        </w:tc>
        <w:tc>
          <w:tcPr>
            <w:tcW w:w="8376" w:type="dxa"/>
            <w:hideMark/>
          </w:tcPr>
          <w:p w14:paraId="59436AC1"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Clave del operador a quien se le factura. CIC</w:t>
            </w:r>
          </w:p>
        </w:tc>
      </w:tr>
      <w:tr w:rsidR="008762D1" w:rsidRPr="008762D1" w14:paraId="2507A719" w14:textId="77777777" w:rsidTr="00664EC0">
        <w:trPr>
          <w:trHeight w:val="233"/>
          <w:tblHeader/>
          <w:jc w:val="center"/>
        </w:trPr>
        <w:tc>
          <w:tcPr>
            <w:tcW w:w="876" w:type="dxa"/>
            <w:tcBorders>
              <w:top w:val="nil"/>
              <w:bottom w:val="nil"/>
            </w:tcBorders>
          </w:tcPr>
          <w:p w14:paraId="2069EF2F" w14:textId="77777777" w:rsidR="00526FE9" w:rsidRPr="008762D1" w:rsidRDefault="00526FE9" w:rsidP="009817E0">
            <w:pPr>
              <w:jc w:val="right"/>
              <w:rPr>
                <w:rFonts w:ascii="ITC Avant Garde" w:hAnsi="ITC Avant Garde"/>
                <w:color w:val="000000" w:themeColor="text1"/>
                <w:sz w:val="20"/>
                <w:szCs w:val="20"/>
              </w:rPr>
            </w:pPr>
          </w:p>
        </w:tc>
        <w:tc>
          <w:tcPr>
            <w:tcW w:w="770" w:type="dxa"/>
            <w:hideMark/>
          </w:tcPr>
          <w:p w14:paraId="1B098FFB"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4</w:t>
            </w:r>
          </w:p>
        </w:tc>
        <w:tc>
          <w:tcPr>
            <w:tcW w:w="8376" w:type="dxa"/>
          </w:tcPr>
          <w:p w14:paraId="6E393DE0" w14:textId="22481A54"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Fecha de corte de facturación.</w:t>
            </w:r>
            <w:r w:rsidR="009817E0" w:rsidRPr="008762D1">
              <w:rPr>
                <w:rFonts w:ascii="ITC Avant Garde" w:hAnsi="ITC Avant Garde"/>
                <w:color w:val="000000" w:themeColor="text1"/>
                <w:sz w:val="20"/>
                <w:szCs w:val="20"/>
              </w:rPr>
              <w:t xml:space="preserve"> Fecha del consumo más reciente</w:t>
            </w:r>
          </w:p>
        </w:tc>
      </w:tr>
      <w:tr w:rsidR="008762D1" w:rsidRPr="008762D1" w14:paraId="35E543B7" w14:textId="77777777" w:rsidTr="00664EC0">
        <w:trPr>
          <w:trHeight w:val="233"/>
          <w:tblHeader/>
          <w:jc w:val="center"/>
        </w:trPr>
        <w:tc>
          <w:tcPr>
            <w:tcW w:w="876" w:type="dxa"/>
            <w:tcBorders>
              <w:top w:val="nil"/>
              <w:bottom w:val="nil"/>
            </w:tcBorders>
          </w:tcPr>
          <w:p w14:paraId="31A23323" w14:textId="77777777" w:rsidR="00526FE9" w:rsidRPr="008762D1" w:rsidRDefault="00526FE9" w:rsidP="009817E0">
            <w:pPr>
              <w:jc w:val="right"/>
              <w:rPr>
                <w:rFonts w:ascii="ITC Avant Garde" w:hAnsi="ITC Avant Garde"/>
                <w:color w:val="000000" w:themeColor="text1"/>
                <w:sz w:val="20"/>
                <w:szCs w:val="20"/>
              </w:rPr>
            </w:pPr>
          </w:p>
        </w:tc>
        <w:tc>
          <w:tcPr>
            <w:tcW w:w="770" w:type="dxa"/>
            <w:hideMark/>
          </w:tcPr>
          <w:p w14:paraId="3690A360"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5</w:t>
            </w:r>
          </w:p>
        </w:tc>
        <w:tc>
          <w:tcPr>
            <w:tcW w:w="8376" w:type="dxa"/>
          </w:tcPr>
          <w:p w14:paraId="3C26C1CA" w14:textId="44E09914"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Número total de lla</w:t>
            </w:r>
            <w:r w:rsidR="009817E0" w:rsidRPr="008762D1">
              <w:rPr>
                <w:rFonts w:ascii="ITC Avant Garde" w:hAnsi="ITC Avant Garde"/>
                <w:color w:val="000000" w:themeColor="text1"/>
                <w:sz w:val="20"/>
                <w:szCs w:val="20"/>
              </w:rPr>
              <w:t>madas (Incluye todos los tipos)</w:t>
            </w:r>
          </w:p>
        </w:tc>
      </w:tr>
      <w:tr w:rsidR="008762D1" w:rsidRPr="008762D1" w14:paraId="4A7ECB6C" w14:textId="77777777" w:rsidTr="00664EC0">
        <w:trPr>
          <w:trHeight w:val="233"/>
          <w:tblHeader/>
          <w:jc w:val="center"/>
        </w:trPr>
        <w:tc>
          <w:tcPr>
            <w:tcW w:w="876" w:type="dxa"/>
            <w:tcBorders>
              <w:top w:val="nil"/>
              <w:bottom w:val="nil"/>
            </w:tcBorders>
          </w:tcPr>
          <w:p w14:paraId="37639B72" w14:textId="77777777" w:rsidR="00526FE9" w:rsidRPr="008762D1" w:rsidRDefault="00526FE9" w:rsidP="009817E0">
            <w:pPr>
              <w:jc w:val="right"/>
              <w:rPr>
                <w:rFonts w:ascii="ITC Avant Garde" w:hAnsi="ITC Avant Garde"/>
                <w:color w:val="000000" w:themeColor="text1"/>
                <w:sz w:val="20"/>
                <w:szCs w:val="20"/>
              </w:rPr>
            </w:pPr>
          </w:p>
        </w:tc>
        <w:tc>
          <w:tcPr>
            <w:tcW w:w="770" w:type="dxa"/>
            <w:hideMark/>
          </w:tcPr>
          <w:p w14:paraId="034F47B3"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6</w:t>
            </w:r>
          </w:p>
        </w:tc>
        <w:tc>
          <w:tcPr>
            <w:tcW w:w="8376" w:type="dxa"/>
          </w:tcPr>
          <w:p w14:paraId="6E298922" w14:textId="53EEAF28"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Número total de minutos (Incluye todos los tipos) con</w:t>
            </w:r>
            <w:r w:rsidR="009817E0" w:rsidRPr="008762D1">
              <w:rPr>
                <w:rFonts w:ascii="ITC Avant Garde" w:hAnsi="ITC Avant Garde"/>
                <w:color w:val="000000" w:themeColor="text1"/>
                <w:sz w:val="20"/>
                <w:szCs w:val="20"/>
              </w:rPr>
              <w:t xml:space="preserve"> dos decimales</w:t>
            </w:r>
          </w:p>
        </w:tc>
      </w:tr>
      <w:tr w:rsidR="008762D1" w:rsidRPr="008762D1" w14:paraId="050C0A8A" w14:textId="77777777" w:rsidTr="00664EC0">
        <w:trPr>
          <w:trHeight w:val="233"/>
          <w:tblHeader/>
          <w:jc w:val="center"/>
        </w:trPr>
        <w:tc>
          <w:tcPr>
            <w:tcW w:w="876" w:type="dxa"/>
            <w:tcBorders>
              <w:top w:val="nil"/>
              <w:bottom w:val="nil"/>
            </w:tcBorders>
          </w:tcPr>
          <w:p w14:paraId="7D4EC1A0" w14:textId="77777777" w:rsidR="00526FE9" w:rsidRPr="008762D1" w:rsidRDefault="00526FE9" w:rsidP="009817E0">
            <w:pPr>
              <w:jc w:val="right"/>
              <w:rPr>
                <w:rFonts w:ascii="ITC Avant Garde" w:hAnsi="ITC Avant Garde"/>
                <w:color w:val="000000" w:themeColor="text1"/>
                <w:sz w:val="20"/>
                <w:szCs w:val="20"/>
              </w:rPr>
            </w:pPr>
          </w:p>
        </w:tc>
        <w:tc>
          <w:tcPr>
            <w:tcW w:w="770" w:type="dxa"/>
            <w:hideMark/>
          </w:tcPr>
          <w:p w14:paraId="51671DB2"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7</w:t>
            </w:r>
          </w:p>
        </w:tc>
        <w:tc>
          <w:tcPr>
            <w:tcW w:w="8376" w:type="dxa"/>
            <w:hideMark/>
          </w:tcPr>
          <w:p w14:paraId="7BEB1831" w14:textId="77777777"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Número total de registros que contiene el archivo sin contar </w:t>
            </w:r>
            <w:proofErr w:type="spellStart"/>
            <w:r w:rsidRPr="008762D1">
              <w:rPr>
                <w:rFonts w:ascii="ITC Avant Garde" w:hAnsi="ITC Avant Garde"/>
                <w:color w:val="000000" w:themeColor="text1"/>
                <w:sz w:val="20"/>
                <w:szCs w:val="20"/>
              </w:rPr>
              <w:t>Header</w:t>
            </w:r>
            <w:proofErr w:type="spellEnd"/>
            <w:r w:rsidRPr="008762D1">
              <w:rPr>
                <w:rFonts w:ascii="ITC Avant Garde" w:hAnsi="ITC Avant Garde"/>
                <w:color w:val="000000" w:themeColor="text1"/>
                <w:sz w:val="20"/>
                <w:szCs w:val="20"/>
              </w:rPr>
              <w:t xml:space="preserve"> ni </w:t>
            </w:r>
            <w:proofErr w:type="spellStart"/>
            <w:r w:rsidRPr="008762D1">
              <w:rPr>
                <w:rFonts w:ascii="ITC Avant Garde" w:hAnsi="ITC Avant Garde"/>
                <w:color w:val="000000" w:themeColor="text1"/>
                <w:sz w:val="20"/>
                <w:szCs w:val="20"/>
              </w:rPr>
              <w:t>Trailer</w:t>
            </w:r>
            <w:proofErr w:type="spellEnd"/>
          </w:p>
        </w:tc>
      </w:tr>
      <w:tr w:rsidR="008762D1" w:rsidRPr="008762D1" w14:paraId="6F0E1C7F" w14:textId="77777777" w:rsidTr="00664EC0">
        <w:trPr>
          <w:trHeight w:val="245"/>
          <w:tblHeader/>
          <w:jc w:val="center"/>
        </w:trPr>
        <w:tc>
          <w:tcPr>
            <w:tcW w:w="876" w:type="dxa"/>
            <w:tcBorders>
              <w:top w:val="nil"/>
            </w:tcBorders>
          </w:tcPr>
          <w:p w14:paraId="39FCF1A0" w14:textId="77777777" w:rsidR="00526FE9" w:rsidRPr="008762D1" w:rsidRDefault="00526FE9" w:rsidP="009817E0">
            <w:pPr>
              <w:jc w:val="right"/>
              <w:rPr>
                <w:rFonts w:ascii="ITC Avant Garde" w:hAnsi="ITC Avant Garde"/>
                <w:color w:val="000000" w:themeColor="text1"/>
                <w:sz w:val="20"/>
                <w:szCs w:val="20"/>
              </w:rPr>
            </w:pPr>
          </w:p>
        </w:tc>
        <w:tc>
          <w:tcPr>
            <w:tcW w:w="770" w:type="dxa"/>
            <w:hideMark/>
          </w:tcPr>
          <w:p w14:paraId="37CE6862" w14:textId="77777777" w:rsidR="00526FE9" w:rsidRPr="008762D1" w:rsidRDefault="00526FE9" w:rsidP="009817E0">
            <w:pPr>
              <w:jc w:val="center"/>
              <w:rPr>
                <w:rFonts w:ascii="ITC Avant Garde" w:hAnsi="ITC Avant Garde"/>
                <w:color w:val="000000" w:themeColor="text1"/>
                <w:sz w:val="20"/>
                <w:szCs w:val="20"/>
              </w:rPr>
            </w:pPr>
            <w:r w:rsidRPr="008762D1">
              <w:rPr>
                <w:rFonts w:ascii="ITC Avant Garde" w:hAnsi="ITC Avant Garde"/>
                <w:color w:val="000000" w:themeColor="text1"/>
                <w:sz w:val="20"/>
                <w:szCs w:val="20"/>
              </w:rPr>
              <w:t>8</w:t>
            </w:r>
          </w:p>
        </w:tc>
        <w:tc>
          <w:tcPr>
            <w:tcW w:w="8376" w:type="dxa"/>
          </w:tcPr>
          <w:p w14:paraId="54F8FCFB" w14:textId="6B7B6EBC" w:rsidR="00526FE9" w:rsidRPr="008762D1" w:rsidRDefault="00526FE9" w:rsidP="009817E0">
            <w:pPr>
              <w:rPr>
                <w:rFonts w:ascii="ITC Avant Garde" w:hAnsi="ITC Avant Garde"/>
                <w:color w:val="000000" w:themeColor="text1"/>
                <w:sz w:val="20"/>
                <w:szCs w:val="20"/>
              </w:rPr>
            </w:pPr>
            <w:r w:rsidRPr="008762D1">
              <w:rPr>
                <w:rFonts w:ascii="ITC Avant Garde" w:hAnsi="ITC Avant Garde"/>
                <w:color w:val="000000" w:themeColor="text1"/>
                <w:sz w:val="20"/>
                <w:szCs w:val="20"/>
              </w:rPr>
              <w:t>Caracteres en blanco para completar la longitu</w:t>
            </w:r>
            <w:r w:rsidR="009817E0" w:rsidRPr="008762D1">
              <w:rPr>
                <w:rFonts w:ascii="ITC Avant Garde" w:hAnsi="ITC Avant Garde"/>
                <w:color w:val="000000" w:themeColor="text1"/>
                <w:sz w:val="20"/>
                <w:szCs w:val="20"/>
              </w:rPr>
              <w:t>d del registro a 100 posiciones</w:t>
            </w:r>
          </w:p>
        </w:tc>
      </w:tr>
    </w:tbl>
    <w:p w14:paraId="0C8362DA" w14:textId="77777777" w:rsidR="000F0B9F" w:rsidRPr="008762D1" w:rsidRDefault="00526FE9" w:rsidP="000F0B9F">
      <w:pPr>
        <w:spacing w:before="240"/>
        <w:ind w:left="-284"/>
        <w:rPr>
          <w:rFonts w:ascii="ITC Avant Garde" w:hAnsi="ITC Avant Garde"/>
          <w:b/>
          <w:color w:val="000000" w:themeColor="text1"/>
        </w:rPr>
      </w:pPr>
      <w:r w:rsidRPr="008762D1">
        <w:rPr>
          <w:rFonts w:ascii="ITC Avant Garde" w:hAnsi="ITC Avant Garde"/>
          <w:b/>
          <w:color w:val="000000" w:themeColor="text1"/>
        </w:rPr>
        <w:t>Notas:</w:t>
      </w:r>
    </w:p>
    <w:p w14:paraId="25EF9D7B" w14:textId="77777777" w:rsidR="000F0B9F" w:rsidRPr="008762D1" w:rsidRDefault="00526FE9" w:rsidP="000F0B9F">
      <w:pPr>
        <w:numPr>
          <w:ilvl w:val="0"/>
          <w:numId w:val="68"/>
        </w:numPr>
        <w:spacing w:before="240" w:after="0" w:line="240" w:lineRule="auto"/>
        <w:rPr>
          <w:rFonts w:ascii="ITC Avant Garde" w:hAnsi="ITC Avant Garde"/>
          <w:b/>
          <w:color w:val="000000" w:themeColor="text1"/>
        </w:rPr>
      </w:pPr>
      <w:r w:rsidRPr="008762D1">
        <w:rPr>
          <w:rFonts w:ascii="ITC Avant Garde" w:hAnsi="ITC Avant Garde"/>
          <w:b/>
          <w:color w:val="000000" w:themeColor="text1"/>
        </w:rPr>
        <w:t>Solamente uno de los campos "Serie origen" y "Serie Destino" contendrá información y depende del tipo de interconexión, así tenemos que en:</w:t>
      </w:r>
    </w:p>
    <w:p w14:paraId="67C73213" w14:textId="77777777" w:rsidR="000F0B9F" w:rsidRPr="008762D1" w:rsidRDefault="00526FE9" w:rsidP="000F0B9F">
      <w:pPr>
        <w:numPr>
          <w:ilvl w:val="0"/>
          <w:numId w:val="69"/>
        </w:numPr>
        <w:spacing w:before="240" w:after="0" w:line="240" w:lineRule="auto"/>
        <w:rPr>
          <w:rFonts w:ascii="ITC Avant Garde" w:hAnsi="ITC Avant Garde"/>
          <w:b/>
          <w:color w:val="000000" w:themeColor="text1"/>
        </w:rPr>
      </w:pPr>
      <w:r w:rsidRPr="008762D1">
        <w:rPr>
          <w:rFonts w:ascii="ITC Avant Garde" w:hAnsi="ITC Avant Garde"/>
          <w:b/>
          <w:color w:val="000000" w:themeColor="text1"/>
        </w:rPr>
        <w:t xml:space="preserve">Interconexión de Origen: Se </w:t>
      </w:r>
      <w:proofErr w:type="spellStart"/>
      <w:r w:rsidRPr="008762D1">
        <w:rPr>
          <w:rFonts w:ascii="ITC Avant Garde" w:hAnsi="ITC Avant Garde"/>
          <w:b/>
          <w:color w:val="000000" w:themeColor="text1"/>
        </w:rPr>
        <w:t>sumarizará</w:t>
      </w:r>
      <w:proofErr w:type="spellEnd"/>
      <w:r w:rsidRPr="008762D1">
        <w:rPr>
          <w:rFonts w:ascii="ITC Avant Garde" w:hAnsi="ITC Avant Garde"/>
          <w:b/>
          <w:color w:val="000000" w:themeColor="text1"/>
        </w:rPr>
        <w:t xml:space="preserve"> por serie origen o del número de A.</w:t>
      </w:r>
    </w:p>
    <w:p w14:paraId="1E1D70C0" w14:textId="77777777" w:rsidR="000F0B9F" w:rsidRPr="008762D1" w:rsidRDefault="00526FE9" w:rsidP="009817E0">
      <w:pPr>
        <w:numPr>
          <w:ilvl w:val="0"/>
          <w:numId w:val="69"/>
        </w:numPr>
        <w:spacing w:after="0" w:line="240" w:lineRule="auto"/>
        <w:rPr>
          <w:rFonts w:ascii="ITC Avant Garde" w:hAnsi="ITC Avant Garde"/>
          <w:b/>
          <w:color w:val="000000" w:themeColor="text1"/>
        </w:rPr>
      </w:pPr>
      <w:r w:rsidRPr="008762D1">
        <w:rPr>
          <w:rFonts w:ascii="ITC Avant Garde" w:hAnsi="ITC Avant Garde"/>
          <w:b/>
          <w:color w:val="000000" w:themeColor="text1"/>
        </w:rPr>
        <w:t xml:space="preserve">Interconexión de Terminación: Se </w:t>
      </w:r>
      <w:proofErr w:type="spellStart"/>
      <w:r w:rsidRPr="008762D1">
        <w:rPr>
          <w:rFonts w:ascii="ITC Avant Garde" w:hAnsi="ITC Avant Garde"/>
          <w:b/>
          <w:color w:val="000000" w:themeColor="text1"/>
        </w:rPr>
        <w:t>sumarizará</w:t>
      </w:r>
      <w:proofErr w:type="spellEnd"/>
      <w:r w:rsidRPr="008762D1">
        <w:rPr>
          <w:rFonts w:ascii="ITC Avant Garde" w:hAnsi="ITC Avant Garde"/>
          <w:b/>
          <w:color w:val="000000" w:themeColor="text1"/>
        </w:rPr>
        <w:t xml:space="preserve"> por serie destino o del número B.</w:t>
      </w:r>
    </w:p>
    <w:p w14:paraId="122E64A4" w14:textId="77777777" w:rsidR="000F0B9F" w:rsidRPr="008762D1" w:rsidRDefault="00526FE9" w:rsidP="009817E0">
      <w:pPr>
        <w:numPr>
          <w:ilvl w:val="0"/>
          <w:numId w:val="69"/>
        </w:numPr>
        <w:spacing w:after="0" w:line="240" w:lineRule="auto"/>
        <w:rPr>
          <w:rFonts w:ascii="ITC Avant Garde" w:hAnsi="ITC Avant Garde"/>
          <w:b/>
          <w:color w:val="000000" w:themeColor="text1"/>
        </w:rPr>
      </w:pPr>
      <w:r w:rsidRPr="008762D1">
        <w:rPr>
          <w:rFonts w:ascii="ITC Avant Garde" w:hAnsi="ITC Avant Garde"/>
          <w:b/>
          <w:color w:val="000000" w:themeColor="text1"/>
        </w:rPr>
        <w:t xml:space="preserve">Interconexión Tránsito: Se </w:t>
      </w:r>
      <w:proofErr w:type="spellStart"/>
      <w:r w:rsidRPr="008762D1">
        <w:rPr>
          <w:rFonts w:ascii="ITC Avant Garde" w:hAnsi="ITC Avant Garde"/>
          <w:b/>
          <w:color w:val="000000" w:themeColor="text1"/>
        </w:rPr>
        <w:t>sumarizará</w:t>
      </w:r>
      <w:proofErr w:type="spellEnd"/>
      <w:r w:rsidRPr="008762D1">
        <w:rPr>
          <w:rFonts w:ascii="ITC Avant Garde" w:hAnsi="ITC Avant Garde"/>
          <w:b/>
          <w:color w:val="000000" w:themeColor="text1"/>
        </w:rPr>
        <w:t xml:space="preserve"> por serie destino o del número B.</w:t>
      </w:r>
    </w:p>
    <w:p w14:paraId="24BFDE9A" w14:textId="77777777" w:rsidR="000F0B9F" w:rsidRPr="008762D1" w:rsidRDefault="00526FE9" w:rsidP="000F0B9F">
      <w:pPr>
        <w:numPr>
          <w:ilvl w:val="0"/>
          <w:numId w:val="68"/>
        </w:numPr>
        <w:spacing w:before="240" w:after="0" w:line="240" w:lineRule="auto"/>
        <w:rPr>
          <w:rFonts w:ascii="ITC Avant Garde" w:hAnsi="ITC Avant Garde"/>
          <w:b/>
          <w:color w:val="000000" w:themeColor="text1"/>
        </w:rPr>
      </w:pPr>
      <w:r w:rsidRPr="008762D1">
        <w:rPr>
          <w:rFonts w:ascii="ITC Avant Garde" w:hAnsi="ITC Avant Garde"/>
          <w:b/>
          <w:color w:val="000000" w:themeColor="text1"/>
        </w:rPr>
        <w:t>Los números portados serán facturados en la serie 0000000 según corresponda en “Serie origen” o “Serie destino”.</w:t>
      </w:r>
    </w:p>
    <w:p w14:paraId="7737EF69" w14:textId="18D7AACB" w:rsidR="00526FE9" w:rsidRPr="008762D1" w:rsidRDefault="00526FE9" w:rsidP="000F0B9F">
      <w:pPr>
        <w:spacing w:before="240"/>
        <w:rPr>
          <w:rFonts w:ascii="ITC Avant Garde" w:hAnsi="ITC Avant Garde"/>
          <w:b/>
          <w:color w:val="000000" w:themeColor="text1"/>
        </w:rPr>
        <w:sectPr w:rsidR="00526FE9" w:rsidRPr="008762D1">
          <w:pgSz w:w="15840" w:h="12240" w:orient="landscape"/>
          <w:pgMar w:top="1134" w:right="1440" w:bottom="624" w:left="1440" w:header="720" w:footer="720" w:gutter="0"/>
          <w:pgNumType w:start="1"/>
          <w:cols w:space="720"/>
        </w:sectPr>
      </w:pPr>
    </w:p>
    <w:p w14:paraId="37E88814" w14:textId="77777777" w:rsidR="00526FE9" w:rsidRPr="008762D1" w:rsidRDefault="00526FE9" w:rsidP="009817E0">
      <w:pPr>
        <w:pStyle w:val="Textoindependiente"/>
        <w:tabs>
          <w:tab w:val="left" w:pos="360"/>
        </w:tabs>
        <w:spacing w:after="0"/>
        <w:jc w:val="center"/>
        <w:rPr>
          <w:rFonts w:ascii="ITC Avant Garde" w:hAnsi="ITC Avant Garde"/>
          <w:b/>
          <w:color w:val="000000" w:themeColor="text1"/>
        </w:rPr>
      </w:pPr>
      <w:r w:rsidRPr="008762D1">
        <w:rPr>
          <w:rFonts w:ascii="ITC Avant Garde" w:hAnsi="ITC Avant Garde"/>
          <w:b/>
          <w:color w:val="000000" w:themeColor="text1"/>
        </w:rPr>
        <w:lastRenderedPageBreak/>
        <w:t>ANEXO 2</w:t>
      </w:r>
    </w:p>
    <w:p w14:paraId="00A33357" w14:textId="0FF536AC" w:rsidR="009817E0" w:rsidRPr="008762D1" w:rsidRDefault="009817E0" w:rsidP="009817E0">
      <w:pPr>
        <w:pStyle w:val="Textoindependiente"/>
        <w:tabs>
          <w:tab w:val="left" w:pos="360"/>
        </w:tabs>
        <w:spacing w:after="0"/>
        <w:jc w:val="center"/>
        <w:rPr>
          <w:rFonts w:ascii="ITC Avant Garde" w:hAnsi="ITC Avant Garde"/>
          <w:b/>
          <w:color w:val="000000" w:themeColor="text1"/>
        </w:rPr>
      </w:pPr>
      <w:r w:rsidRPr="008762D1">
        <w:rPr>
          <w:rFonts w:ascii="ITC Avant Garde" w:hAnsi="ITC Avant Garde"/>
          <w:b/>
          <w:color w:val="000000" w:themeColor="text1"/>
        </w:rPr>
        <w:t>LAYOUT PARA INTERCAMBIO DE REGISTROS</w:t>
      </w:r>
    </w:p>
    <w:tbl>
      <w:tblPr>
        <w:tblStyle w:val="Cuadrculadetablaclara"/>
        <w:tblW w:w="0" w:type="auto"/>
        <w:jc w:val="center"/>
        <w:tblLayout w:type="fixed"/>
        <w:tblLook w:val="04A0" w:firstRow="1" w:lastRow="0" w:firstColumn="1" w:lastColumn="0" w:noHBand="0" w:noVBand="1"/>
        <w:tblCaption w:val="Tabla"/>
        <w:tblDescription w:val="LAYOUT PARA INTERCAMBIO DE REGISTROS"/>
      </w:tblPr>
      <w:tblGrid>
        <w:gridCol w:w="562"/>
        <w:gridCol w:w="2020"/>
        <w:gridCol w:w="709"/>
        <w:gridCol w:w="1382"/>
        <w:gridCol w:w="1134"/>
        <w:gridCol w:w="6951"/>
      </w:tblGrid>
      <w:tr w:rsidR="008762D1" w:rsidRPr="008762D1" w14:paraId="1CF9DCCC" w14:textId="77777777" w:rsidTr="00664EC0">
        <w:trPr>
          <w:trHeight w:val="262"/>
          <w:tblHeader/>
          <w:jc w:val="center"/>
        </w:trPr>
        <w:tc>
          <w:tcPr>
            <w:tcW w:w="562" w:type="dxa"/>
            <w:hideMark/>
          </w:tcPr>
          <w:p w14:paraId="0CB3009B" w14:textId="77777777" w:rsidR="00526FE9" w:rsidRPr="008762D1" w:rsidRDefault="00526FE9" w:rsidP="009817E0">
            <w:pPr>
              <w:jc w:val="center"/>
              <w:rPr>
                <w:rFonts w:ascii="ITC Avant Garde" w:hAnsi="ITC Avant Garde"/>
                <w:b/>
                <w:color w:val="000000" w:themeColor="text1"/>
                <w:sz w:val="18"/>
              </w:rPr>
            </w:pPr>
            <w:r w:rsidRPr="008762D1">
              <w:rPr>
                <w:rFonts w:ascii="ITC Avant Garde" w:hAnsi="ITC Avant Garde"/>
                <w:b/>
                <w:color w:val="000000" w:themeColor="text1"/>
                <w:sz w:val="18"/>
              </w:rPr>
              <w:t>No</w:t>
            </w:r>
          </w:p>
        </w:tc>
        <w:tc>
          <w:tcPr>
            <w:tcW w:w="2020" w:type="dxa"/>
            <w:hideMark/>
          </w:tcPr>
          <w:p w14:paraId="4A2AEAB6" w14:textId="77777777" w:rsidR="00526FE9" w:rsidRPr="008762D1" w:rsidRDefault="00526FE9" w:rsidP="009817E0">
            <w:pPr>
              <w:jc w:val="center"/>
              <w:rPr>
                <w:rFonts w:ascii="ITC Avant Garde" w:hAnsi="ITC Avant Garde"/>
                <w:b/>
                <w:color w:val="000000" w:themeColor="text1"/>
                <w:sz w:val="18"/>
              </w:rPr>
            </w:pPr>
            <w:r w:rsidRPr="008762D1">
              <w:rPr>
                <w:rFonts w:ascii="ITC Avant Garde" w:hAnsi="ITC Avant Garde"/>
                <w:b/>
                <w:color w:val="000000" w:themeColor="text1"/>
                <w:sz w:val="18"/>
              </w:rPr>
              <w:t xml:space="preserve"> NOMBRE</w:t>
            </w:r>
          </w:p>
        </w:tc>
        <w:tc>
          <w:tcPr>
            <w:tcW w:w="709" w:type="dxa"/>
            <w:hideMark/>
          </w:tcPr>
          <w:p w14:paraId="6B7B2EFE" w14:textId="77777777" w:rsidR="00526FE9" w:rsidRPr="008762D1" w:rsidRDefault="00526FE9" w:rsidP="009817E0">
            <w:pPr>
              <w:jc w:val="center"/>
              <w:rPr>
                <w:rFonts w:ascii="ITC Avant Garde" w:hAnsi="ITC Avant Garde"/>
                <w:b/>
                <w:color w:val="000000" w:themeColor="text1"/>
                <w:sz w:val="18"/>
              </w:rPr>
            </w:pPr>
            <w:r w:rsidRPr="008762D1">
              <w:rPr>
                <w:rFonts w:ascii="ITC Avant Garde" w:hAnsi="ITC Avant Garde"/>
                <w:b/>
                <w:color w:val="000000" w:themeColor="text1"/>
                <w:sz w:val="18"/>
              </w:rPr>
              <w:t xml:space="preserve"> TIPO</w:t>
            </w:r>
          </w:p>
        </w:tc>
        <w:tc>
          <w:tcPr>
            <w:tcW w:w="1382" w:type="dxa"/>
            <w:hideMark/>
          </w:tcPr>
          <w:p w14:paraId="6FC6AF2C" w14:textId="77777777" w:rsidR="00526FE9" w:rsidRPr="008762D1" w:rsidRDefault="00526FE9" w:rsidP="009817E0">
            <w:pPr>
              <w:jc w:val="center"/>
              <w:rPr>
                <w:rFonts w:ascii="ITC Avant Garde" w:hAnsi="ITC Avant Garde"/>
                <w:b/>
                <w:color w:val="000000" w:themeColor="text1"/>
                <w:sz w:val="18"/>
              </w:rPr>
            </w:pPr>
            <w:r w:rsidRPr="008762D1">
              <w:rPr>
                <w:rFonts w:ascii="ITC Avant Garde" w:hAnsi="ITC Avant Garde"/>
                <w:b/>
                <w:color w:val="000000" w:themeColor="text1"/>
                <w:sz w:val="18"/>
              </w:rPr>
              <w:t>FORMATO</w:t>
            </w:r>
          </w:p>
        </w:tc>
        <w:tc>
          <w:tcPr>
            <w:tcW w:w="1134" w:type="dxa"/>
            <w:hideMark/>
          </w:tcPr>
          <w:p w14:paraId="343B1037" w14:textId="77777777" w:rsidR="00526FE9" w:rsidRPr="008762D1" w:rsidRDefault="00526FE9" w:rsidP="009817E0">
            <w:pPr>
              <w:jc w:val="center"/>
              <w:rPr>
                <w:rFonts w:ascii="ITC Avant Garde" w:hAnsi="ITC Avant Garde"/>
                <w:b/>
                <w:color w:val="000000" w:themeColor="text1"/>
                <w:sz w:val="18"/>
              </w:rPr>
            </w:pPr>
            <w:r w:rsidRPr="008762D1">
              <w:rPr>
                <w:rFonts w:ascii="ITC Avant Garde" w:hAnsi="ITC Avant Garde"/>
                <w:b/>
                <w:color w:val="000000" w:themeColor="text1"/>
                <w:sz w:val="18"/>
              </w:rPr>
              <w:t>LONGITUD</w:t>
            </w:r>
          </w:p>
        </w:tc>
        <w:tc>
          <w:tcPr>
            <w:tcW w:w="6951" w:type="dxa"/>
            <w:hideMark/>
          </w:tcPr>
          <w:p w14:paraId="58E9D0BE" w14:textId="68697B55" w:rsidR="00526FE9" w:rsidRPr="008762D1" w:rsidRDefault="00526FE9" w:rsidP="009817E0">
            <w:pPr>
              <w:jc w:val="center"/>
              <w:rPr>
                <w:rFonts w:ascii="ITC Avant Garde" w:hAnsi="ITC Avant Garde"/>
                <w:b/>
                <w:color w:val="000000" w:themeColor="text1"/>
                <w:sz w:val="18"/>
              </w:rPr>
            </w:pPr>
            <w:r w:rsidRPr="008762D1">
              <w:rPr>
                <w:rFonts w:ascii="ITC Avant Garde" w:hAnsi="ITC Avant Garde"/>
                <w:b/>
                <w:color w:val="000000" w:themeColor="text1"/>
                <w:sz w:val="18"/>
              </w:rPr>
              <w:t>DESCRIPCIÓN</w:t>
            </w:r>
          </w:p>
        </w:tc>
      </w:tr>
      <w:tr w:rsidR="008762D1" w:rsidRPr="008762D1" w14:paraId="4789198B" w14:textId="77777777" w:rsidTr="00664EC0">
        <w:trPr>
          <w:trHeight w:val="250"/>
          <w:jc w:val="center"/>
        </w:trPr>
        <w:tc>
          <w:tcPr>
            <w:tcW w:w="562" w:type="dxa"/>
          </w:tcPr>
          <w:p w14:paraId="3898346F" w14:textId="77777777" w:rsidR="00526FE9" w:rsidRPr="008762D1" w:rsidRDefault="00526FE9" w:rsidP="009817E0">
            <w:pPr>
              <w:jc w:val="center"/>
              <w:rPr>
                <w:rFonts w:ascii="ITC Avant Garde" w:hAnsi="ITC Avant Garde"/>
                <w:color w:val="000000" w:themeColor="text1"/>
                <w:sz w:val="18"/>
              </w:rPr>
            </w:pPr>
          </w:p>
        </w:tc>
        <w:tc>
          <w:tcPr>
            <w:tcW w:w="2020" w:type="dxa"/>
            <w:hideMark/>
          </w:tcPr>
          <w:p w14:paraId="42205440" w14:textId="77777777" w:rsidR="00526FE9" w:rsidRPr="008762D1" w:rsidRDefault="00526FE9" w:rsidP="009817E0">
            <w:pPr>
              <w:rPr>
                <w:rFonts w:ascii="ITC Avant Garde" w:hAnsi="ITC Avant Garde"/>
                <w:b/>
                <w:color w:val="000000" w:themeColor="text1"/>
                <w:sz w:val="18"/>
              </w:rPr>
            </w:pPr>
            <w:r w:rsidRPr="008762D1">
              <w:rPr>
                <w:rFonts w:ascii="ITC Avant Garde" w:hAnsi="ITC Avant Garde"/>
                <w:b/>
                <w:color w:val="000000" w:themeColor="text1"/>
                <w:sz w:val="18"/>
              </w:rPr>
              <w:t>REGISTRO HEADER</w:t>
            </w:r>
          </w:p>
        </w:tc>
        <w:tc>
          <w:tcPr>
            <w:tcW w:w="709" w:type="dxa"/>
          </w:tcPr>
          <w:p w14:paraId="6D4CF17D" w14:textId="77777777" w:rsidR="00526FE9" w:rsidRPr="008762D1" w:rsidRDefault="00526FE9" w:rsidP="009817E0">
            <w:pPr>
              <w:jc w:val="right"/>
              <w:rPr>
                <w:rFonts w:ascii="ITC Avant Garde" w:hAnsi="ITC Avant Garde"/>
                <w:color w:val="000000" w:themeColor="text1"/>
                <w:sz w:val="18"/>
              </w:rPr>
            </w:pPr>
          </w:p>
        </w:tc>
        <w:tc>
          <w:tcPr>
            <w:tcW w:w="1382" w:type="dxa"/>
          </w:tcPr>
          <w:p w14:paraId="3BD94B3C" w14:textId="77777777" w:rsidR="00526FE9" w:rsidRPr="008762D1" w:rsidRDefault="00526FE9" w:rsidP="009817E0">
            <w:pPr>
              <w:jc w:val="right"/>
              <w:rPr>
                <w:rFonts w:ascii="ITC Avant Garde" w:hAnsi="ITC Avant Garde"/>
                <w:color w:val="000000" w:themeColor="text1"/>
                <w:sz w:val="18"/>
              </w:rPr>
            </w:pPr>
          </w:p>
        </w:tc>
        <w:tc>
          <w:tcPr>
            <w:tcW w:w="1134" w:type="dxa"/>
            <w:hideMark/>
          </w:tcPr>
          <w:p w14:paraId="1A281C55"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100</w:t>
            </w:r>
          </w:p>
        </w:tc>
        <w:tc>
          <w:tcPr>
            <w:tcW w:w="6951" w:type="dxa"/>
          </w:tcPr>
          <w:p w14:paraId="0FD3B310" w14:textId="77777777" w:rsidR="00526FE9" w:rsidRPr="008762D1" w:rsidRDefault="00526FE9" w:rsidP="009817E0">
            <w:pPr>
              <w:jc w:val="right"/>
              <w:rPr>
                <w:rFonts w:ascii="ITC Avant Garde" w:hAnsi="ITC Avant Garde"/>
                <w:color w:val="000000" w:themeColor="text1"/>
                <w:sz w:val="18"/>
              </w:rPr>
            </w:pPr>
          </w:p>
        </w:tc>
      </w:tr>
      <w:tr w:rsidR="008762D1" w:rsidRPr="008762D1" w14:paraId="69B5B233" w14:textId="77777777" w:rsidTr="00664EC0">
        <w:trPr>
          <w:trHeight w:val="250"/>
          <w:jc w:val="center"/>
        </w:trPr>
        <w:tc>
          <w:tcPr>
            <w:tcW w:w="562" w:type="dxa"/>
            <w:hideMark/>
          </w:tcPr>
          <w:p w14:paraId="71A5D431"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w:t>
            </w:r>
          </w:p>
        </w:tc>
        <w:tc>
          <w:tcPr>
            <w:tcW w:w="2020" w:type="dxa"/>
            <w:hideMark/>
          </w:tcPr>
          <w:p w14:paraId="01CA4ED2"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Identificador de reg.</w:t>
            </w:r>
          </w:p>
        </w:tc>
        <w:tc>
          <w:tcPr>
            <w:tcW w:w="709" w:type="dxa"/>
            <w:hideMark/>
          </w:tcPr>
          <w:p w14:paraId="493E7ADF"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N</w:t>
            </w:r>
          </w:p>
        </w:tc>
        <w:tc>
          <w:tcPr>
            <w:tcW w:w="1382" w:type="dxa"/>
            <w:hideMark/>
          </w:tcPr>
          <w:p w14:paraId="7CFC99C6"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w:t>
            </w:r>
          </w:p>
        </w:tc>
        <w:tc>
          <w:tcPr>
            <w:tcW w:w="1134" w:type="dxa"/>
            <w:hideMark/>
          </w:tcPr>
          <w:p w14:paraId="01A42CD5"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w:t>
            </w:r>
          </w:p>
        </w:tc>
        <w:tc>
          <w:tcPr>
            <w:tcW w:w="6951" w:type="dxa"/>
            <w:hideMark/>
          </w:tcPr>
          <w:p w14:paraId="12588A13"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Identifica el tipo de registro que para el caso del “</w:t>
            </w:r>
            <w:proofErr w:type="spellStart"/>
            <w:r w:rsidRPr="008762D1">
              <w:rPr>
                <w:rFonts w:ascii="ITC Avant Garde" w:hAnsi="ITC Avant Garde"/>
                <w:color w:val="000000" w:themeColor="text1"/>
                <w:sz w:val="18"/>
              </w:rPr>
              <w:t>header</w:t>
            </w:r>
            <w:proofErr w:type="spellEnd"/>
            <w:r w:rsidRPr="008762D1">
              <w:rPr>
                <w:rFonts w:ascii="ITC Avant Garde" w:hAnsi="ITC Avant Garde"/>
                <w:color w:val="000000" w:themeColor="text1"/>
                <w:sz w:val="18"/>
              </w:rPr>
              <w:t>” el valor debe ser cero.</w:t>
            </w:r>
          </w:p>
        </w:tc>
      </w:tr>
      <w:tr w:rsidR="008762D1" w:rsidRPr="008762D1" w14:paraId="38B786E2" w14:textId="77777777" w:rsidTr="00664EC0">
        <w:trPr>
          <w:trHeight w:val="250"/>
          <w:jc w:val="center"/>
        </w:trPr>
        <w:tc>
          <w:tcPr>
            <w:tcW w:w="562" w:type="dxa"/>
            <w:hideMark/>
          </w:tcPr>
          <w:p w14:paraId="7A8235D0"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2</w:t>
            </w:r>
          </w:p>
        </w:tc>
        <w:tc>
          <w:tcPr>
            <w:tcW w:w="2020" w:type="dxa"/>
            <w:hideMark/>
          </w:tcPr>
          <w:p w14:paraId="705768A4"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Operador</w:t>
            </w:r>
          </w:p>
        </w:tc>
        <w:tc>
          <w:tcPr>
            <w:tcW w:w="709" w:type="dxa"/>
            <w:hideMark/>
          </w:tcPr>
          <w:p w14:paraId="645653FC"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N</w:t>
            </w:r>
          </w:p>
        </w:tc>
        <w:tc>
          <w:tcPr>
            <w:tcW w:w="1382" w:type="dxa"/>
            <w:hideMark/>
          </w:tcPr>
          <w:p w14:paraId="5EE0E6DA"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999</w:t>
            </w:r>
          </w:p>
        </w:tc>
        <w:tc>
          <w:tcPr>
            <w:tcW w:w="1134" w:type="dxa"/>
            <w:hideMark/>
          </w:tcPr>
          <w:p w14:paraId="75052025"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3</w:t>
            </w:r>
          </w:p>
        </w:tc>
        <w:tc>
          <w:tcPr>
            <w:tcW w:w="6951" w:type="dxa"/>
            <w:hideMark/>
          </w:tcPr>
          <w:p w14:paraId="60AF1B4F"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Clave (CIC) del operador que presenta los registros.</w:t>
            </w:r>
          </w:p>
        </w:tc>
      </w:tr>
      <w:tr w:rsidR="008762D1" w:rsidRPr="008762D1" w14:paraId="42FD236E" w14:textId="77777777" w:rsidTr="00664EC0">
        <w:trPr>
          <w:trHeight w:val="250"/>
          <w:jc w:val="center"/>
        </w:trPr>
        <w:tc>
          <w:tcPr>
            <w:tcW w:w="562" w:type="dxa"/>
            <w:hideMark/>
          </w:tcPr>
          <w:p w14:paraId="73BE5621"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3</w:t>
            </w:r>
          </w:p>
        </w:tc>
        <w:tc>
          <w:tcPr>
            <w:tcW w:w="2020" w:type="dxa"/>
            <w:hideMark/>
          </w:tcPr>
          <w:p w14:paraId="67FB1B82" w14:textId="77777777" w:rsidR="00526FE9" w:rsidRPr="008762D1" w:rsidRDefault="00526FE9" w:rsidP="009817E0">
            <w:pPr>
              <w:rPr>
                <w:rFonts w:ascii="ITC Avant Garde" w:hAnsi="ITC Avant Garde"/>
                <w:color w:val="000000" w:themeColor="text1"/>
                <w:sz w:val="18"/>
              </w:rPr>
            </w:pPr>
            <w:proofErr w:type="spellStart"/>
            <w:r w:rsidRPr="008762D1">
              <w:rPr>
                <w:rFonts w:ascii="ITC Avant Garde" w:hAnsi="ITC Avant Garde"/>
                <w:color w:val="000000" w:themeColor="text1"/>
                <w:sz w:val="18"/>
              </w:rPr>
              <w:t>Filler</w:t>
            </w:r>
            <w:proofErr w:type="spellEnd"/>
          </w:p>
        </w:tc>
        <w:tc>
          <w:tcPr>
            <w:tcW w:w="709" w:type="dxa"/>
            <w:hideMark/>
          </w:tcPr>
          <w:p w14:paraId="275B3D3E"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C</w:t>
            </w:r>
          </w:p>
        </w:tc>
        <w:tc>
          <w:tcPr>
            <w:tcW w:w="1382" w:type="dxa"/>
            <w:hideMark/>
          </w:tcPr>
          <w:p w14:paraId="72494664"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 xml:space="preserve"> </w:t>
            </w:r>
          </w:p>
        </w:tc>
        <w:tc>
          <w:tcPr>
            <w:tcW w:w="1134" w:type="dxa"/>
            <w:hideMark/>
          </w:tcPr>
          <w:p w14:paraId="001E667D"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96</w:t>
            </w:r>
          </w:p>
        </w:tc>
        <w:tc>
          <w:tcPr>
            <w:tcW w:w="6951" w:type="dxa"/>
            <w:hideMark/>
          </w:tcPr>
          <w:p w14:paraId="294E7C23"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Caracteres en blanco para completar la longitud del registro a 100 posiciones.</w:t>
            </w:r>
          </w:p>
        </w:tc>
      </w:tr>
      <w:tr w:rsidR="008762D1" w:rsidRPr="008762D1" w14:paraId="161F1AB3" w14:textId="77777777" w:rsidTr="00664EC0">
        <w:trPr>
          <w:trHeight w:val="250"/>
          <w:jc w:val="center"/>
        </w:trPr>
        <w:tc>
          <w:tcPr>
            <w:tcW w:w="562" w:type="dxa"/>
          </w:tcPr>
          <w:p w14:paraId="6BC4CBFF" w14:textId="77777777" w:rsidR="00526FE9" w:rsidRPr="008762D1" w:rsidRDefault="00526FE9" w:rsidP="009817E0">
            <w:pPr>
              <w:jc w:val="center"/>
              <w:rPr>
                <w:rFonts w:ascii="ITC Avant Garde" w:hAnsi="ITC Avant Garde"/>
                <w:color w:val="000000" w:themeColor="text1"/>
                <w:sz w:val="18"/>
              </w:rPr>
            </w:pPr>
          </w:p>
        </w:tc>
        <w:tc>
          <w:tcPr>
            <w:tcW w:w="2020" w:type="dxa"/>
            <w:hideMark/>
          </w:tcPr>
          <w:p w14:paraId="77D2DC10" w14:textId="77777777" w:rsidR="00526FE9" w:rsidRPr="008762D1" w:rsidRDefault="00526FE9" w:rsidP="009817E0">
            <w:pPr>
              <w:rPr>
                <w:rFonts w:ascii="ITC Avant Garde" w:hAnsi="ITC Avant Garde"/>
                <w:b/>
                <w:color w:val="000000" w:themeColor="text1"/>
                <w:sz w:val="18"/>
              </w:rPr>
            </w:pPr>
            <w:r w:rsidRPr="008762D1">
              <w:rPr>
                <w:rFonts w:ascii="ITC Avant Garde" w:hAnsi="ITC Avant Garde"/>
                <w:b/>
                <w:color w:val="000000" w:themeColor="text1"/>
                <w:sz w:val="18"/>
              </w:rPr>
              <w:t>REGISTRO DETALLE</w:t>
            </w:r>
          </w:p>
        </w:tc>
        <w:tc>
          <w:tcPr>
            <w:tcW w:w="709" w:type="dxa"/>
          </w:tcPr>
          <w:p w14:paraId="6F513756" w14:textId="77777777" w:rsidR="00526FE9" w:rsidRPr="008762D1" w:rsidRDefault="00526FE9" w:rsidP="009817E0">
            <w:pPr>
              <w:jc w:val="right"/>
              <w:rPr>
                <w:rFonts w:ascii="ITC Avant Garde" w:hAnsi="ITC Avant Garde"/>
                <w:color w:val="000000" w:themeColor="text1"/>
                <w:sz w:val="18"/>
              </w:rPr>
            </w:pPr>
          </w:p>
        </w:tc>
        <w:tc>
          <w:tcPr>
            <w:tcW w:w="1382" w:type="dxa"/>
          </w:tcPr>
          <w:p w14:paraId="19C4E33E" w14:textId="77777777" w:rsidR="00526FE9" w:rsidRPr="008762D1" w:rsidRDefault="00526FE9" w:rsidP="009817E0">
            <w:pPr>
              <w:jc w:val="right"/>
              <w:rPr>
                <w:rFonts w:ascii="ITC Avant Garde" w:hAnsi="ITC Avant Garde"/>
                <w:color w:val="000000" w:themeColor="text1"/>
                <w:sz w:val="18"/>
              </w:rPr>
            </w:pPr>
          </w:p>
        </w:tc>
        <w:tc>
          <w:tcPr>
            <w:tcW w:w="1134" w:type="dxa"/>
            <w:hideMark/>
          </w:tcPr>
          <w:p w14:paraId="314E84E3"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100</w:t>
            </w:r>
          </w:p>
        </w:tc>
        <w:tc>
          <w:tcPr>
            <w:tcW w:w="6951" w:type="dxa"/>
          </w:tcPr>
          <w:p w14:paraId="2C4CB742" w14:textId="77777777" w:rsidR="00526FE9" w:rsidRPr="008762D1" w:rsidRDefault="00526FE9" w:rsidP="009817E0">
            <w:pPr>
              <w:jc w:val="right"/>
              <w:rPr>
                <w:rFonts w:ascii="ITC Avant Garde" w:hAnsi="ITC Avant Garde"/>
                <w:color w:val="000000" w:themeColor="text1"/>
                <w:sz w:val="18"/>
              </w:rPr>
            </w:pPr>
          </w:p>
        </w:tc>
      </w:tr>
      <w:tr w:rsidR="008762D1" w:rsidRPr="008762D1" w14:paraId="4FEACA76" w14:textId="77777777" w:rsidTr="00664EC0">
        <w:trPr>
          <w:trHeight w:val="359"/>
          <w:jc w:val="center"/>
        </w:trPr>
        <w:tc>
          <w:tcPr>
            <w:tcW w:w="562" w:type="dxa"/>
            <w:hideMark/>
          </w:tcPr>
          <w:p w14:paraId="424FEF96"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w:t>
            </w:r>
          </w:p>
        </w:tc>
        <w:tc>
          <w:tcPr>
            <w:tcW w:w="2020" w:type="dxa"/>
            <w:hideMark/>
          </w:tcPr>
          <w:p w14:paraId="0FA72DEE"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Identificador de reg.</w:t>
            </w:r>
          </w:p>
        </w:tc>
        <w:tc>
          <w:tcPr>
            <w:tcW w:w="709" w:type="dxa"/>
            <w:hideMark/>
          </w:tcPr>
          <w:p w14:paraId="1B99AE2C"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N</w:t>
            </w:r>
          </w:p>
        </w:tc>
        <w:tc>
          <w:tcPr>
            <w:tcW w:w="1382" w:type="dxa"/>
            <w:hideMark/>
          </w:tcPr>
          <w:p w14:paraId="71BB95FD"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w:t>
            </w:r>
          </w:p>
        </w:tc>
        <w:tc>
          <w:tcPr>
            <w:tcW w:w="1134" w:type="dxa"/>
            <w:hideMark/>
          </w:tcPr>
          <w:p w14:paraId="4475FA1B"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w:t>
            </w:r>
          </w:p>
        </w:tc>
        <w:tc>
          <w:tcPr>
            <w:tcW w:w="6951" w:type="dxa"/>
            <w:hideMark/>
          </w:tcPr>
          <w:p w14:paraId="7D08A690"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Identificador del registro que para el caso del “detalle” el valor debe ser uno.</w:t>
            </w:r>
          </w:p>
        </w:tc>
      </w:tr>
      <w:tr w:rsidR="008762D1" w:rsidRPr="008762D1" w14:paraId="2EDED8F7" w14:textId="77777777" w:rsidTr="00664EC0">
        <w:trPr>
          <w:trHeight w:val="250"/>
          <w:jc w:val="center"/>
        </w:trPr>
        <w:tc>
          <w:tcPr>
            <w:tcW w:w="562" w:type="dxa"/>
            <w:hideMark/>
          </w:tcPr>
          <w:p w14:paraId="7D65FD49"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2</w:t>
            </w:r>
          </w:p>
        </w:tc>
        <w:tc>
          <w:tcPr>
            <w:tcW w:w="2020" w:type="dxa"/>
            <w:hideMark/>
          </w:tcPr>
          <w:p w14:paraId="4CB2D35A"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Número de A</w:t>
            </w:r>
          </w:p>
        </w:tc>
        <w:tc>
          <w:tcPr>
            <w:tcW w:w="709" w:type="dxa"/>
            <w:hideMark/>
          </w:tcPr>
          <w:p w14:paraId="03630B07"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N</w:t>
            </w:r>
          </w:p>
        </w:tc>
        <w:tc>
          <w:tcPr>
            <w:tcW w:w="1382" w:type="dxa"/>
            <w:hideMark/>
          </w:tcPr>
          <w:p w14:paraId="09AAAB2B"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9(15)</w:t>
            </w:r>
          </w:p>
        </w:tc>
        <w:tc>
          <w:tcPr>
            <w:tcW w:w="1134" w:type="dxa"/>
            <w:hideMark/>
          </w:tcPr>
          <w:p w14:paraId="737536C2"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15</w:t>
            </w:r>
          </w:p>
        </w:tc>
        <w:tc>
          <w:tcPr>
            <w:tcW w:w="6951" w:type="dxa"/>
            <w:hideMark/>
          </w:tcPr>
          <w:p w14:paraId="72C29BC5"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Número de origen (justificado a la derecha, es decir el número recorrido a la derecha de la columna).</w:t>
            </w:r>
          </w:p>
        </w:tc>
      </w:tr>
      <w:tr w:rsidR="008762D1" w:rsidRPr="008762D1" w14:paraId="4BE5E049" w14:textId="77777777" w:rsidTr="00664EC0">
        <w:trPr>
          <w:trHeight w:val="250"/>
          <w:jc w:val="center"/>
        </w:trPr>
        <w:tc>
          <w:tcPr>
            <w:tcW w:w="562" w:type="dxa"/>
            <w:hideMark/>
          </w:tcPr>
          <w:p w14:paraId="36365412"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3</w:t>
            </w:r>
          </w:p>
        </w:tc>
        <w:tc>
          <w:tcPr>
            <w:tcW w:w="2020" w:type="dxa"/>
            <w:hideMark/>
          </w:tcPr>
          <w:p w14:paraId="5D44164C"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Número de B</w:t>
            </w:r>
          </w:p>
        </w:tc>
        <w:tc>
          <w:tcPr>
            <w:tcW w:w="709" w:type="dxa"/>
            <w:hideMark/>
          </w:tcPr>
          <w:p w14:paraId="181840B2"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N</w:t>
            </w:r>
          </w:p>
        </w:tc>
        <w:tc>
          <w:tcPr>
            <w:tcW w:w="1382" w:type="dxa"/>
            <w:hideMark/>
          </w:tcPr>
          <w:p w14:paraId="7576B365"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9(15)</w:t>
            </w:r>
          </w:p>
        </w:tc>
        <w:tc>
          <w:tcPr>
            <w:tcW w:w="1134" w:type="dxa"/>
            <w:hideMark/>
          </w:tcPr>
          <w:p w14:paraId="65CD1583"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15</w:t>
            </w:r>
          </w:p>
        </w:tc>
        <w:tc>
          <w:tcPr>
            <w:tcW w:w="6951" w:type="dxa"/>
            <w:hideMark/>
          </w:tcPr>
          <w:p w14:paraId="07BF2B1E"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Número de destino (justificado a la derecha, es decir el número recorrido a la derecha de la columna).</w:t>
            </w:r>
          </w:p>
        </w:tc>
      </w:tr>
      <w:tr w:rsidR="008762D1" w:rsidRPr="008762D1" w14:paraId="452339C2" w14:textId="77777777" w:rsidTr="00664EC0">
        <w:trPr>
          <w:trHeight w:val="250"/>
          <w:jc w:val="center"/>
        </w:trPr>
        <w:tc>
          <w:tcPr>
            <w:tcW w:w="562" w:type="dxa"/>
            <w:hideMark/>
          </w:tcPr>
          <w:p w14:paraId="4CDA27CF"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4</w:t>
            </w:r>
          </w:p>
        </w:tc>
        <w:tc>
          <w:tcPr>
            <w:tcW w:w="2020" w:type="dxa"/>
            <w:hideMark/>
          </w:tcPr>
          <w:p w14:paraId="6836217D"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Fecha de inicio</w:t>
            </w:r>
          </w:p>
        </w:tc>
        <w:tc>
          <w:tcPr>
            <w:tcW w:w="709" w:type="dxa"/>
            <w:hideMark/>
          </w:tcPr>
          <w:p w14:paraId="7FAFAAD2"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N</w:t>
            </w:r>
          </w:p>
        </w:tc>
        <w:tc>
          <w:tcPr>
            <w:tcW w:w="1382" w:type="dxa"/>
            <w:hideMark/>
          </w:tcPr>
          <w:p w14:paraId="11394882"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AAAAMMDD</w:t>
            </w:r>
          </w:p>
        </w:tc>
        <w:tc>
          <w:tcPr>
            <w:tcW w:w="1134" w:type="dxa"/>
            <w:hideMark/>
          </w:tcPr>
          <w:p w14:paraId="5D9F4D69"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8</w:t>
            </w:r>
          </w:p>
        </w:tc>
        <w:tc>
          <w:tcPr>
            <w:tcW w:w="6951" w:type="dxa"/>
            <w:hideMark/>
          </w:tcPr>
          <w:p w14:paraId="43699919"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Fecha en que inicio la llamada.</w:t>
            </w:r>
          </w:p>
        </w:tc>
      </w:tr>
      <w:tr w:rsidR="008762D1" w:rsidRPr="008762D1" w14:paraId="7D4C56FB" w14:textId="77777777" w:rsidTr="00664EC0">
        <w:trPr>
          <w:trHeight w:val="250"/>
          <w:jc w:val="center"/>
        </w:trPr>
        <w:tc>
          <w:tcPr>
            <w:tcW w:w="562" w:type="dxa"/>
            <w:hideMark/>
          </w:tcPr>
          <w:p w14:paraId="736BB3F8"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5</w:t>
            </w:r>
          </w:p>
        </w:tc>
        <w:tc>
          <w:tcPr>
            <w:tcW w:w="2020" w:type="dxa"/>
            <w:hideMark/>
          </w:tcPr>
          <w:p w14:paraId="05E431E6"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Duración </w:t>
            </w:r>
          </w:p>
        </w:tc>
        <w:tc>
          <w:tcPr>
            <w:tcW w:w="709" w:type="dxa"/>
            <w:hideMark/>
          </w:tcPr>
          <w:p w14:paraId="1E5B0153"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N</w:t>
            </w:r>
          </w:p>
        </w:tc>
        <w:tc>
          <w:tcPr>
            <w:tcW w:w="1382" w:type="dxa"/>
            <w:hideMark/>
          </w:tcPr>
          <w:p w14:paraId="244E8C8B"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99999999</w:t>
            </w:r>
          </w:p>
        </w:tc>
        <w:tc>
          <w:tcPr>
            <w:tcW w:w="1134" w:type="dxa"/>
            <w:hideMark/>
          </w:tcPr>
          <w:p w14:paraId="74727D98"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8</w:t>
            </w:r>
          </w:p>
        </w:tc>
        <w:tc>
          <w:tcPr>
            <w:tcW w:w="6951" w:type="dxa"/>
            <w:hideMark/>
          </w:tcPr>
          <w:p w14:paraId="67492CE6"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La duración será en SEGUNDOS. En todos los casos justificado a la derecha.</w:t>
            </w:r>
          </w:p>
        </w:tc>
      </w:tr>
      <w:tr w:rsidR="008762D1" w:rsidRPr="008762D1" w14:paraId="2BD88508" w14:textId="77777777" w:rsidTr="00664EC0">
        <w:trPr>
          <w:trHeight w:val="350"/>
          <w:jc w:val="center"/>
        </w:trPr>
        <w:tc>
          <w:tcPr>
            <w:tcW w:w="562" w:type="dxa"/>
            <w:hideMark/>
          </w:tcPr>
          <w:p w14:paraId="74B1DCCF"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6</w:t>
            </w:r>
          </w:p>
        </w:tc>
        <w:tc>
          <w:tcPr>
            <w:tcW w:w="2020" w:type="dxa"/>
            <w:hideMark/>
          </w:tcPr>
          <w:p w14:paraId="6670D454"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Hora inicio</w:t>
            </w:r>
          </w:p>
        </w:tc>
        <w:tc>
          <w:tcPr>
            <w:tcW w:w="709" w:type="dxa"/>
            <w:hideMark/>
          </w:tcPr>
          <w:p w14:paraId="118E8059"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N</w:t>
            </w:r>
          </w:p>
        </w:tc>
        <w:tc>
          <w:tcPr>
            <w:tcW w:w="1382" w:type="dxa"/>
            <w:hideMark/>
          </w:tcPr>
          <w:p w14:paraId="22DE840A"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HHMMSS</w:t>
            </w:r>
          </w:p>
        </w:tc>
        <w:tc>
          <w:tcPr>
            <w:tcW w:w="1134" w:type="dxa"/>
            <w:hideMark/>
          </w:tcPr>
          <w:p w14:paraId="4D7C45D4"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6</w:t>
            </w:r>
          </w:p>
        </w:tc>
        <w:tc>
          <w:tcPr>
            <w:tcW w:w="6951" w:type="dxa"/>
            <w:hideMark/>
          </w:tcPr>
          <w:p w14:paraId="338FB9D2"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Hora en la cual inició de la llamada.</w:t>
            </w:r>
          </w:p>
        </w:tc>
      </w:tr>
      <w:tr w:rsidR="008762D1" w:rsidRPr="008762D1" w14:paraId="5675F228" w14:textId="77777777" w:rsidTr="00664EC0">
        <w:trPr>
          <w:trHeight w:val="250"/>
          <w:jc w:val="center"/>
        </w:trPr>
        <w:tc>
          <w:tcPr>
            <w:tcW w:w="562" w:type="dxa"/>
            <w:hideMark/>
          </w:tcPr>
          <w:p w14:paraId="2C745248"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7</w:t>
            </w:r>
          </w:p>
        </w:tc>
        <w:tc>
          <w:tcPr>
            <w:tcW w:w="2020" w:type="dxa"/>
            <w:hideMark/>
          </w:tcPr>
          <w:p w14:paraId="05856DD9"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Tipo de Trafico</w:t>
            </w:r>
          </w:p>
        </w:tc>
        <w:tc>
          <w:tcPr>
            <w:tcW w:w="709" w:type="dxa"/>
            <w:hideMark/>
          </w:tcPr>
          <w:p w14:paraId="6AD3E191"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N</w:t>
            </w:r>
          </w:p>
        </w:tc>
        <w:tc>
          <w:tcPr>
            <w:tcW w:w="1382" w:type="dxa"/>
            <w:hideMark/>
          </w:tcPr>
          <w:p w14:paraId="5D81594E"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99</w:t>
            </w:r>
          </w:p>
        </w:tc>
        <w:tc>
          <w:tcPr>
            <w:tcW w:w="1134" w:type="dxa"/>
            <w:hideMark/>
          </w:tcPr>
          <w:p w14:paraId="464BF940"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2</w:t>
            </w:r>
          </w:p>
        </w:tc>
        <w:tc>
          <w:tcPr>
            <w:tcW w:w="6951" w:type="dxa"/>
            <w:hideMark/>
          </w:tcPr>
          <w:p w14:paraId="6BA5E603"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Indica el tipo de tráfico: 01Terminación para los consumos locales que facture el OPERADOR a TELMEX.  03 Tránsito (local, celular y de LD). 05 Originado (LD).  06 Terminado (LD).</w:t>
            </w:r>
          </w:p>
        </w:tc>
      </w:tr>
      <w:tr w:rsidR="008762D1" w:rsidRPr="008762D1" w14:paraId="453ABB3F" w14:textId="77777777" w:rsidTr="00664EC0">
        <w:trPr>
          <w:trHeight w:val="250"/>
          <w:jc w:val="center"/>
        </w:trPr>
        <w:tc>
          <w:tcPr>
            <w:tcW w:w="562" w:type="dxa"/>
            <w:hideMark/>
          </w:tcPr>
          <w:p w14:paraId="05D7C61F" w14:textId="77777777" w:rsidR="00526FE9" w:rsidRPr="008762D1" w:rsidRDefault="00526FE9" w:rsidP="009817E0">
            <w:pPr>
              <w:jc w:val="center"/>
              <w:rPr>
                <w:rFonts w:ascii="ITC Avant Garde" w:hAnsi="ITC Avant Garde"/>
                <w:color w:val="000000" w:themeColor="text1"/>
                <w:sz w:val="18"/>
                <w:szCs w:val="24"/>
              </w:rPr>
            </w:pPr>
            <w:r w:rsidRPr="008762D1">
              <w:rPr>
                <w:rFonts w:ascii="ITC Avant Garde" w:hAnsi="ITC Avant Garde"/>
                <w:color w:val="000000" w:themeColor="text1"/>
                <w:sz w:val="18"/>
              </w:rPr>
              <w:t>8</w:t>
            </w:r>
          </w:p>
        </w:tc>
        <w:tc>
          <w:tcPr>
            <w:tcW w:w="2020" w:type="dxa"/>
            <w:hideMark/>
          </w:tcPr>
          <w:p w14:paraId="41D841B8"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NIM</w:t>
            </w:r>
          </w:p>
        </w:tc>
        <w:tc>
          <w:tcPr>
            <w:tcW w:w="709" w:type="dxa"/>
            <w:hideMark/>
          </w:tcPr>
          <w:p w14:paraId="205DFB00"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N</w:t>
            </w:r>
          </w:p>
        </w:tc>
        <w:tc>
          <w:tcPr>
            <w:tcW w:w="1382" w:type="dxa"/>
            <w:hideMark/>
          </w:tcPr>
          <w:p w14:paraId="5072E998"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w:t>
            </w:r>
          </w:p>
        </w:tc>
        <w:tc>
          <w:tcPr>
            <w:tcW w:w="1134" w:type="dxa"/>
            <w:hideMark/>
          </w:tcPr>
          <w:p w14:paraId="637847B4"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w:t>
            </w:r>
          </w:p>
        </w:tc>
        <w:tc>
          <w:tcPr>
            <w:tcW w:w="6951" w:type="dxa"/>
            <w:hideMark/>
          </w:tcPr>
          <w:p w14:paraId="1863BC47"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0</w:t>
            </w:r>
            <w:proofErr w:type="gramStart"/>
            <w:r w:rsidRPr="008762D1">
              <w:rPr>
                <w:rFonts w:ascii="ITC Avant Garde" w:hAnsi="ITC Avant Garde"/>
                <w:color w:val="000000" w:themeColor="text1"/>
                <w:sz w:val="18"/>
              </w:rPr>
              <w:t>:Nacional</w:t>
            </w:r>
            <w:proofErr w:type="gramEnd"/>
            <w:r w:rsidRPr="008762D1">
              <w:rPr>
                <w:rFonts w:ascii="ITC Avant Garde" w:hAnsi="ITC Avant Garde"/>
                <w:color w:val="000000" w:themeColor="text1"/>
                <w:sz w:val="18"/>
              </w:rPr>
              <w:t>, 1:Internacional, 2:Mundial. En caso de no usarse se llenará con ceros.</w:t>
            </w:r>
          </w:p>
        </w:tc>
      </w:tr>
      <w:tr w:rsidR="008762D1" w:rsidRPr="008762D1" w14:paraId="1B6D95ED" w14:textId="77777777" w:rsidTr="00664EC0">
        <w:trPr>
          <w:trHeight w:val="250"/>
          <w:jc w:val="center"/>
        </w:trPr>
        <w:tc>
          <w:tcPr>
            <w:tcW w:w="562" w:type="dxa"/>
            <w:hideMark/>
          </w:tcPr>
          <w:p w14:paraId="792E365A"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9</w:t>
            </w:r>
          </w:p>
        </w:tc>
        <w:tc>
          <w:tcPr>
            <w:tcW w:w="2020" w:type="dxa"/>
            <w:hideMark/>
          </w:tcPr>
          <w:p w14:paraId="7CE80C0F"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Tipo de llamada</w:t>
            </w:r>
          </w:p>
        </w:tc>
        <w:tc>
          <w:tcPr>
            <w:tcW w:w="709" w:type="dxa"/>
            <w:hideMark/>
          </w:tcPr>
          <w:p w14:paraId="6D2394E8"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N</w:t>
            </w:r>
          </w:p>
        </w:tc>
        <w:tc>
          <w:tcPr>
            <w:tcW w:w="1382" w:type="dxa"/>
            <w:hideMark/>
          </w:tcPr>
          <w:p w14:paraId="0914730F"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w:t>
            </w:r>
          </w:p>
        </w:tc>
        <w:tc>
          <w:tcPr>
            <w:tcW w:w="1134" w:type="dxa"/>
            <w:hideMark/>
          </w:tcPr>
          <w:p w14:paraId="708EB3C7"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w:t>
            </w:r>
          </w:p>
        </w:tc>
        <w:tc>
          <w:tcPr>
            <w:tcW w:w="6951" w:type="dxa"/>
            <w:hideMark/>
          </w:tcPr>
          <w:p w14:paraId="2D93D560"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1</w:t>
            </w:r>
            <w:proofErr w:type="gramStart"/>
            <w:r w:rsidRPr="008762D1">
              <w:rPr>
                <w:rFonts w:ascii="ITC Avant Garde" w:hAnsi="ITC Avant Garde"/>
                <w:color w:val="000000" w:themeColor="text1"/>
                <w:sz w:val="18"/>
              </w:rPr>
              <w:t>:Automática</w:t>
            </w:r>
            <w:proofErr w:type="gramEnd"/>
            <w:r w:rsidRPr="008762D1">
              <w:rPr>
                <w:rFonts w:ascii="ITC Avant Garde" w:hAnsi="ITC Avant Garde"/>
                <w:color w:val="000000" w:themeColor="text1"/>
                <w:sz w:val="18"/>
              </w:rPr>
              <w:t>, 8:No. 800.</w:t>
            </w:r>
          </w:p>
        </w:tc>
      </w:tr>
      <w:tr w:rsidR="008762D1" w:rsidRPr="008762D1" w14:paraId="19BB566B" w14:textId="77777777" w:rsidTr="00664EC0">
        <w:trPr>
          <w:trHeight w:val="250"/>
          <w:jc w:val="center"/>
        </w:trPr>
        <w:tc>
          <w:tcPr>
            <w:tcW w:w="562" w:type="dxa"/>
            <w:hideMark/>
          </w:tcPr>
          <w:p w14:paraId="561D549A"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10</w:t>
            </w:r>
          </w:p>
        </w:tc>
        <w:tc>
          <w:tcPr>
            <w:tcW w:w="2020" w:type="dxa"/>
            <w:hideMark/>
          </w:tcPr>
          <w:p w14:paraId="3E4377EE" w14:textId="77777777" w:rsidR="00526FE9" w:rsidRPr="008762D1" w:rsidRDefault="00526FE9" w:rsidP="009817E0">
            <w:pPr>
              <w:rPr>
                <w:rFonts w:ascii="ITC Avant Garde" w:hAnsi="ITC Avant Garde"/>
                <w:color w:val="000000" w:themeColor="text1"/>
                <w:sz w:val="18"/>
              </w:rPr>
            </w:pPr>
            <w:proofErr w:type="spellStart"/>
            <w:r w:rsidRPr="008762D1">
              <w:rPr>
                <w:rFonts w:ascii="ITC Avant Garde" w:hAnsi="ITC Avant Garde"/>
                <w:color w:val="000000" w:themeColor="text1"/>
                <w:sz w:val="18"/>
              </w:rPr>
              <w:t>Filler</w:t>
            </w:r>
            <w:proofErr w:type="spellEnd"/>
          </w:p>
        </w:tc>
        <w:tc>
          <w:tcPr>
            <w:tcW w:w="709" w:type="dxa"/>
            <w:hideMark/>
          </w:tcPr>
          <w:p w14:paraId="3D5CB316"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C</w:t>
            </w:r>
          </w:p>
        </w:tc>
        <w:tc>
          <w:tcPr>
            <w:tcW w:w="1382" w:type="dxa"/>
          </w:tcPr>
          <w:p w14:paraId="284F33BA" w14:textId="77777777" w:rsidR="00526FE9" w:rsidRPr="008762D1" w:rsidRDefault="00526FE9" w:rsidP="009817E0">
            <w:pPr>
              <w:jc w:val="right"/>
              <w:rPr>
                <w:rFonts w:ascii="ITC Avant Garde" w:hAnsi="ITC Avant Garde"/>
                <w:color w:val="000000" w:themeColor="text1"/>
                <w:sz w:val="18"/>
              </w:rPr>
            </w:pPr>
          </w:p>
        </w:tc>
        <w:tc>
          <w:tcPr>
            <w:tcW w:w="1134" w:type="dxa"/>
            <w:hideMark/>
          </w:tcPr>
          <w:p w14:paraId="01802D28"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43</w:t>
            </w:r>
          </w:p>
        </w:tc>
        <w:tc>
          <w:tcPr>
            <w:tcW w:w="6951" w:type="dxa"/>
            <w:hideMark/>
          </w:tcPr>
          <w:p w14:paraId="2D510F0E"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Caracteres en blanco para completar la longitud del registro a 100 posiciones.</w:t>
            </w:r>
          </w:p>
        </w:tc>
      </w:tr>
      <w:tr w:rsidR="008762D1" w:rsidRPr="008762D1" w14:paraId="454323B2" w14:textId="77777777" w:rsidTr="00664EC0">
        <w:trPr>
          <w:trHeight w:val="250"/>
          <w:jc w:val="center"/>
        </w:trPr>
        <w:tc>
          <w:tcPr>
            <w:tcW w:w="562" w:type="dxa"/>
          </w:tcPr>
          <w:p w14:paraId="47E2F470" w14:textId="77777777" w:rsidR="00526FE9" w:rsidRPr="008762D1" w:rsidRDefault="00526FE9" w:rsidP="009817E0">
            <w:pPr>
              <w:jc w:val="center"/>
              <w:rPr>
                <w:rFonts w:ascii="ITC Avant Garde" w:hAnsi="ITC Avant Garde"/>
                <w:color w:val="000000" w:themeColor="text1"/>
                <w:sz w:val="18"/>
              </w:rPr>
            </w:pPr>
          </w:p>
        </w:tc>
        <w:tc>
          <w:tcPr>
            <w:tcW w:w="2020" w:type="dxa"/>
            <w:hideMark/>
          </w:tcPr>
          <w:p w14:paraId="68C84EC4" w14:textId="77777777" w:rsidR="00526FE9" w:rsidRPr="008762D1" w:rsidRDefault="00526FE9" w:rsidP="009817E0">
            <w:pPr>
              <w:rPr>
                <w:rFonts w:ascii="ITC Avant Garde" w:hAnsi="ITC Avant Garde"/>
                <w:b/>
                <w:color w:val="000000" w:themeColor="text1"/>
                <w:sz w:val="18"/>
              </w:rPr>
            </w:pPr>
            <w:r w:rsidRPr="008762D1">
              <w:rPr>
                <w:rFonts w:ascii="ITC Avant Garde" w:hAnsi="ITC Avant Garde"/>
                <w:b/>
                <w:color w:val="000000" w:themeColor="text1"/>
                <w:sz w:val="18"/>
              </w:rPr>
              <w:t>REGISTRO TRAILER</w:t>
            </w:r>
          </w:p>
        </w:tc>
        <w:tc>
          <w:tcPr>
            <w:tcW w:w="709" w:type="dxa"/>
          </w:tcPr>
          <w:p w14:paraId="6782AC7D" w14:textId="77777777" w:rsidR="00526FE9" w:rsidRPr="008762D1" w:rsidRDefault="00526FE9" w:rsidP="009817E0">
            <w:pPr>
              <w:jc w:val="right"/>
              <w:rPr>
                <w:rFonts w:ascii="ITC Avant Garde" w:hAnsi="ITC Avant Garde"/>
                <w:color w:val="000000" w:themeColor="text1"/>
                <w:sz w:val="18"/>
              </w:rPr>
            </w:pPr>
          </w:p>
        </w:tc>
        <w:tc>
          <w:tcPr>
            <w:tcW w:w="1382" w:type="dxa"/>
          </w:tcPr>
          <w:p w14:paraId="1B2017D8" w14:textId="77777777" w:rsidR="00526FE9" w:rsidRPr="008762D1" w:rsidRDefault="00526FE9" w:rsidP="009817E0">
            <w:pPr>
              <w:jc w:val="right"/>
              <w:rPr>
                <w:rFonts w:ascii="ITC Avant Garde" w:hAnsi="ITC Avant Garde"/>
                <w:color w:val="000000" w:themeColor="text1"/>
                <w:sz w:val="18"/>
              </w:rPr>
            </w:pPr>
          </w:p>
        </w:tc>
        <w:tc>
          <w:tcPr>
            <w:tcW w:w="1134" w:type="dxa"/>
            <w:hideMark/>
          </w:tcPr>
          <w:p w14:paraId="393F8A8B"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100</w:t>
            </w:r>
          </w:p>
        </w:tc>
        <w:tc>
          <w:tcPr>
            <w:tcW w:w="6951" w:type="dxa"/>
          </w:tcPr>
          <w:p w14:paraId="55B2BE80" w14:textId="77777777" w:rsidR="00526FE9" w:rsidRPr="008762D1" w:rsidRDefault="00526FE9" w:rsidP="009817E0">
            <w:pPr>
              <w:jc w:val="right"/>
              <w:rPr>
                <w:rFonts w:ascii="ITC Avant Garde" w:hAnsi="ITC Avant Garde"/>
                <w:color w:val="000000" w:themeColor="text1"/>
                <w:sz w:val="18"/>
              </w:rPr>
            </w:pPr>
          </w:p>
        </w:tc>
      </w:tr>
      <w:tr w:rsidR="008762D1" w:rsidRPr="008762D1" w14:paraId="64D0B6A0" w14:textId="77777777" w:rsidTr="00664EC0">
        <w:trPr>
          <w:trHeight w:val="250"/>
          <w:jc w:val="center"/>
        </w:trPr>
        <w:tc>
          <w:tcPr>
            <w:tcW w:w="562" w:type="dxa"/>
            <w:hideMark/>
          </w:tcPr>
          <w:p w14:paraId="3BBD2C6C"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w:t>
            </w:r>
          </w:p>
        </w:tc>
        <w:tc>
          <w:tcPr>
            <w:tcW w:w="2020" w:type="dxa"/>
            <w:hideMark/>
          </w:tcPr>
          <w:p w14:paraId="635DED05"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Identificador de reg.</w:t>
            </w:r>
          </w:p>
        </w:tc>
        <w:tc>
          <w:tcPr>
            <w:tcW w:w="709" w:type="dxa"/>
            <w:hideMark/>
          </w:tcPr>
          <w:p w14:paraId="255AC517"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N</w:t>
            </w:r>
          </w:p>
        </w:tc>
        <w:tc>
          <w:tcPr>
            <w:tcW w:w="1382" w:type="dxa"/>
            <w:hideMark/>
          </w:tcPr>
          <w:p w14:paraId="2647C8E4"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w:t>
            </w:r>
          </w:p>
        </w:tc>
        <w:tc>
          <w:tcPr>
            <w:tcW w:w="1134" w:type="dxa"/>
            <w:hideMark/>
          </w:tcPr>
          <w:p w14:paraId="2AF29BE3"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1</w:t>
            </w:r>
          </w:p>
        </w:tc>
        <w:tc>
          <w:tcPr>
            <w:tcW w:w="6951" w:type="dxa"/>
            <w:hideMark/>
          </w:tcPr>
          <w:p w14:paraId="38530AC3"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Identifica el tipo de registro que para el “</w:t>
            </w:r>
            <w:proofErr w:type="spellStart"/>
            <w:r w:rsidRPr="008762D1">
              <w:rPr>
                <w:rFonts w:ascii="ITC Avant Garde" w:hAnsi="ITC Avant Garde"/>
                <w:color w:val="000000" w:themeColor="text1"/>
                <w:sz w:val="18"/>
              </w:rPr>
              <w:t>trailer</w:t>
            </w:r>
            <w:proofErr w:type="spellEnd"/>
            <w:r w:rsidRPr="008762D1">
              <w:rPr>
                <w:rFonts w:ascii="ITC Avant Garde" w:hAnsi="ITC Avant Garde"/>
                <w:color w:val="000000" w:themeColor="text1"/>
                <w:sz w:val="18"/>
              </w:rPr>
              <w:t>” el valor debe ser 9.</w:t>
            </w:r>
          </w:p>
        </w:tc>
      </w:tr>
      <w:tr w:rsidR="008762D1" w:rsidRPr="008762D1" w14:paraId="6200E215" w14:textId="77777777" w:rsidTr="00664EC0">
        <w:trPr>
          <w:trHeight w:val="250"/>
          <w:jc w:val="center"/>
        </w:trPr>
        <w:tc>
          <w:tcPr>
            <w:tcW w:w="562" w:type="dxa"/>
            <w:hideMark/>
          </w:tcPr>
          <w:p w14:paraId="35FB0585"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2</w:t>
            </w:r>
          </w:p>
        </w:tc>
        <w:tc>
          <w:tcPr>
            <w:tcW w:w="2020" w:type="dxa"/>
            <w:hideMark/>
          </w:tcPr>
          <w:p w14:paraId="7A0FA0A5"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Operador</w:t>
            </w:r>
          </w:p>
        </w:tc>
        <w:tc>
          <w:tcPr>
            <w:tcW w:w="709" w:type="dxa"/>
            <w:hideMark/>
          </w:tcPr>
          <w:p w14:paraId="4492D845"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N</w:t>
            </w:r>
          </w:p>
        </w:tc>
        <w:tc>
          <w:tcPr>
            <w:tcW w:w="1382" w:type="dxa"/>
            <w:hideMark/>
          </w:tcPr>
          <w:p w14:paraId="507FB27F"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999</w:t>
            </w:r>
          </w:p>
        </w:tc>
        <w:tc>
          <w:tcPr>
            <w:tcW w:w="1134" w:type="dxa"/>
            <w:hideMark/>
          </w:tcPr>
          <w:p w14:paraId="4DEF8D66"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3</w:t>
            </w:r>
          </w:p>
        </w:tc>
        <w:tc>
          <w:tcPr>
            <w:tcW w:w="6951" w:type="dxa"/>
            <w:hideMark/>
          </w:tcPr>
          <w:p w14:paraId="7A106508"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Clave (CIC) del operador que presenta los registros.</w:t>
            </w:r>
          </w:p>
        </w:tc>
      </w:tr>
      <w:tr w:rsidR="008762D1" w:rsidRPr="008762D1" w14:paraId="49C32AA6" w14:textId="77777777" w:rsidTr="00664EC0">
        <w:trPr>
          <w:trHeight w:val="250"/>
          <w:jc w:val="center"/>
        </w:trPr>
        <w:tc>
          <w:tcPr>
            <w:tcW w:w="562" w:type="dxa"/>
            <w:hideMark/>
          </w:tcPr>
          <w:p w14:paraId="56EE3B56"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3</w:t>
            </w:r>
          </w:p>
        </w:tc>
        <w:tc>
          <w:tcPr>
            <w:tcW w:w="2020" w:type="dxa"/>
            <w:hideMark/>
          </w:tcPr>
          <w:p w14:paraId="0C6727D0"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Fecha proceso</w:t>
            </w:r>
          </w:p>
        </w:tc>
        <w:tc>
          <w:tcPr>
            <w:tcW w:w="709" w:type="dxa"/>
            <w:hideMark/>
          </w:tcPr>
          <w:p w14:paraId="6C6F1AAC"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N</w:t>
            </w:r>
          </w:p>
        </w:tc>
        <w:tc>
          <w:tcPr>
            <w:tcW w:w="1382" w:type="dxa"/>
            <w:hideMark/>
          </w:tcPr>
          <w:p w14:paraId="7D5F1697" w14:textId="62CADCC7" w:rsidR="00526FE9" w:rsidRPr="008762D1" w:rsidRDefault="00526FE9" w:rsidP="009817E0">
            <w:pPr>
              <w:jc w:val="right"/>
              <w:rPr>
                <w:rFonts w:ascii="ITC Avant Garde" w:hAnsi="ITC Avant Garde"/>
                <w:color w:val="000000" w:themeColor="text1"/>
                <w:sz w:val="18"/>
              </w:rPr>
            </w:pPr>
            <w:proofErr w:type="spellStart"/>
            <w:r w:rsidRPr="008762D1">
              <w:rPr>
                <w:rFonts w:ascii="ITC Avant Garde" w:hAnsi="ITC Avant Garde"/>
                <w:color w:val="000000" w:themeColor="text1"/>
                <w:sz w:val="18"/>
              </w:rPr>
              <w:t>Aaaammdd</w:t>
            </w:r>
            <w:proofErr w:type="spellEnd"/>
          </w:p>
        </w:tc>
        <w:tc>
          <w:tcPr>
            <w:tcW w:w="1134" w:type="dxa"/>
            <w:hideMark/>
          </w:tcPr>
          <w:p w14:paraId="43F2A474"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8</w:t>
            </w:r>
          </w:p>
        </w:tc>
        <w:tc>
          <w:tcPr>
            <w:tcW w:w="6951" w:type="dxa"/>
            <w:hideMark/>
          </w:tcPr>
          <w:p w14:paraId="4E9BCAE2"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Fecha de proceso del archivo de intercambio.</w:t>
            </w:r>
          </w:p>
        </w:tc>
      </w:tr>
      <w:tr w:rsidR="008762D1" w:rsidRPr="008762D1" w14:paraId="101D2EE7" w14:textId="77777777" w:rsidTr="00664EC0">
        <w:trPr>
          <w:trHeight w:val="250"/>
          <w:jc w:val="center"/>
        </w:trPr>
        <w:tc>
          <w:tcPr>
            <w:tcW w:w="562" w:type="dxa"/>
            <w:hideMark/>
          </w:tcPr>
          <w:p w14:paraId="5F480762"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4</w:t>
            </w:r>
          </w:p>
        </w:tc>
        <w:tc>
          <w:tcPr>
            <w:tcW w:w="2020" w:type="dxa"/>
            <w:hideMark/>
          </w:tcPr>
          <w:p w14:paraId="695015B6"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Total de llamadas</w:t>
            </w:r>
          </w:p>
        </w:tc>
        <w:tc>
          <w:tcPr>
            <w:tcW w:w="709" w:type="dxa"/>
            <w:hideMark/>
          </w:tcPr>
          <w:p w14:paraId="405DE286"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N</w:t>
            </w:r>
          </w:p>
        </w:tc>
        <w:tc>
          <w:tcPr>
            <w:tcW w:w="1382" w:type="dxa"/>
            <w:hideMark/>
          </w:tcPr>
          <w:p w14:paraId="6CC80EBC"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(5)9</w:t>
            </w:r>
          </w:p>
        </w:tc>
        <w:tc>
          <w:tcPr>
            <w:tcW w:w="1134" w:type="dxa"/>
            <w:hideMark/>
          </w:tcPr>
          <w:p w14:paraId="51EA3D41"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5</w:t>
            </w:r>
          </w:p>
        </w:tc>
        <w:tc>
          <w:tcPr>
            <w:tcW w:w="6951" w:type="dxa"/>
            <w:hideMark/>
          </w:tcPr>
          <w:p w14:paraId="223CC34D"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Llamadas obtenidas de la serie intercambiada</w:t>
            </w:r>
          </w:p>
        </w:tc>
      </w:tr>
      <w:tr w:rsidR="008762D1" w:rsidRPr="008762D1" w14:paraId="4ABFC9B2" w14:textId="77777777" w:rsidTr="00664EC0">
        <w:trPr>
          <w:trHeight w:val="276"/>
          <w:jc w:val="center"/>
        </w:trPr>
        <w:tc>
          <w:tcPr>
            <w:tcW w:w="562" w:type="dxa"/>
            <w:hideMark/>
          </w:tcPr>
          <w:p w14:paraId="4A9D03CC"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5</w:t>
            </w:r>
          </w:p>
        </w:tc>
        <w:tc>
          <w:tcPr>
            <w:tcW w:w="2020" w:type="dxa"/>
            <w:hideMark/>
          </w:tcPr>
          <w:p w14:paraId="04A78593"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w:t>
            </w:r>
            <w:proofErr w:type="spellStart"/>
            <w:r w:rsidRPr="008762D1">
              <w:rPr>
                <w:rFonts w:ascii="ITC Avant Garde" w:hAnsi="ITC Avant Garde"/>
                <w:color w:val="000000" w:themeColor="text1"/>
                <w:sz w:val="18"/>
              </w:rPr>
              <w:t>Filler</w:t>
            </w:r>
            <w:proofErr w:type="spellEnd"/>
          </w:p>
        </w:tc>
        <w:tc>
          <w:tcPr>
            <w:tcW w:w="709" w:type="dxa"/>
            <w:hideMark/>
          </w:tcPr>
          <w:p w14:paraId="29BC116D"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 xml:space="preserve"> C</w:t>
            </w:r>
          </w:p>
        </w:tc>
        <w:tc>
          <w:tcPr>
            <w:tcW w:w="1382" w:type="dxa"/>
            <w:hideMark/>
          </w:tcPr>
          <w:p w14:paraId="2EF53ED7" w14:textId="77777777" w:rsidR="00526FE9" w:rsidRPr="008762D1" w:rsidRDefault="00526FE9" w:rsidP="009817E0">
            <w:pPr>
              <w:jc w:val="right"/>
              <w:rPr>
                <w:rFonts w:ascii="ITC Avant Garde" w:hAnsi="ITC Avant Garde"/>
                <w:color w:val="000000" w:themeColor="text1"/>
                <w:sz w:val="18"/>
              </w:rPr>
            </w:pPr>
            <w:r w:rsidRPr="008762D1">
              <w:rPr>
                <w:rFonts w:ascii="ITC Avant Garde" w:hAnsi="ITC Avant Garde"/>
                <w:color w:val="000000" w:themeColor="text1"/>
                <w:sz w:val="18"/>
              </w:rPr>
              <w:t xml:space="preserve"> </w:t>
            </w:r>
          </w:p>
        </w:tc>
        <w:tc>
          <w:tcPr>
            <w:tcW w:w="1134" w:type="dxa"/>
            <w:hideMark/>
          </w:tcPr>
          <w:p w14:paraId="11789972" w14:textId="77777777" w:rsidR="00526FE9" w:rsidRPr="008762D1" w:rsidRDefault="00526FE9" w:rsidP="009817E0">
            <w:pPr>
              <w:jc w:val="center"/>
              <w:rPr>
                <w:rFonts w:ascii="ITC Avant Garde" w:hAnsi="ITC Avant Garde"/>
                <w:color w:val="000000" w:themeColor="text1"/>
                <w:sz w:val="18"/>
              </w:rPr>
            </w:pPr>
            <w:r w:rsidRPr="008762D1">
              <w:rPr>
                <w:rFonts w:ascii="ITC Avant Garde" w:hAnsi="ITC Avant Garde"/>
                <w:color w:val="000000" w:themeColor="text1"/>
                <w:sz w:val="18"/>
              </w:rPr>
              <w:t>83</w:t>
            </w:r>
          </w:p>
        </w:tc>
        <w:tc>
          <w:tcPr>
            <w:tcW w:w="6951" w:type="dxa"/>
            <w:hideMark/>
          </w:tcPr>
          <w:p w14:paraId="5AA36E00" w14:textId="77777777" w:rsidR="00526FE9" w:rsidRPr="008762D1" w:rsidRDefault="00526FE9" w:rsidP="009817E0">
            <w:pPr>
              <w:rPr>
                <w:rFonts w:ascii="ITC Avant Garde" w:hAnsi="ITC Avant Garde"/>
                <w:color w:val="000000" w:themeColor="text1"/>
                <w:sz w:val="18"/>
              </w:rPr>
            </w:pPr>
            <w:r w:rsidRPr="008762D1">
              <w:rPr>
                <w:rFonts w:ascii="ITC Avant Garde" w:hAnsi="ITC Avant Garde"/>
                <w:color w:val="000000" w:themeColor="text1"/>
                <w:sz w:val="18"/>
              </w:rPr>
              <w:t xml:space="preserve"> Caracteres en blanco para completar la longitud del registro a 100 posiciones.</w:t>
            </w:r>
          </w:p>
        </w:tc>
      </w:tr>
    </w:tbl>
    <w:p w14:paraId="14BB8CA7" w14:textId="77777777" w:rsidR="00526FE9" w:rsidRPr="008762D1" w:rsidRDefault="00526FE9" w:rsidP="000F0B9F">
      <w:pPr>
        <w:pStyle w:val="Textoindependiente"/>
        <w:spacing w:before="240"/>
        <w:rPr>
          <w:rFonts w:ascii="ITC Avant Garde" w:hAnsi="ITC Avant Garde"/>
          <w:b/>
          <w:color w:val="000000" w:themeColor="text1"/>
          <w:sz w:val="18"/>
        </w:rPr>
      </w:pPr>
      <w:r w:rsidRPr="008762D1">
        <w:rPr>
          <w:rFonts w:ascii="ITC Avant Garde" w:hAnsi="ITC Avant Garde"/>
          <w:b/>
          <w:color w:val="000000" w:themeColor="text1"/>
        </w:rPr>
        <w:t>EN TODOS LOS CAMPOS EXCEPTO EL FILLER, LOS ESPACIOS QUE NO SE UTILICEN SE LLENARAN CON CEROS</w:t>
      </w:r>
      <w:r w:rsidRPr="008762D1">
        <w:rPr>
          <w:rFonts w:ascii="ITC Avant Garde" w:hAnsi="ITC Avant Garde"/>
          <w:b/>
          <w:color w:val="000000" w:themeColor="text1"/>
          <w:sz w:val="18"/>
        </w:rPr>
        <w:t>.</w:t>
      </w:r>
      <w:r w:rsidRPr="008762D1">
        <w:rPr>
          <w:rFonts w:ascii="ITC Avant Garde" w:hAnsi="ITC Avant Garde"/>
          <w:b/>
          <w:color w:val="000000" w:themeColor="text1"/>
          <w:sz w:val="18"/>
        </w:rPr>
        <w:br w:type="page"/>
      </w:r>
    </w:p>
    <w:p w14:paraId="74C1B5ED" w14:textId="77777777" w:rsidR="000F0B9F" w:rsidRPr="008762D1" w:rsidRDefault="00526FE9" w:rsidP="000F0B9F">
      <w:pPr>
        <w:pStyle w:val="Textoindependiente"/>
        <w:spacing w:before="240"/>
        <w:rPr>
          <w:rFonts w:ascii="ITC Avant Garde" w:hAnsi="ITC Avant Garde"/>
          <w:b/>
          <w:color w:val="000000" w:themeColor="text1"/>
          <w:sz w:val="18"/>
        </w:rPr>
      </w:pPr>
      <w:r w:rsidRPr="008762D1">
        <w:rPr>
          <w:rFonts w:ascii="ITC Avant Garde" w:hAnsi="ITC Avant Garde"/>
          <w:b/>
          <w:color w:val="000000" w:themeColor="text1"/>
        </w:rPr>
        <w:lastRenderedPageBreak/>
        <w:t>GUIA DEL LAYOUT PARA EL INTERCAMBIO DE REGISTROS.</w:t>
      </w:r>
    </w:p>
    <w:p w14:paraId="337D5773" w14:textId="6B108B6D" w:rsidR="00526FE9" w:rsidRPr="008762D1" w:rsidRDefault="00526FE9" w:rsidP="000F0B9F">
      <w:pPr>
        <w:pStyle w:val="Textoindependiente"/>
        <w:tabs>
          <w:tab w:val="left" w:pos="360"/>
        </w:tabs>
        <w:spacing w:before="240"/>
        <w:rPr>
          <w:rFonts w:ascii="ITC Avant Garde" w:hAnsi="ITC Avant Garde"/>
          <w:b/>
          <w:color w:val="000000" w:themeColor="text1"/>
          <w:sz w:val="2"/>
        </w:rPr>
      </w:pPr>
    </w:p>
    <w:tbl>
      <w:tblPr>
        <w:tblStyle w:val="Cuadrculadetablaclara"/>
        <w:tblW w:w="0" w:type="auto"/>
        <w:jc w:val="center"/>
        <w:tblLayout w:type="fixed"/>
        <w:tblLook w:val="04A0" w:firstRow="1" w:lastRow="0" w:firstColumn="1" w:lastColumn="0" w:noHBand="0" w:noVBand="1"/>
        <w:tblCaption w:val="Tabla"/>
        <w:tblDescription w:val="GUIA DEL LAYOUT PARA EL INTERCAMBIO DE REGISTROS"/>
      </w:tblPr>
      <w:tblGrid>
        <w:gridCol w:w="876"/>
        <w:gridCol w:w="770"/>
        <w:gridCol w:w="8376"/>
      </w:tblGrid>
      <w:tr w:rsidR="008762D1" w:rsidRPr="008762D1" w14:paraId="6A345F6C" w14:textId="77777777" w:rsidTr="00664EC0">
        <w:trPr>
          <w:trHeight w:val="233"/>
          <w:tblHeader/>
          <w:jc w:val="center"/>
        </w:trPr>
        <w:tc>
          <w:tcPr>
            <w:tcW w:w="876" w:type="dxa"/>
            <w:hideMark/>
          </w:tcPr>
          <w:p w14:paraId="6A90993D"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Registro</w:t>
            </w:r>
          </w:p>
        </w:tc>
        <w:tc>
          <w:tcPr>
            <w:tcW w:w="770" w:type="dxa"/>
            <w:hideMark/>
          </w:tcPr>
          <w:p w14:paraId="4853976B" w14:textId="77777777" w:rsidR="00526FE9" w:rsidRPr="008762D1" w:rsidRDefault="00526FE9" w:rsidP="009817E0">
            <w:pPr>
              <w:rPr>
                <w:rFonts w:ascii="ITC Avant Garde" w:hAnsi="ITC Avant Garde"/>
                <w:b/>
                <w:color w:val="000000" w:themeColor="text1"/>
                <w:sz w:val="18"/>
                <w:szCs w:val="18"/>
              </w:rPr>
            </w:pPr>
            <w:r w:rsidRPr="008762D1">
              <w:rPr>
                <w:rFonts w:ascii="ITC Avant Garde" w:hAnsi="ITC Avant Garde"/>
                <w:b/>
                <w:color w:val="000000" w:themeColor="text1"/>
                <w:sz w:val="18"/>
                <w:szCs w:val="18"/>
              </w:rPr>
              <w:t>Campo</w:t>
            </w:r>
          </w:p>
        </w:tc>
        <w:tc>
          <w:tcPr>
            <w:tcW w:w="8376" w:type="dxa"/>
            <w:hideMark/>
          </w:tcPr>
          <w:p w14:paraId="49E4D10B" w14:textId="77777777" w:rsidR="00526FE9" w:rsidRPr="008762D1" w:rsidRDefault="00526FE9" w:rsidP="009817E0">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Descripción</w:t>
            </w:r>
          </w:p>
        </w:tc>
      </w:tr>
      <w:tr w:rsidR="008762D1" w:rsidRPr="008762D1" w14:paraId="01821062" w14:textId="77777777" w:rsidTr="00664EC0">
        <w:trPr>
          <w:trHeight w:val="457"/>
          <w:jc w:val="center"/>
        </w:trPr>
        <w:tc>
          <w:tcPr>
            <w:tcW w:w="876" w:type="dxa"/>
            <w:hideMark/>
          </w:tcPr>
          <w:p w14:paraId="3C51EAA7" w14:textId="77777777" w:rsidR="00526FE9" w:rsidRPr="008762D1" w:rsidRDefault="00526FE9" w:rsidP="009817E0">
            <w:pPr>
              <w:pStyle w:val="Ttulo9"/>
              <w:spacing w:before="0" w:after="0"/>
              <w:outlineLvl w:val="8"/>
              <w:rPr>
                <w:rFonts w:ascii="ITC Avant Garde" w:hAnsi="ITC Avant Garde"/>
                <w:color w:val="000000" w:themeColor="text1"/>
                <w:sz w:val="18"/>
                <w:szCs w:val="18"/>
              </w:rPr>
            </w:pPr>
            <w:proofErr w:type="spellStart"/>
            <w:r w:rsidRPr="008762D1">
              <w:rPr>
                <w:rFonts w:ascii="ITC Avant Garde" w:hAnsi="ITC Avant Garde"/>
                <w:color w:val="000000" w:themeColor="text1"/>
                <w:sz w:val="18"/>
                <w:szCs w:val="18"/>
              </w:rPr>
              <w:t>Header</w:t>
            </w:r>
            <w:proofErr w:type="spellEnd"/>
          </w:p>
        </w:tc>
        <w:tc>
          <w:tcPr>
            <w:tcW w:w="770" w:type="dxa"/>
            <w:hideMark/>
          </w:tcPr>
          <w:p w14:paraId="2DA3CDE7"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8376" w:type="dxa"/>
          </w:tcPr>
          <w:p w14:paraId="001EEA78"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Identificador de inicio de encabezado. El valor debe ser cero.</w:t>
            </w:r>
          </w:p>
          <w:p w14:paraId="3D159F03" w14:textId="77777777" w:rsidR="00526FE9" w:rsidRPr="008762D1" w:rsidRDefault="00526FE9" w:rsidP="009817E0">
            <w:pPr>
              <w:rPr>
                <w:rFonts w:ascii="ITC Avant Garde" w:hAnsi="ITC Avant Garde"/>
                <w:color w:val="000000" w:themeColor="text1"/>
                <w:sz w:val="18"/>
                <w:szCs w:val="18"/>
              </w:rPr>
            </w:pPr>
          </w:p>
        </w:tc>
      </w:tr>
      <w:tr w:rsidR="008762D1" w:rsidRPr="008762D1" w14:paraId="77E4B1AD" w14:textId="77777777" w:rsidTr="00664EC0">
        <w:trPr>
          <w:trHeight w:val="233"/>
          <w:jc w:val="center"/>
        </w:trPr>
        <w:tc>
          <w:tcPr>
            <w:tcW w:w="876" w:type="dxa"/>
          </w:tcPr>
          <w:p w14:paraId="75BB3CBD" w14:textId="77777777" w:rsidR="00526FE9" w:rsidRPr="008762D1" w:rsidRDefault="00526FE9" w:rsidP="009817E0">
            <w:pPr>
              <w:jc w:val="right"/>
              <w:rPr>
                <w:rFonts w:ascii="ITC Avant Garde" w:hAnsi="ITC Avant Garde"/>
                <w:color w:val="000000" w:themeColor="text1"/>
                <w:sz w:val="18"/>
                <w:szCs w:val="18"/>
              </w:rPr>
            </w:pPr>
          </w:p>
        </w:tc>
        <w:tc>
          <w:tcPr>
            <w:tcW w:w="770" w:type="dxa"/>
            <w:hideMark/>
          </w:tcPr>
          <w:p w14:paraId="2B162742"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8376" w:type="dxa"/>
          </w:tcPr>
          <w:p w14:paraId="0BECD317"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Clave del operador que presenta los registros.</w:t>
            </w:r>
          </w:p>
          <w:p w14:paraId="176AD11B" w14:textId="77777777" w:rsidR="00526FE9" w:rsidRPr="008762D1" w:rsidRDefault="00526FE9" w:rsidP="009817E0">
            <w:pPr>
              <w:rPr>
                <w:rFonts w:ascii="ITC Avant Garde" w:hAnsi="ITC Avant Garde"/>
                <w:color w:val="000000" w:themeColor="text1"/>
                <w:sz w:val="18"/>
                <w:szCs w:val="18"/>
              </w:rPr>
            </w:pPr>
          </w:p>
        </w:tc>
      </w:tr>
      <w:tr w:rsidR="008762D1" w:rsidRPr="008762D1" w14:paraId="508E8241" w14:textId="77777777" w:rsidTr="00664EC0">
        <w:trPr>
          <w:trHeight w:val="466"/>
          <w:jc w:val="center"/>
        </w:trPr>
        <w:tc>
          <w:tcPr>
            <w:tcW w:w="876" w:type="dxa"/>
          </w:tcPr>
          <w:p w14:paraId="1B8134E2" w14:textId="77777777" w:rsidR="00526FE9" w:rsidRPr="008762D1" w:rsidRDefault="00526FE9" w:rsidP="009817E0">
            <w:pPr>
              <w:jc w:val="right"/>
              <w:rPr>
                <w:rFonts w:ascii="ITC Avant Garde" w:hAnsi="ITC Avant Garde"/>
                <w:color w:val="000000" w:themeColor="text1"/>
                <w:sz w:val="18"/>
                <w:szCs w:val="18"/>
              </w:rPr>
            </w:pPr>
          </w:p>
        </w:tc>
        <w:tc>
          <w:tcPr>
            <w:tcW w:w="770" w:type="dxa"/>
            <w:hideMark/>
          </w:tcPr>
          <w:p w14:paraId="46D67F78"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8376" w:type="dxa"/>
          </w:tcPr>
          <w:p w14:paraId="2DE4EF5E"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Caracteres en blanco para completar la longitud del registro a 100 posiciones.</w:t>
            </w:r>
          </w:p>
          <w:p w14:paraId="42BFBBA5" w14:textId="77777777" w:rsidR="00526FE9" w:rsidRPr="008762D1" w:rsidRDefault="00526FE9" w:rsidP="009817E0">
            <w:pPr>
              <w:rPr>
                <w:rFonts w:ascii="ITC Avant Garde" w:hAnsi="ITC Avant Garde"/>
                <w:color w:val="000000" w:themeColor="text1"/>
                <w:sz w:val="18"/>
                <w:szCs w:val="18"/>
              </w:rPr>
            </w:pPr>
          </w:p>
        </w:tc>
      </w:tr>
      <w:tr w:rsidR="008762D1" w:rsidRPr="008762D1" w14:paraId="62F05901" w14:textId="77777777" w:rsidTr="00664EC0">
        <w:trPr>
          <w:trHeight w:val="233"/>
          <w:jc w:val="center"/>
        </w:trPr>
        <w:tc>
          <w:tcPr>
            <w:tcW w:w="876" w:type="dxa"/>
            <w:hideMark/>
          </w:tcPr>
          <w:p w14:paraId="4A7A13D1" w14:textId="77777777" w:rsidR="00526FE9" w:rsidRPr="008762D1" w:rsidRDefault="00526FE9" w:rsidP="009817E0">
            <w:pPr>
              <w:pStyle w:val="Ttulo9"/>
              <w:spacing w:before="0" w:after="0"/>
              <w:outlineLvl w:val="8"/>
              <w:rPr>
                <w:rFonts w:ascii="ITC Avant Garde" w:hAnsi="ITC Avant Garde"/>
                <w:color w:val="000000" w:themeColor="text1"/>
                <w:sz w:val="18"/>
                <w:szCs w:val="18"/>
              </w:rPr>
            </w:pPr>
            <w:r w:rsidRPr="008762D1">
              <w:rPr>
                <w:rFonts w:ascii="ITC Avant Garde" w:hAnsi="ITC Avant Garde"/>
                <w:color w:val="000000" w:themeColor="text1"/>
                <w:sz w:val="18"/>
                <w:szCs w:val="18"/>
              </w:rPr>
              <w:t>Detalle</w:t>
            </w:r>
          </w:p>
        </w:tc>
        <w:tc>
          <w:tcPr>
            <w:tcW w:w="770" w:type="dxa"/>
            <w:hideMark/>
          </w:tcPr>
          <w:p w14:paraId="48570CB2"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8376" w:type="dxa"/>
          </w:tcPr>
          <w:p w14:paraId="4E8EE55A"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Identificador de inicio de registro detalle, el valor debe ser uno.</w:t>
            </w:r>
          </w:p>
          <w:p w14:paraId="5B017B9F" w14:textId="77777777" w:rsidR="00526FE9" w:rsidRPr="008762D1" w:rsidRDefault="00526FE9" w:rsidP="009817E0">
            <w:pPr>
              <w:rPr>
                <w:rFonts w:ascii="ITC Avant Garde" w:hAnsi="ITC Avant Garde"/>
                <w:color w:val="000000" w:themeColor="text1"/>
                <w:sz w:val="18"/>
                <w:szCs w:val="18"/>
              </w:rPr>
            </w:pPr>
          </w:p>
        </w:tc>
      </w:tr>
      <w:tr w:rsidR="008762D1" w:rsidRPr="008762D1" w14:paraId="2DE97CB7" w14:textId="77777777" w:rsidTr="00664EC0">
        <w:trPr>
          <w:trHeight w:val="466"/>
          <w:jc w:val="center"/>
        </w:trPr>
        <w:tc>
          <w:tcPr>
            <w:tcW w:w="876" w:type="dxa"/>
          </w:tcPr>
          <w:p w14:paraId="399357D3"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649D1909"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8376" w:type="dxa"/>
            <w:hideMark/>
          </w:tcPr>
          <w:p w14:paraId="79D650DF"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Número de origen justificado a la derecha.</w:t>
            </w:r>
          </w:p>
        </w:tc>
      </w:tr>
      <w:tr w:rsidR="008762D1" w:rsidRPr="008762D1" w14:paraId="168C505B" w14:textId="77777777" w:rsidTr="00664EC0">
        <w:trPr>
          <w:trHeight w:val="466"/>
          <w:jc w:val="center"/>
        </w:trPr>
        <w:tc>
          <w:tcPr>
            <w:tcW w:w="876" w:type="dxa"/>
          </w:tcPr>
          <w:p w14:paraId="71623C23"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60AA0BBD"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8376" w:type="dxa"/>
          </w:tcPr>
          <w:p w14:paraId="769149C4"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Número de destino justificado a la derecha.</w:t>
            </w:r>
          </w:p>
          <w:p w14:paraId="3EC7EAED" w14:textId="77777777" w:rsidR="00526FE9" w:rsidRPr="008762D1" w:rsidRDefault="00526FE9" w:rsidP="009817E0">
            <w:pPr>
              <w:rPr>
                <w:rFonts w:ascii="ITC Avant Garde" w:hAnsi="ITC Avant Garde"/>
                <w:color w:val="000000" w:themeColor="text1"/>
                <w:sz w:val="18"/>
                <w:szCs w:val="18"/>
              </w:rPr>
            </w:pPr>
          </w:p>
        </w:tc>
      </w:tr>
      <w:tr w:rsidR="008762D1" w:rsidRPr="008762D1" w14:paraId="16D934E3" w14:textId="77777777" w:rsidTr="00664EC0">
        <w:trPr>
          <w:trHeight w:val="233"/>
          <w:jc w:val="center"/>
        </w:trPr>
        <w:tc>
          <w:tcPr>
            <w:tcW w:w="876" w:type="dxa"/>
          </w:tcPr>
          <w:p w14:paraId="1FF366C3"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57BA070D"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4</w:t>
            </w:r>
          </w:p>
        </w:tc>
        <w:tc>
          <w:tcPr>
            <w:tcW w:w="8376" w:type="dxa"/>
            <w:hideMark/>
          </w:tcPr>
          <w:p w14:paraId="16AD711D"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Día en que inicio la llamada.</w:t>
            </w:r>
          </w:p>
        </w:tc>
      </w:tr>
      <w:tr w:rsidR="008762D1" w:rsidRPr="008762D1" w14:paraId="6A598A0D" w14:textId="77777777" w:rsidTr="00664EC0">
        <w:trPr>
          <w:trHeight w:val="466"/>
          <w:jc w:val="center"/>
        </w:trPr>
        <w:tc>
          <w:tcPr>
            <w:tcW w:w="876" w:type="dxa"/>
          </w:tcPr>
          <w:p w14:paraId="25CEA9A8"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044F468F"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8376" w:type="dxa"/>
            <w:hideMark/>
          </w:tcPr>
          <w:p w14:paraId="70529C16"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La duración será en SEGUNDOS.</w:t>
            </w:r>
          </w:p>
          <w:p w14:paraId="2C3AE46A"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Justificado a la derecha. </w:t>
            </w:r>
          </w:p>
        </w:tc>
      </w:tr>
      <w:tr w:rsidR="008762D1" w:rsidRPr="008762D1" w14:paraId="5F604B5C" w14:textId="77777777" w:rsidTr="00664EC0">
        <w:trPr>
          <w:trHeight w:val="424"/>
          <w:jc w:val="center"/>
        </w:trPr>
        <w:tc>
          <w:tcPr>
            <w:tcW w:w="876" w:type="dxa"/>
          </w:tcPr>
          <w:p w14:paraId="081202DF"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3604D8F0"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6</w:t>
            </w:r>
          </w:p>
        </w:tc>
        <w:tc>
          <w:tcPr>
            <w:tcW w:w="8376" w:type="dxa"/>
            <w:hideMark/>
          </w:tcPr>
          <w:p w14:paraId="7303444E"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Hora en la cual inicio la llamada.</w:t>
            </w:r>
          </w:p>
        </w:tc>
      </w:tr>
      <w:tr w:rsidR="008762D1" w:rsidRPr="008762D1" w14:paraId="5CEB8D95" w14:textId="77777777" w:rsidTr="00664EC0">
        <w:trPr>
          <w:trHeight w:val="233"/>
          <w:jc w:val="center"/>
        </w:trPr>
        <w:tc>
          <w:tcPr>
            <w:tcW w:w="876" w:type="dxa"/>
          </w:tcPr>
          <w:p w14:paraId="0C37FF56"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5B4B43D5"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7</w:t>
            </w:r>
          </w:p>
        </w:tc>
        <w:tc>
          <w:tcPr>
            <w:tcW w:w="8376" w:type="dxa"/>
            <w:hideMark/>
          </w:tcPr>
          <w:p w14:paraId="7176280E"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Indica el tipo de tráfico: 01Terminación para los consumos locales que facture el OPERADOR a TELMEX.  03 Tránsito (Local, celular y de LD). 05 Originado (LD).  06 Terminado (LD).</w:t>
            </w:r>
          </w:p>
        </w:tc>
      </w:tr>
      <w:tr w:rsidR="008762D1" w:rsidRPr="008762D1" w14:paraId="399A8011" w14:textId="77777777" w:rsidTr="00664EC0">
        <w:trPr>
          <w:trHeight w:val="466"/>
          <w:jc w:val="center"/>
        </w:trPr>
        <w:tc>
          <w:tcPr>
            <w:tcW w:w="876" w:type="dxa"/>
          </w:tcPr>
          <w:p w14:paraId="53A36791"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3EC908BB"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8</w:t>
            </w:r>
          </w:p>
        </w:tc>
        <w:tc>
          <w:tcPr>
            <w:tcW w:w="8376" w:type="dxa"/>
            <w:hideMark/>
          </w:tcPr>
          <w:p w14:paraId="4160CCB8"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Identificador de la procedencia de la llamada 0</w:t>
            </w:r>
            <w:proofErr w:type="gramStart"/>
            <w:r w:rsidRPr="008762D1">
              <w:rPr>
                <w:rFonts w:ascii="ITC Avant Garde" w:hAnsi="ITC Avant Garde"/>
                <w:color w:val="000000" w:themeColor="text1"/>
                <w:sz w:val="18"/>
                <w:szCs w:val="18"/>
              </w:rPr>
              <w:t>:Nacional</w:t>
            </w:r>
            <w:proofErr w:type="gramEnd"/>
            <w:r w:rsidRPr="008762D1">
              <w:rPr>
                <w:rFonts w:ascii="ITC Avant Garde" w:hAnsi="ITC Avant Garde"/>
                <w:color w:val="000000" w:themeColor="text1"/>
                <w:sz w:val="18"/>
                <w:szCs w:val="18"/>
              </w:rPr>
              <w:t>, 1:Internacional, 2:Mundial.</w:t>
            </w:r>
          </w:p>
        </w:tc>
      </w:tr>
      <w:tr w:rsidR="008762D1" w:rsidRPr="008762D1" w14:paraId="5A5BDF8F" w14:textId="77777777" w:rsidTr="00664EC0">
        <w:trPr>
          <w:trHeight w:val="233"/>
          <w:jc w:val="center"/>
        </w:trPr>
        <w:tc>
          <w:tcPr>
            <w:tcW w:w="876" w:type="dxa"/>
          </w:tcPr>
          <w:p w14:paraId="772FE21E"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03027FDB"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9</w:t>
            </w:r>
          </w:p>
        </w:tc>
        <w:tc>
          <w:tcPr>
            <w:tcW w:w="8376" w:type="dxa"/>
          </w:tcPr>
          <w:p w14:paraId="11EF97DA"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Tipo de llamada 1</w:t>
            </w:r>
            <w:proofErr w:type="gramStart"/>
            <w:r w:rsidRPr="008762D1">
              <w:rPr>
                <w:rFonts w:ascii="ITC Avant Garde" w:hAnsi="ITC Avant Garde"/>
                <w:color w:val="000000" w:themeColor="text1"/>
                <w:sz w:val="18"/>
                <w:szCs w:val="18"/>
              </w:rPr>
              <w:t>:Automática</w:t>
            </w:r>
            <w:proofErr w:type="gramEnd"/>
            <w:r w:rsidRPr="008762D1">
              <w:rPr>
                <w:rFonts w:ascii="ITC Avant Garde" w:hAnsi="ITC Avant Garde"/>
                <w:color w:val="000000" w:themeColor="text1"/>
                <w:sz w:val="18"/>
                <w:szCs w:val="18"/>
              </w:rPr>
              <w:t>, 8:No. 800.</w:t>
            </w:r>
          </w:p>
          <w:p w14:paraId="2FA14EE1" w14:textId="77777777" w:rsidR="00526FE9" w:rsidRPr="008762D1" w:rsidRDefault="00526FE9" w:rsidP="009817E0">
            <w:pPr>
              <w:rPr>
                <w:rFonts w:ascii="ITC Avant Garde" w:hAnsi="ITC Avant Garde"/>
                <w:color w:val="000000" w:themeColor="text1"/>
                <w:sz w:val="18"/>
                <w:szCs w:val="18"/>
              </w:rPr>
            </w:pPr>
          </w:p>
        </w:tc>
      </w:tr>
      <w:tr w:rsidR="008762D1" w:rsidRPr="008762D1" w14:paraId="36CEE60B" w14:textId="77777777" w:rsidTr="00664EC0">
        <w:trPr>
          <w:trHeight w:val="537"/>
          <w:jc w:val="center"/>
        </w:trPr>
        <w:tc>
          <w:tcPr>
            <w:tcW w:w="876" w:type="dxa"/>
          </w:tcPr>
          <w:p w14:paraId="119C5847" w14:textId="77777777" w:rsidR="00526FE9" w:rsidRPr="008762D1" w:rsidRDefault="00526FE9" w:rsidP="009817E0">
            <w:pPr>
              <w:jc w:val="center"/>
              <w:rPr>
                <w:rFonts w:ascii="ITC Avant Garde" w:hAnsi="ITC Avant Garde"/>
                <w:color w:val="000000" w:themeColor="text1"/>
                <w:sz w:val="18"/>
                <w:szCs w:val="18"/>
              </w:rPr>
            </w:pPr>
          </w:p>
        </w:tc>
        <w:tc>
          <w:tcPr>
            <w:tcW w:w="770" w:type="dxa"/>
            <w:hideMark/>
          </w:tcPr>
          <w:p w14:paraId="35F361C7"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10</w:t>
            </w:r>
          </w:p>
        </w:tc>
        <w:tc>
          <w:tcPr>
            <w:tcW w:w="8376" w:type="dxa"/>
            <w:hideMark/>
          </w:tcPr>
          <w:p w14:paraId="54FADBCB"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Caracteres en blanco para completar la longitud del registro a 100 posiciones</w:t>
            </w:r>
          </w:p>
        </w:tc>
      </w:tr>
    </w:tbl>
    <w:p w14:paraId="3A5C1208" w14:textId="77777777" w:rsidR="00526FE9" w:rsidRPr="008762D1" w:rsidRDefault="00526FE9" w:rsidP="000F0B9F">
      <w:pPr>
        <w:spacing w:before="240"/>
        <w:rPr>
          <w:rFonts w:ascii="ITC Avant Garde" w:hAnsi="ITC Avant Garde"/>
          <w:color w:val="000000" w:themeColor="text1"/>
          <w:sz w:val="24"/>
          <w:szCs w:val="24"/>
          <w:lang w:val="es-ES" w:eastAsia="es-ES"/>
        </w:rPr>
      </w:pPr>
      <w:r w:rsidRPr="008762D1">
        <w:rPr>
          <w:rFonts w:ascii="ITC Avant Garde" w:hAnsi="ITC Avant Garde"/>
          <w:color w:val="000000" w:themeColor="text1"/>
        </w:rPr>
        <w:br w:type="page"/>
      </w:r>
    </w:p>
    <w:tbl>
      <w:tblPr>
        <w:tblStyle w:val="Cuadrculadetablaclara"/>
        <w:tblW w:w="0" w:type="auto"/>
        <w:jc w:val="center"/>
        <w:tblLayout w:type="fixed"/>
        <w:tblLook w:val="04A0" w:firstRow="1" w:lastRow="0" w:firstColumn="1" w:lastColumn="0" w:noHBand="0" w:noVBand="1"/>
        <w:tblCaption w:val="Tabla"/>
        <w:tblDescription w:val="GUIA DEL LAYOUT PARA EL INTERCAMBIO DE REGISTROS"/>
      </w:tblPr>
      <w:tblGrid>
        <w:gridCol w:w="876"/>
        <w:gridCol w:w="770"/>
        <w:gridCol w:w="8376"/>
      </w:tblGrid>
      <w:tr w:rsidR="008762D1" w:rsidRPr="008762D1" w14:paraId="00D6F8C7" w14:textId="77777777" w:rsidTr="00664EC0">
        <w:trPr>
          <w:trHeight w:val="233"/>
          <w:tblHeader/>
          <w:jc w:val="center"/>
        </w:trPr>
        <w:tc>
          <w:tcPr>
            <w:tcW w:w="876" w:type="dxa"/>
            <w:hideMark/>
          </w:tcPr>
          <w:p w14:paraId="792C952B" w14:textId="77777777" w:rsidR="00526FE9" w:rsidRPr="008762D1" w:rsidRDefault="00526FE9" w:rsidP="009817E0">
            <w:pPr>
              <w:jc w:val="center"/>
              <w:rPr>
                <w:rFonts w:ascii="ITC Avant Garde" w:hAnsi="ITC Avant Garde"/>
                <w:b/>
                <w:color w:val="000000" w:themeColor="text1"/>
                <w:sz w:val="18"/>
                <w:szCs w:val="18"/>
              </w:rPr>
            </w:pPr>
            <w:proofErr w:type="spellStart"/>
            <w:r w:rsidRPr="008762D1">
              <w:rPr>
                <w:rFonts w:ascii="ITC Avant Garde" w:hAnsi="ITC Avant Garde"/>
                <w:b/>
                <w:color w:val="000000" w:themeColor="text1"/>
                <w:sz w:val="18"/>
                <w:szCs w:val="18"/>
              </w:rPr>
              <w:lastRenderedPageBreak/>
              <w:t>Trailer</w:t>
            </w:r>
            <w:proofErr w:type="spellEnd"/>
          </w:p>
        </w:tc>
        <w:tc>
          <w:tcPr>
            <w:tcW w:w="770" w:type="dxa"/>
            <w:hideMark/>
          </w:tcPr>
          <w:p w14:paraId="3E6391C6"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8376" w:type="dxa"/>
          </w:tcPr>
          <w:p w14:paraId="0CDC3C37"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Identificador de inicio de </w:t>
            </w:r>
            <w:proofErr w:type="spellStart"/>
            <w:r w:rsidRPr="008762D1">
              <w:rPr>
                <w:rFonts w:ascii="ITC Avant Garde" w:hAnsi="ITC Avant Garde"/>
                <w:color w:val="000000" w:themeColor="text1"/>
                <w:sz w:val="18"/>
                <w:szCs w:val="18"/>
              </w:rPr>
              <w:t>trailer</w:t>
            </w:r>
            <w:proofErr w:type="spellEnd"/>
            <w:r w:rsidRPr="008762D1">
              <w:rPr>
                <w:rFonts w:ascii="ITC Avant Garde" w:hAnsi="ITC Avant Garde"/>
                <w:color w:val="000000" w:themeColor="text1"/>
                <w:sz w:val="18"/>
                <w:szCs w:val="18"/>
              </w:rPr>
              <w:t>. El valor debe ser 9.</w:t>
            </w:r>
          </w:p>
          <w:p w14:paraId="77FEB0F1" w14:textId="77777777" w:rsidR="00526FE9" w:rsidRPr="008762D1" w:rsidRDefault="00526FE9" w:rsidP="009817E0">
            <w:pPr>
              <w:rPr>
                <w:rFonts w:ascii="ITC Avant Garde" w:hAnsi="ITC Avant Garde"/>
                <w:color w:val="000000" w:themeColor="text1"/>
                <w:sz w:val="18"/>
                <w:szCs w:val="18"/>
              </w:rPr>
            </w:pPr>
          </w:p>
        </w:tc>
      </w:tr>
      <w:tr w:rsidR="008762D1" w:rsidRPr="008762D1" w14:paraId="2B985F85" w14:textId="77777777" w:rsidTr="00664EC0">
        <w:trPr>
          <w:trHeight w:val="233"/>
          <w:tblHeader/>
          <w:jc w:val="center"/>
        </w:trPr>
        <w:tc>
          <w:tcPr>
            <w:tcW w:w="876" w:type="dxa"/>
          </w:tcPr>
          <w:p w14:paraId="52129B12" w14:textId="77777777" w:rsidR="00526FE9" w:rsidRPr="008762D1" w:rsidRDefault="00526FE9" w:rsidP="009817E0">
            <w:pPr>
              <w:jc w:val="right"/>
              <w:rPr>
                <w:rFonts w:ascii="ITC Avant Garde" w:hAnsi="ITC Avant Garde"/>
                <w:color w:val="000000" w:themeColor="text1"/>
                <w:sz w:val="18"/>
                <w:szCs w:val="18"/>
              </w:rPr>
            </w:pPr>
          </w:p>
        </w:tc>
        <w:tc>
          <w:tcPr>
            <w:tcW w:w="770" w:type="dxa"/>
            <w:hideMark/>
          </w:tcPr>
          <w:p w14:paraId="2ED3E4E6"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8376" w:type="dxa"/>
          </w:tcPr>
          <w:p w14:paraId="120104F4"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Clave del operador que presenta los registros, CIC (Código de Identificación de </w:t>
            </w:r>
            <w:proofErr w:type="spellStart"/>
            <w:r w:rsidRPr="008762D1">
              <w:rPr>
                <w:rFonts w:ascii="ITC Avant Garde" w:hAnsi="ITC Avant Garde"/>
                <w:color w:val="000000" w:themeColor="text1"/>
                <w:sz w:val="18"/>
                <w:szCs w:val="18"/>
              </w:rPr>
              <w:t>Carrier</w:t>
            </w:r>
            <w:proofErr w:type="spellEnd"/>
            <w:r w:rsidRPr="008762D1">
              <w:rPr>
                <w:rFonts w:ascii="ITC Avant Garde" w:hAnsi="ITC Avant Garde"/>
                <w:color w:val="000000" w:themeColor="text1"/>
                <w:sz w:val="18"/>
                <w:szCs w:val="18"/>
              </w:rPr>
              <w:t>).</w:t>
            </w:r>
          </w:p>
          <w:p w14:paraId="4C27BD5C" w14:textId="77777777" w:rsidR="00526FE9" w:rsidRPr="008762D1" w:rsidRDefault="00526FE9" w:rsidP="009817E0">
            <w:pPr>
              <w:rPr>
                <w:rFonts w:ascii="ITC Avant Garde" w:hAnsi="ITC Avant Garde"/>
                <w:color w:val="000000" w:themeColor="text1"/>
                <w:sz w:val="18"/>
                <w:szCs w:val="18"/>
              </w:rPr>
            </w:pPr>
          </w:p>
        </w:tc>
      </w:tr>
      <w:tr w:rsidR="008762D1" w:rsidRPr="008762D1" w14:paraId="188EEDFD" w14:textId="77777777" w:rsidTr="00664EC0">
        <w:trPr>
          <w:trHeight w:val="233"/>
          <w:tblHeader/>
          <w:jc w:val="center"/>
        </w:trPr>
        <w:tc>
          <w:tcPr>
            <w:tcW w:w="876" w:type="dxa"/>
          </w:tcPr>
          <w:p w14:paraId="0F9536C7" w14:textId="77777777" w:rsidR="00526FE9" w:rsidRPr="008762D1" w:rsidRDefault="00526FE9" w:rsidP="009817E0">
            <w:pPr>
              <w:jc w:val="right"/>
              <w:rPr>
                <w:rFonts w:ascii="ITC Avant Garde" w:hAnsi="ITC Avant Garde"/>
                <w:color w:val="000000" w:themeColor="text1"/>
                <w:sz w:val="18"/>
                <w:szCs w:val="18"/>
              </w:rPr>
            </w:pPr>
          </w:p>
        </w:tc>
        <w:tc>
          <w:tcPr>
            <w:tcW w:w="770" w:type="dxa"/>
            <w:hideMark/>
          </w:tcPr>
          <w:p w14:paraId="6A633261"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8376" w:type="dxa"/>
          </w:tcPr>
          <w:p w14:paraId="7A909504"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Fecha de proceso del archivo de intercambio.</w:t>
            </w:r>
          </w:p>
          <w:p w14:paraId="17B1BC3B" w14:textId="77777777" w:rsidR="00526FE9" w:rsidRPr="008762D1" w:rsidRDefault="00526FE9" w:rsidP="009817E0">
            <w:pPr>
              <w:rPr>
                <w:rFonts w:ascii="ITC Avant Garde" w:hAnsi="ITC Avant Garde"/>
                <w:color w:val="000000" w:themeColor="text1"/>
                <w:sz w:val="18"/>
                <w:szCs w:val="18"/>
              </w:rPr>
            </w:pPr>
          </w:p>
        </w:tc>
      </w:tr>
      <w:tr w:rsidR="008762D1" w:rsidRPr="008762D1" w14:paraId="55D285F8" w14:textId="77777777" w:rsidTr="00664EC0">
        <w:trPr>
          <w:trHeight w:val="233"/>
          <w:tblHeader/>
          <w:jc w:val="center"/>
        </w:trPr>
        <w:tc>
          <w:tcPr>
            <w:tcW w:w="876" w:type="dxa"/>
          </w:tcPr>
          <w:p w14:paraId="3E4CD27C" w14:textId="77777777" w:rsidR="00526FE9" w:rsidRPr="008762D1" w:rsidRDefault="00526FE9" w:rsidP="009817E0">
            <w:pPr>
              <w:jc w:val="right"/>
              <w:rPr>
                <w:rFonts w:ascii="ITC Avant Garde" w:hAnsi="ITC Avant Garde"/>
                <w:color w:val="000000" w:themeColor="text1"/>
                <w:sz w:val="18"/>
                <w:szCs w:val="18"/>
              </w:rPr>
            </w:pPr>
          </w:p>
        </w:tc>
        <w:tc>
          <w:tcPr>
            <w:tcW w:w="770" w:type="dxa"/>
            <w:hideMark/>
          </w:tcPr>
          <w:p w14:paraId="2433B524"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4</w:t>
            </w:r>
          </w:p>
        </w:tc>
        <w:tc>
          <w:tcPr>
            <w:tcW w:w="8376" w:type="dxa"/>
          </w:tcPr>
          <w:p w14:paraId="6EB8F49A"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Número total de  llamadas  </w:t>
            </w:r>
            <w:proofErr w:type="spellStart"/>
            <w:r w:rsidRPr="008762D1">
              <w:rPr>
                <w:rFonts w:ascii="ITC Avant Garde" w:hAnsi="ITC Avant Garde"/>
                <w:color w:val="000000" w:themeColor="text1"/>
                <w:sz w:val="18"/>
                <w:szCs w:val="18"/>
              </w:rPr>
              <w:t>Llamadas</w:t>
            </w:r>
            <w:proofErr w:type="spellEnd"/>
            <w:r w:rsidRPr="008762D1">
              <w:rPr>
                <w:rFonts w:ascii="ITC Avant Garde" w:hAnsi="ITC Avant Garde"/>
                <w:color w:val="000000" w:themeColor="text1"/>
                <w:sz w:val="18"/>
                <w:szCs w:val="18"/>
              </w:rPr>
              <w:t xml:space="preserve"> obtenidas de la serie intercambiada.</w:t>
            </w:r>
          </w:p>
          <w:p w14:paraId="488C9F92" w14:textId="77777777" w:rsidR="00526FE9" w:rsidRPr="008762D1" w:rsidRDefault="00526FE9" w:rsidP="009817E0">
            <w:pPr>
              <w:rPr>
                <w:rFonts w:ascii="ITC Avant Garde" w:hAnsi="ITC Avant Garde"/>
                <w:color w:val="000000" w:themeColor="text1"/>
                <w:sz w:val="18"/>
                <w:szCs w:val="18"/>
              </w:rPr>
            </w:pPr>
          </w:p>
        </w:tc>
      </w:tr>
      <w:tr w:rsidR="00526FE9" w:rsidRPr="008762D1" w14:paraId="20BDF434" w14:textId="77777777" w:rsidTr="00664EC0">
        <w:trPr>
          <w:trHeight w:val="233"/>
          <w:tblHeader/>
          <w:jc w:val="center"/>
        </w:trPr>
        <w:tc>
          <w:tcPr>
            <w:tcW w:w="876" w:type="dxa"/>
          </w:tcPr>
          <w:p w14:paraId="086A6472" w14:textId="77777777" w:rsidR="00526FE9" w:rsidRPr="008762D1" w:rsidRDefault="00526FE9" w:rsidP="009817E0">
            <w:pPr>
              <w:jc w:val="right"/>
              <w:rPr>
                <w:rFonts w:ascii="ITC Avant Garde" w:hAnsi="ITC Avant Garde"/>
                <w:color w:val="000000" w:themeColor="text1"/>
                <w:sz w:val="18"/>
                <w:szCs w:val="18"/>
              </w:rPr>
            </w:pPr>
          </w:p>
        </w:tc>
        <w:tc>
          <w:tcPr>
            <w:tcW w:w="770" w:type="dxa"/>
            <w:hideMark/>
          </w:tcPr>
          <w:p w14:paraId="749C2BB9" w14:textId="77777777" w:rsidR="00526FE9" w:rsidRPr="008762D1" w:rsidRDefault="00526FE9" w:rsidP="009817E0">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8376" w:type="dxa"/>
          </w:tcPr>
          <w:p w14:paraId="26464EE5" w14:textId="77777777" w:rsidR="00526FE9" w:rsidRPr="008762D1" w:rsidRDefault="00526FE9" w:rsidP="009817E0">
            <w:pPr>
              <w:rPr>
                <w:rFonts w:ascii="ITC Avant Garde" w:hAnsi="ITC Avant Garde"/>
                <w:color w:val="000000" w:themeColor="text1"/>
                <w:sz w:val="18"/>
                <w:szCs w:val="18"/>
              </w:rPr>
            </w:pPr>
            <w:r w:rsidRPr="008762D1">
              <w:rPr>
                <w:rFonts w:ascii="ITC Avant Garde" w:hAnsi="ITC Avant Garde"/>
                <w:color w:val="000000" w:themeColor="text1"/>
                <w:sz w:val="18"/>
                <w:szCs w:val="18"/>
              </w:rPr>
              <w:t>Caracteres en blanco para completar la longitud del registro a 100 posiciones</w:t>
            </w:r>
          </w:p>
          <w:p w14:paraId="724D763D" w14:textId="77777777" w:rsidR="00526FE9" w:rsidRPr="008762D1" w:rsidRDefault="00526FE9" w:rsidP="009817E0">
            <w:pPr>
              <w:rPr>
                <w:rFonts w:ascii="ITC Avant Garde" w:hAnsi="ITC Avant Garde"/>
                <w:color w:val="000000" w:themeColor="text1"/>
                <w:sz w:val="18"/>
                <w:szCs w:val="18"/>
              </w:rPr>
            </w:pPr>
          </w:p>
        </w:tc>
      </w:tr>
    </w:tbl>
    <w:p w14:paraId="324E340D" w14:textId="77777777" w:rsidR="00526FE9" w:rsidRPr="008762D1" w:rsidRDefault="00526FE9" w:rsidP="000F0B9F">
      <w:pPr>
        <w:spacing w:before="240"/>
        <w:ind w:left="-284"/>
        <w:rPr>
          <w:rFonts w:ascii="ITC Avant Garde" w:hAnsi="ITC Avant Garde"/>
          <w:b/>
          <w:color w:val="000000" w:themeColor="text1"/>
          <w:sz w:val="24"/>
          <w:szCs w:val="24"/>
          <w:lang w:val="es-ES" w:eastAsia="es-ES"/>
        </w:rPr>
      </w:pPr>
    </w:p>
    <w:p w14:paraId="7D2FA34C" w14:textId="77777777" w:rsidR="00526FE9" w:rsidRPr="008762D1" w:rsidRDefault="00526FE9" w:rsidP="000F0B9F">
      <w:pPr>
        <w:spacing w:before="240"/>
        <w:rPr>
          <w:rFonts w:ascii="ITC Avant Garde" w:hAnsi="ITC Avant Garde"/>
          <w:iCs/>
          <w:color w:val="000000" w:themeColor="text1"/>
        </w:rPr>
        <w:sectPr w:rsidR="00526FE9" w:rsidRPr="008762D1">
          <w:pgSz w:w="15840" w:h="12240" w:orient="landscape"/>
          <w:pgMar w:top="1134" w:right="1440" w:bottom="624" w:left="1440" w:header="720" w:footer="720" w:gutter="0"/>
          <w:pgNumType w:start="1"/>
          <w:cols w:space="720"/>
        </w:sectPr>
      </w:pPr>
    </w:p>
    <w:p w14:paraId="08416B23" w14:textId="77777777" w:rsidR="000F0B9F" w:rsidRPr="008762D1" w:rsidRDefault="00526FE9" w:rsidP="002C0F86">
      <w:pPr>
        <w:jc w:val="center"/>
        <w:rPr>
          <w:rFonts w:ascii="ITC Avant Garde" w:hAnsi="ITC Avant Garde"/>
          <w:color w:val="000000" w:themeColor="text1"/>
        </w:rPr>
      </w:pPr>
      <w:r w:rsidRPr="008762D1">
        <w:rPr>
          <w:rFonts w:ascii="ITC Avant Garde" w:hAnsi="ITC Avant Garde"/>
          <w:color w:val="000000" w:themeColor="text1"/>
        </w:rPr>
        <w:lastRenderedPageBreak/>
        <w:t>ANEXO 3</w:t>
      </w:r>
    </w:p>
    <w:p w14:paraId="08FB9A66" w14:textId="506D32C4" w:rsidR="00526FE9" w:rsidRPr="008762D1" w:rsidRDefault="00526FE9" w:rsidP="000F0B9F">
      <w:pPr>
        <w:spacing w:before="240"/>
        <w:rPr>
          <w:rFonts w:ascii="ITC Avant Garde" w:hAnsi="ITC Avant Garde"/>
          <w:b/>
          <w:color w:val="000000" w:themeColor="text1"/>
          <w:sz w:val="24"/>
        </w:rPr>
      </w:pPr>
      <w:r w:rsidRPr="008762D1">
        <w:rPr>
          <w:rFonts w:ascii="ITC Avant Garde" w:hAnsi="ITC Avant Garde"/>
          <w:b/>
          <w:color w:val="000000" w:themeColor="text1"/>
        </w:rPr>
        <w:t>LAYOUT  PARA LA PRESENTACIÓN DE OBJECIONES PARA LOS SERVICIOS DE INTERCONEXIÓN.</w:t>
      </w:r>
    </w:p>
    <w:p w14:paraId="375EE5D7" w14:textId="77777777" w:rsidR="00526FE9" w:rsidRPr="008762D1" w:rsidRDefault="00526FE9" w:rsidP="000F0B9F">
      <w:pPr>
        <w:spacing w:before="240"/>
        <w:rPr>
          <w:rFonts w:ascii="ITC Avant Garde" w:hAnsi="ITC Avant Garde"/>
          <w:color w:val="000000" w:themeColor="text1"/>
        </w:rPr>
      </w:pPr>
    </w:p>
    <w:tbl>
      <w:tblPr>
        <w:tblStyle w:val="Cuadrculadetablaclara"/>
        <w:tblW w:w="12900" w:type="dxa"/>
        <w:jc w:val="center"/>
        <w:tblLayout w:type="fixed"/>
        <w:tblLook w:val="04A0" w:firstRow="1" w:lastRow="0" w:firstColumn="1" w:lastColumn="0" w:noHBand="0" w:noVBand="1"/>
        <w:tblCaption w:val="Tabla"/>
        <w:tblDescription w:val="ANEXO 3&#10;LAYOUT  PARA LA PRESENTACIÓN DE OBJECIONES PARA LOS SERVICIOS DE INTERCONEXIÓN."/>
      </w:tblPr>
      <w:tblGrid>
        <w:gridCol w:w="496"/>
        <w:gridCol w:w="2409"/>
        <w:gridCol w:w="709"/>
        <w:gridCol w:w="1276"/>
        <w:gridCol w:w="1276"/>
        <w:gridCol w:w="6734"/>
      </w:tblGrid>
      <w:tr w:rsidR="008762D1" w:rsidRPr="008762D1" w14:paraId="393B5B7C" w14:textId="77777777" w:rsidTr="00664EC0">
        <w:trPr>
          <w:tblHeader/>
          <w:jc w:val="center"/>
        </w:trPr>
        <w:tc>
          <w:tcPr>
            <w:tcW w:w="496" w:type="dxa"/>
          </w:tcPr>
          <w:p w14:paraId="4EA43814" w14:textId="77777777" w:rsidR="00526FE9" w:rsidRPr="008762D1" w:rsidRDefault="00526FE9" w:rsidP="00A70BE9">
            <w:pPr>
              <w:jc w:val="center"/>
              <w:rPr>
                <w:rFonts w:ascii="ITC Avant Garde" w:hAnsi="ITC Avant Garde"/>
                <w:color w:val="000000" w:themeColor="text1"/>
                <w:sz w:val="18"/>
                <w:szCs w:val="18"/>
              </w:rPr>
            </w:pPr>
          </w:p>
        </w:tc>
        <w:tc>
          <w:tcPr>
            <w:tcW w:w="2409" w:type="dxa"/>
            <w:hideMark/>
          </w:tcPr>
          <w:p w14:paraId="0D084257" w14:textId="77777777" w:rsidR="00526FE9" w:rsidRPr="008762D1" w:rsidRDefault="00526FE9" w:rsidP="00A70BE9">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NOMBRE</w:t>
            </w:r>
          </w:p>
        </w:tc>
        <w:tc>
          <w:tcPr>
            <w:tcW w:w="709" w:type="dxa"/>
            <w:hideMark/>
          </w:tcPr>
          <w:p w14:paraId="10E5CCBD" w14:textId="77777777" w:rsidR="00526FE9" w:rsidRPr="008762D1" w:rsidRDefault="00526FE9" w:rsidP="00A70BE9">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 xml:space="preserve"> TIPO</w:t>
            </w:r>
          </w:p>
        </w:tc>
        <w:tc>
          <w:tcPr>
            <w:tcW w:w="1276" w:type="dxa"/>
            <w:hideMark/>
          </w:tcPr>
          <w:p w14:paraId="5AEC2CED" w14:textId="77777777" w:rsidR="00526FE9" w:rsidRPr="008762D1" w:rsidRDefault="00526FE9" w:rsidP="00A70BE9">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FORMATO</w:t>
            </w:r>
          </w:p>
        </w:tc>
        <w:tc>
          <w:tcPr>
            <w:tcW w:w="1276" w:type="dxa"/>
            <w:hideMark/>
          </w:tcPr>
          <w:p w14:paraId="318457C4" w14:textId="77777777" w:rsidR="00526FE9" w:rsidRPr="008762D1" w:rsidRDefault="00526FE9" w:rsidP="00A70BE9">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LONGITUD</w:t>
            </w:r>
          </w:p>
        </w:tc>
        <w:tc>
          <w:tcPr>
            <w:tcW w:w="6734" w:type="dxa"/>
            <w:hideMark/>
          </w:tcPr>
          <w:p w14:paraId="3D27C19C" w14:textId="77777777" w:rsidR="00526FE9" w:rsidRPr="008762D1" w:rsidRDefault="00526FE9" w:rsidP="00A70BE9">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 xml:space="preserve"> DESCRIPCION</w:t>
            </w:r>
          </w:p>
        </w:tc>
      </w:tr>
      <w:tr w:rsidR="008762D1" w:rsidRPr="008762D1" w14:paraId="228E9514" w14:textId="77777777" w:rsidTr="00664EC0">
        <w:trPr>
          <w:jc w:val="center"/>
        </w:trPr>
        <w:tc>
          <w:tcPr>
            <w:tcW w:w="496" w:type="dxa"/>
          </w:tcPr>
          <w:p w14:paraId="35316769" w14:textId="77777777" w:rsidR="00526FE9" w:rsidRPr="008762D1" w:rsidRDefault="00526FE9" w:rsidP="00A70BE9">
            <w:pPr>
              <w:jc w:val="center"/>
              <w:rPr>
                <w:rFonts w:ascii="ITC Avant Garde" w:hAnsi="ITC Avant Garde"/>
                <w:color w:val="000000" w:themeColor="text1"/>
                <w:sz w:val="18"/>
                <w:szCs w:val="18"/>
              </w:rPr>
            </w:pPr>
          </w:p>
        </w:tc>
        <w:tc>
          <w:tcPr>
            <w:tcW w:w="2409" w:type="dxa"/>
            <w:hideMark/>
          </w:tcPr>
          <w:p w14:paraId="4358E5EF" w14:textId="77777777" w:rsidR="00526FE9" w:rsidRPr="008762D1" w:rsidRDefault="00526FE9" w:rsidP="00A70BE9">
            <w:pPr>
              <w:rPr>
                <w:rFonts w:ascii="ITC Avant Garde" w:hAnsi="ITC Avant Garde"/>
                <w:b/>
                <w:color w:val="000000" w:themeColor="text1"/>
                <w:sz w:val="18"/>
                <w:szCs w:val="18"/>
              </w:rPr>
            </w:pPr>
            <w:r w:rsidRPr="008762D1">
              <w:rPr>
                <w:rFonts w:ascii="ITC Avant Garde" w:hAnsi="ITC Avant Garde"/>
                <w:b/>
                <w:color w:val="000000" w:themeColor="text1"/>
                <w:sz w:val="18"/>
                <w:szCs w:val="18"/>
              </w:rPr>
              <w:t>REGISTRO HEADER</w:t>
            </w:r>
          </w:p>
        </w:tc>
        <w:tc>
          <w:tcPr>
            <w:tcW w:w="709" w:type="dxa"/>
          </w:tcPr>
          <w:p w14:paraId="4479E3E8" w14:textId="77777777" w:rsidR="00526FE9" w:rsidRPr="008762D1" w:rsidRDefault="00526FE9" w:rsidP="00A70BE9">
            <w:pPr>
              <w:jc w:val="right"/>
              <w:rPr>
                <w:rFonts w:ascii="ITC Avant Garde" w:hAnsi="ITC Avant Garde"/>
                <w:color w:val="000000" w:themeColor="text1"/>
                <w:sz w:val="18"/>
                <w:szCs w:val="18"/>
              </w:rPr>
            </w:pPr>
          </w:p>
        </w:tc>
        <w:tc>
          <w:tcPr>
            <w:tcW w:w="1276" w:type="dxa"/>
          </w:tcPr>
          <w:p w14:paraId="13290C35" w14:textId="77777777" w:rsidR="00526FE9" w:rsidRPr="008762D1" w:rsidRDefault="00526FE9" w:rsidP="00A70BE9">
            <w:pPr>
              <w:jc w:val="center"/>
              <w:rPr>
                <w:rFonts w:ascii="ITC Avant Garde" w:hAnsi="ITC Avant Garde"/>
                <w:b/>
                <w:color w:val="000000" w:themeColor="text1"/>
                <w:sz w:val="18"/>
                <w:szCs w:val="18"/>
              </w:rPr>
            </w:pPr>
          </w:p>
        </w:tc>
        <w:tc>
          <w:tcPr>
            <w:tcW w:w="1276" w:type="dxa"/>
            <w:hideMark/>
          </w:tcPr>
          <w:p w14:paraId="28C60753"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130</w:t>
            </w:r>
          </w:p>
        </w:tc>
        <w:tc>
          <w:tcPr>
            <w:tcW w:w="6734" w:type="dxa"/>
          </w:tcPr>
          <w:p w14:paraId="5013CC39" w14:textId="77777777" w:rsidR="00526FE9" w:rsidRPr="008762D1" w:rsidRDefault="00526FE9" w:rsidP="00A70BE9">
            <w:pPr>
              <w:rPr>
                <w:rFonts w:ascii="ITC Avant Garde" w:hAnsi="ITC Avant Garde"/>
                <w:color w:val="000000" w:themeColor="text1"/>
                <w:sz w:val="18"/>
                <w:szCs w:val="18"/>
              </w:rPr>
            </w:pPr>
          </w:p>
        </w:tc>
      </w:tr>
      <w:tr w:rsidR="008762D1" w:rsidRPr="008762D1" w14:paraId="321301D2" w14:textId="77777777" w:rsidTr="00664EC0">
        <w:trPr>
          <w:jc w:val="center"/>
        </w:trPr>
        <w:tc>
          <w:tcPr>
            <w:tcW w:w="496" w:type="dxa"/>
            <w:hideMark/>
          </w:tcPr>
          <w:p w14:paraId="52F9E918"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2409" w:type="dxa"/>
            <w:hideMark/>
          </w:tcPr>
          <w:p w14:paraId="58702CD6"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Identificador de reg.</w:t>
            </w:r>
          </w:p>
        </w:tc>
        <w:tc>
          <w:tcPr>
            <w:tcW w:w="709" w:type="dxa"/>
            <w:hideMark/>
          </w:tcPr>
          <w:p w14:paraId="6274F5E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3C0A181A"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w:t>
            </w:r>
          </w:p>
        </w:tc>
        <w:tc>
          <w:tcPr>
            <w:tcW w:w="1276" w:type="dxa"/>
            <w:hideMark/>
          </w:tcPr>
          <w:p w14:paraId="6A4B62F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6734" w:type="dxa"/>
            <w:hideMark/>
          </w:tcPr>
          <w:p w14:paraId="6921003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Identificador del registro que para el “</w:t>
            </w:r>
            <w:proofErr w:type="spellStart"/>
            <w:r w:rsidRPr="008762D1">
              <w:rPr>
                <w:rFonts w:ascii="ITC Avant Garde" w:hAnsi="ITC Avant Garde"/>
                <w:color w:val="000000" w:themeColor="text1"/>
                <w:sz w:val="18"/>
                <w:szCs w:val="18"/>
              </w:rPr>
              <w:t>header</w:t>
            </w:r>
            <w:proofErr w:type="spellEnd"/>
            <w:r w:rsidRPr="008762D1">
              <w:rPr>
                <w:rFonts w:ascii="ITC Avant Garde" w:hAnsi="ITC Avant Garde"/>
                <w:color w:val="000000" w:themeColor="text1"/>
                <w:sz w:val="18"/>
                <w:szCs w:val="18"/>
              </w:rPr>
              <w:t>” el valor debe ser cero.</w:t>
            </w:r>
          </w:p>
        </w:tc>
      </w:tr>
      <w:tr w:rsidR="008762D1" w:rsidRPr="008762D1" w14:paraId="4600767C" w14:textId="77777777" w:rsidTr="00664EC0">
        <w:trPr>
          <w:jc w:val="center"/>
        </w:trPr>
        <w:tc>
          <w:tcPr>
            <w:tcW w:w="496" w:type="dxa"/>
            <w:hideMark/>
          </w:tcPr>
          <w:p w14:paraId="1E39B11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2409" w:type="dxa"/>
            <w:hideMark/>
          </w:tcPr>
          <w:p w14:paraId="264B134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Operador Origen</w:t>
            </w:r>
          </w:p>
        </w:tc>
        <w:tc>
          <w:tcPr>
            <w:tcW w:w="709" w:type="dxa"/>
            <w:hideMark/>
          </w:tcPr>
          <w:p w14:paraId="29302BF1"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38129484"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w:t>
            </w:r>
          </w:p>
        </w:tc>
        <w:tc>
          <w:tcPr>
            <w:tcW w:w="1276" w:type="dxa"/>
            <w:hideMark/>
          </w:tcPr>
          <w:p w14:paraId="3BD86F3C"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6734" w:type="dxa"/>
            <w:hideMark/>
          </w:tcPr>
          <w:p w14:paraId="79301E1F"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Clave del operador que factura. CIC.</w:t>
            </w:r>
          </w:p>
        </w:tc>
      </w:tr>
      <w:tr w:rsidR="008762D1" w:rsidRPr="008762D1" w14:paraId="6107AEF2" w14:textId="77777777" w:rsidTr="00664EC0">
        <w:trPr>
          <w:jc w:val="center"/>
        </w:trPr>
        <w:tc>
          <w:tcPr>
            <w:tcW w:w="496" w:type="dxa"/>
            <w:hideMark/>
          </w:tcPr>
          <w:p w14:paraId="1ACE4A31"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2409" w:type="dxa"/>
            <w:hideMark/>
          </w:tcPr>
          <w:p w14:paraId="7700F6CA"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Operador destino</w:t>
            </w:r>
          </w:p>
        </w:tc>
        <w:tc>
          <w:tcPr>
            <w:tcW w:w="709" w:type="dxa"/>
            <w:hideMark/>
          </w:tcPr>
          <w:p w14:paraId="7B089E0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14A3CCD0"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w:t>
            </w:r>
          </w:p>
        </w:tc>
        <w:tc>
          <w:tcPr>
            <w:tcW w:w="1276" w:type="dxa"/>
            <w:hideMark/>
          </w:tcPr>
          <w:p w14:paraId="6AF4FFAE"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6734" w:type="dxa"/>
            <w:hideMark/>
          </w:tcPr>
          <w:p w14:paraId="5401B849"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Clave del operador a quien se le factura. </w:t>
            </w:r>
            <w:proofErr w:type="gramStart"/>
            <w:r w:rsidRPr="008762D1">
              <w:rPr>
                <w:rFonts w:ascii="ITC Avant Garde" w:hAnsi="ITC Avant Garde"/>
                <w:color w:val="000000" w:themeColor="text1"/>
                <w:sz w:val="18"/>
                <w:szCs w:val="18"/>
              </w:rPr>
              <w:t>CIC .</w:t>
            </w:r>
            <w:proofErr w:type="gramEnd"/>
          </w:p>
        </w:tc>
      </w:tr>
      <w:tr w:rsidR="008762D1" w:rsidRPr="008762D1" w14:paraId="4F27EF7F" w14:textId="77777777" w:rsidTr="00664EC0">
        <w:trPr>
          <w:jc w:val="center"/>
        </w:trPr>
        <w:tc>
          <w:tcPr>
            <w:tcW w:w="496" w:type="dxa"/>
            <w:hideMark/>
          </w:tcPr>
          <w:p w14:paraId="7ECF5F5D"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4</w:t>
            </w:r>
          </w:p>
        </w:tc>
        <w:tc>
          <w:tcPr>
            <w:tcW w:w="2409" w:type="dxa"/>
            <w:hideMark/>
          </w:tcPr>
          <w:p w14:paraId="748A70B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Fecha facturación</w:t>
            </w:r>
          </w:p>
        </w:tc>
        <w:tc>
          <w:tcPr>
            <w:tcW w:w="709" w:type="dxa"/>
            <w:hideMark/>
          </w:tcPr>
          <w:p w14:paraId="7E13E989"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5CF315BE"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Aaaammdd</w:t>
            </w:r>
            <w:proofErr w:type="spellEnd"/>
          </w:p>
        </w:tc>
        <w:tc>
          <w:tcPr>
            <w:tcW w:w="1276" w:type="dxa"/>
            <w:hideMark/>
          </w:tcPr>
          <w:p w14:paraId="7496064B"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8</w:t>
            </w:r>
          </w:p>
        </w:tc>
        <w:tc>
          <w:tcPr>
            <w:tcW w:w="6734" w:type="dxa"/>
            <w:hideMark/>
          </w:tcPr>
          <w:p w14:paraId="3A7C5725"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Fecha de emisión de factura de la cual se presenta el reclamo.</w:t>
            </w:r>
          </w:p>
        </w:tc>
      </w:tr>
      <w:tr w:rsidR="008762D1" w:rsidRPr="008762D1" w14:paraId="2E9CDC48" w14:textId="77777777" w:rsidTr="00664EC0">
        <w:trPr>
          <w:jc w:val="center"/>
        </w:trPr>
        <w:tc>
          <w:tcPr>
            <w:tcW w:w="496" w:type="dxa"/>
            <w:hideMark/>
          </w:tcPr>
          <w:p w14:paraId="4A1BB8CC"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2409" w:type="dxa"/>
            <w:hideMark/>
          </w:tcPr>
          <w:p w14:paraId="248D45E6"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Filler</w:t>
            </w:r>
            <w:proofErr w:type="spellEnd"/>
          </w:p>
        </w:tc>
        <w:tc>
          <w:tcPr>
            <w:tcW w:w="709" w:type="dxa"/>
            <w:hideMark/>
          </w:tcPr>
          <w:p w14:paraId="5ABF4F96"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w:t>
            </w:r>
          </w:p>
        </w:tc>
        <w:tc>
          <w:tcPr>
            <w:tcW w:w="1276" w:type="dxa"/>
            <w:hideMark/>
          </w:tcPr>
          <w:p w14:paraId="785D0ED2"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w:t>
            </w:r>
          </w:p>
        </w:tc>
        <w:tc>
          <w:tcPr>
            <w:tcW w:w="1276" w:type="dxa"/>
            <w:hideMark/>
          </w:tcPr>
          <w:p w14:paraId="250E8C9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115</w:t>
            </w:r>
          </w:p>
        </w:tc>
        <w:tc>
          <w:tcPr>
            <w:tcW w:w="6734" w:type="dxa"/>
            <w:hideMark/>
          </w:tcPr>
          <w:p w14:paraId="3A356CD4"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Caracteres en blanco para completar la longitud del registro a 130 posiciones.</w:t>
            </w:r>
          </w:p>
        </w:tc>
      </w:tr>
      <w:tr w:rsidR="008762D1" w:rsidRPr="008762D1" w14:paraId="2A4DDC30" w14:textId="77777777" w:rsidTr="00664EC0">
        <w:trPr>
          <w:jc w:val="center"/>
        </w:trPr>
        <w:tc>
          <w:tcPr>
            <w:tcW w:w="496" w:type="dxa"/>
          </w:tcPr>
          <w:p w14:paraId="52BB72C6" w14:textId="77777777" w:rsidR="00526FE9" w:rsidRPr="008762D1" w:rsidRDefault="00526FE9" w:rsidP="00A70BE9">
            <w:pPr>
              <w:jc w:val="center"/>
              <w:rPr>
                <w:rFonts w:ascii="ITC Avant Garde" w:hAnsi="ITC Avant Garde"/>
                <w:color w:val="000000" w:themeColor="text1"/>
                <w:sz w:val="18"/>
                <w:szCs w:val="18"/>
              </w:rPr>
            </w:pPr>
          </w:p>
        </w:tc>
        <w:tc>
          <w:tcPr>
            <w:tcW w:w="2409" w:type="dxa"/>
            <w:hideMark/>
          </w:tcPr>
          <w:p w14:paraId="7C2EEDBE" w14:textId="77777777" w:rsidR="00526FE9" w:rsidRPr="008762D1" w:rsidRDefault="00526FE9" w:rsidP="00A70BE9">
            <w:pPr>
              <w:rPr>
                <w:rFonts w:ascii="ITC Avant Garde" w:hAnsi="ITC Avant Garde"/>
                <w:b/>
                <w:color w:val="000000" w:themeColor="text1"/>
                <w:sz w:val="18"/>
                <w:szCs w:val="18"/>
              </w:rPr>
            </w:pPr>
            <w:r w:rsidRPr="008762D1">
              <w:rPr>
                <w:rFonts w:ascii="ITC Avant Garde" w:hAnsi="ITC Avant Garde"/>
                <w:b/>
                <w:color w:val="000000" w:themeColor="text1"/>
                <w:sz w:val="18"/>
                <w:szCs w:val="18"/>
              </w:rPr>
              <w:t>REGISTRO DETALLE</w:t>
            </w:r>
          </w:p>
        </w:tc>
        <w:tc>
          <w:tcPr>
            <w:tcW w:w="709" w:type="dxa"/>
          </w:tcPr>
          <w:p w14:paraId="2F638DBB" w14:textId="77777777" w:rsidR="00526FE9" w:rsidRPr="008762D1" w:rsidRDefault="00526FE9" w:rsidP="00A70BE9">
            <w:pPr>
              <w:jc w:val="right"/>
              <w:rPr>
                <w:rFonts w:ascii="ITC Avant Garde" w:hAnsi="ITC Avant Garde"/>
                <w:color w:val="000000" w:themeColor="text1"/>
                <w:sz w:val="18"/>
                <w:szCs w:val="18"/>
              </w:rPr>
            </w:pPr>
          </w:p>
        </w:tc>
        <w:tc>
          <w:tcPr>
            <w:tcW w:w="1276" w:type="dxa"/>
          </w:tcPr>
          <w:p w14:paraId="19411494" w14:textId="77777777" w:rsidR="00526FE9" w:rsidRPr="008762D1" w:rsidRDefault="00526FE9" w:rsidP="00A70BE9">
            <w:pPr>
              <w:jc w:val="center"/>
              <w:rPr>
                <w:rFonts w:ascii="ITC Avant Garde" w:hAnsi="ITC Avant Garde"/>
                <w:b/>
                <w:color w:val="000000" w:themeColor="text1"/>
                <w:sz w:val="18"/>
                <w:szCs w:val="18"/>
              </w:rPr>
            </w:pPr>
          </w:p>
        </w:tc>
        <w:tc>
          <w:tcPr>
            <w:tcW w:w="1276" w:type="dxa"/>
            <w:hideMark/>
          </w:tcPr>
          <w:p w14:paraId="70BF3CD7"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130</w:t>
            </w:r>
          </w:p>
        </w:tc>
        <w:tc>
          <w:tcPr>
            <w:tcW w:w="6734" w:type="dxa"/>
          </w:tcPr>
          <w:p w14:paraId="738E0474" w14:textId="77777777" w:rsidR="00526FE9" w:rsidRPr="008762D1" w:rsidRDefault="00526FE9" w:rsidP="00A70BE9">
            <w:pPr>
              <w:rPr>
                <w:rFonts w:ascii="ITC Avant Garde" w:hAnsi="ITC Avant Garde"/>
                <w:color w:val="000000" w:themeColor="text1"/>
                <w:sz w:val="18"/>
                <w:szCs w:val="18"/>
              </w:rPr>
            </w:pPr>
          </w:p>
        </w:tc>
      </w:tr>
      <w:tr w:rsidR="008762D1" w:rsidRPr="008762D1" w14:paraId="75535AC7" w14:textId="77777777" w:rsidTr="00664EC0">
        <w:trPr>
          <w:jc w:val="center"/>
        </w:trPr>
        <w:tc>
          <w:tcPr>
            <w:tcW w:w="496" w:type="dxa"/>
            <w:hideMark/>
          </w:tcPr>
          <w:p w14:paraId="0804F5A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2409" w:type="dxa"/>
            <w:hideMark/>
          </w:tcPr>
          <w:p w14:paraId="414FF34F"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Identificador de reg.</w:t>
            </w:r>
          </w:p>
        </w:tc>
        <w:tc>
          <w:tcPr>
            <w:tcW w:w="709" w:type="dxa"/>
            <w:hideMark/>
          </w:tcPr>
          <w:p w14:paraId="33360507"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3A6BA387"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w:t>
            </w:r>
          </w:p>
        </w:tc>
        <w:tc>
          <w:tcPr>
            <w:tcW w:w="1276" w:type="dxa"/>
            <w:hideMark/>
          </w:tcPr>
          <w:p w14:paraId="4E6D3E8B"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6734" w:type="dxa"/>
            <w:hideMark/>
          </w:tcPr>
          <w:p w14:paraId="500545CB"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Identificador del registro que para el “detalle” el valor debe ser uno.</w:t>
            </w:r>
          </w:p>
        </w:tc>
      </w:tr>
      <w:tr w:rsidR="008762D1" w:rsidRPr="008762D1" w14:paraId="7EB8EB4A" w14:textId="77777777" w:rsidTr="00664EC0">
        <w:trPr>
          <w:jc w:val="center"/>
        </w:trPr>
        <w:tc>
          <w:tcPr>
            <w:tcW w:w="496" w:type="dxa"/>
            <w:hideMark/>
          </w:tcPr>
          <w:p w14:paraId="19CE82ED"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2409" w:type="dxa"/>
            <w:hideMark/>
          </w:tcPr>
          <w:p w14:paraId="228170A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ASL</w:t>
            </w:r>
          </w:p>
        </w:tc>
        <w:tc>
          <w:tcPr>
            <w:tcW w:w="709" w:type="dxa"/>
            <w:hideMark/>
          </w:tcPr>
          <w:p w14:paraId="5ACC67A0"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6EB0499A"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99999</w:t>
            </w:r>
          </w:p>
        </w:tc>
        <w:tc>
          <w:tcPr>
            <w:tcW w:w="1276" w:type="dxa"/>
            <w:hideMark/>
          </w:tcPr>
          <w:p w14:paraId="7C048909"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6734" w:type="dxa"/>
            <w:hideMark/>
          </w:tcPr>
          <w:p w14:paraId="550A1448"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Area</w:t>
            </w:r>
            <w:proofErr w:type="spellEnd"/>
            <w:r w:rsidRPr="008762D1">
              <w:rPr>
                <w:rFonts w:ascii="ITC Avant Garde" w:hAnsi="ITC Avant Garde"/>
                <w:color w:val="000000" w:themeColor="text1"/>
                <w:sz w:val="18"/>
                <w:szCs w:val="18"/>
              </w:rPr>
              <w:t xml:space="preserve"> de Servicio Local oficialmente definida, sin importar si ya fue conformada. Se aplica sólo para interconexión Local, Celular y QLLP. (En caso de aplicar)</w:t>
            </w:r>
          </w:p>
        </w:tc>
      </w:tr>
      <w:tr w:rsidR="008762D1" w:rsidRPr="008762D1" w14:paraId="1E68F0F8" w14:textId="77777777" w:rsidTr="00664EC0">
        <w:trPr>
          <w:jc w:val="center"/>
        </w:trPr>
        <w:tc>
          <w:tcPr>
            <w:tcW w:w="496" w:type="dxa"/>
            <w:hideMark/>
          </w:tcPr>
          <w:p w14:paraId="17276D9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2409" w:type="dxa"/>
            <w:hideMark/>
          </w:tcPr>
          <w:p w14:paraId="5EA52A6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Día</w:t>
            </w:r>
          </w:p>
        </w:tc>
        <w:tc>
          <w:tcPr>
            <w:tcW w:w="709" w:type="dxa"/>
            <w:hideMark/>
          </w:tcPr>
          <w:p w14:paraId="0159843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623326E6"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Aaaammdd</w:t>
            </w:r>
            <w:proofErr w:type="spellEnd"/>
          </w:p>
        </w:tc>
        <w:tc>
          <w:tcPr>
            <w:tcW w:w="1276" w:type="dxa"/>
            <w:hideMark/>
          </w:tcPr>
          <w:p w14:paraId="5F68205E"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8</w:t>
            </w:r>
          </w:p>
        </w:tc>
        <w:tc>
          <w:tcPr>
            <w:tcW w:w="6734" w:type="dxa"/>
            <w:hideMark/>
          </w:tcPr>
          <w:p w14:paraId="38AEA126"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Día en que se </w:t>
            </w:r>
            <w:proofErr w:type="spellStart"/>
            <w:r w:rsidRPr="008762D1">
              <w:rPr>
                <w:rFonts w:ascii="ITC Avant Garde" w:hAnsi="ITC Avant Garde"/>
                <w:color w:val="000000" w:themeColor="text1"/>
                <w:sz w:val="18"/>
                <w:szCs w:val="18"/>
              </w:rPr>
              <w:t>inicio</w:t>
            </w:r>
            <w:proofErr w:type="spellEnd"/>
            <w:r w:rsidRPr="008762D1">
              <w:rPr>
                <w:rFonts w:ascii="ITC Avant Garde" w:hAnsi="ITC Avant Garde"/>
                <w:color w:val="000000" w:themeColor="text1"/>
                <w:sz w:val="18"/>
                <w:szCs w:val="18"/>
              </w:rPr>
              <w:t xml:space="preserve"> la llamada.</w:t>
            </w:r>
          </w:p>
        </w:tc>
      </w:tr>
      <w:tr w:rsidR="008762D1" w:rsidRPr="008762D1" w14:paraId="5A5F5A3D" w14:textId="77777777" w:rsidTr="00664EC0">
        <w:trPr>
          <w:jc w:val="center"/>
        </w:trPr>
        <w:tc>
          <w:tcPr>
            <w:tcW w:w="496" w:type="dxa"/>
            <w:hideMark/>
          </w:tcPr>
          <w:p w14:paraId="3AF11C7B"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4</w:t>
            </w:r>
          </w:p>
        </w:tc>
        <w:tc>
          <w:tcPr>
            <w:tcW w:w="2409" w:type="dxa"/>
            <w:hideMark/>
          </w:tcPr>
          <w:p w14:paraId="4EDE71F9"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Tipo de Tráfico</w:t>
            </w:r>
          </w:p>
        </w:tc>
        <w:tc>
          <w:tcPr>
            <w:tcW w:w="709" w:type="dxa"/>
            <w:hideMark/>
          </w:tcPr>
          <w:p w14:paraId="46C74EC0"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6724E7CD"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w:t>
            </w:r>
          </w:p>
        </w:tc>
        <w:tc>
          <w:tcPr>
            <w:tcW w:w="1276" w:type="dxa"/>
            <w:hideMark/>
          </w:tcPr>
          <w:p w14:paraId="0DDD8B5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6734" w:type="dxa"/>
            <w:hideMark/>
          </w:tcPr>
          <w:p w14:paraId="0736BF8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Indica el tipo de tráfico: 01Terminación para los consumos locales que facture el OPERADOR a TELMEX. 03 Tránsito (Local, celular y de LD). 05 Originado (LD).  06 Terminado (LD, Local).</w:t>
            </w:r>
          </w:p>
        </w:tc>
      </w:tr>
      <w:tr w:rsidR="008762D1" w:rsidRPr="008762D1" w14:paraId="55AA61A4" w14:textId="77777777" w:rsidTr="00664EC0">
        <w:trPr>
          <w:jc w:val="center"/>
        </w:trPr>
        <w:tc>
          <w:tcPr>
            <w:tcW w:w="496" w:type="dxa"/>
            <w:hideMark/>
          </w:tcPr>
          <w:p w14:paraId="1715C415"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2409" w:type="dxa"/>
            <w:hideMark/>
          </w:tcPr>
          <w:p w14:paraId="39101F03"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Serie Destino</w:t>
            </w:r>
          </w:p>
        </w:tc>
        <w:tc>
          <w:tcPr>
            <w:tcW w:w="709" w:type="dxa"/>
            <w:hideMark/>
          </w:tcPr>
          <w:p w14:paraId="3A82979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3EFDA1F1"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99999</w:t>
            </w:r>
          </w:p>
        </w:tc>
        <w:tc>
          <w:tcPr>
            <w:tcW w:w="1276" w:type="dxa"/>
            <w:hideMark/>
          </w:tcPr>
          <w:p w14:paraId="233A7597"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7</w:t>
            </w:r>
          </w:p>
        </w:tc>
        <w:tc>
          <w:tcPr>
            <w:tcW w:w="6734" w:type="dxa"/>
            <w:hideMark/>
          </w:tcPr>
          <w:p w14:paraId="14BDEFEF"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Serie justificada a la derecha, es la suma hasta el millar del número.</w:t>
            </w:r>
          </w:p>
        </w:tc>
      </w:tr>
      <w:tr w:rsidR="008762D1" w:rsidRPr="008762D1" w14:paraId="58AF3B47" w14:textId="77777777" w:rsidTr="00664EC0">
        <w:trPr>
          <w:jc w:val="center"/>
        </w:trPr>
        <w:tc>
          <w:tcPr>
            <w:tcW w:w="496" w:type="dxa"/>
            <w:hideMark/>
          </w:tcPr>
          <w:p w14:paraId="0470A4CD"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6</w:t>
            </w:r>
          </w:p>
        </w:tc>
        <w:tc>
          <w:tcPr>
            <w:tcW w:w="2409" w:type="dxa"/>
            <w:hideMark/>
          </w:tcPr>
          <w:p w14:paraId="706F063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Número de llamadas facturadas</w:t>
            </w:r>
          </w:p>
        </w:tc>
        <w:tc>
          <w:tcPr>
            <w:tcW w:w="709" w:type="dxa"/>
            <w:hideMark/>
          </w:tcPr>
          <w:p w14:paraId="6E4F5415"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7459A8A1"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(12)9</w:t>
            </w:r>
          </w:p>
        </w:tc>
        <w:tc>
          <w:tcPr>
            <w:tcW w:w="1276" w:type="dxa"/>
            <w:hideMark/>
          </w:tcPr>
          <w:p w14:paraId="2EA7243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12</w:t>
            </w:r>
          </w:p>
        </w:tc>
        <w:tc>
          <w:tcPr>
            <w:tcW w:w="6734" w:type="dxa"/>
            <w:hideMark/>
          </w:tcPr>
          <w:p w14:paraId="5D2467C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Número de llamadas de un mismo tipo realizadas en un día.</w:t>
            </w:r>
          </w:p>
        </w:tc>
      </w:tr>
      <w:tr w:rsidR="008762D1" w:rsidRPr="008762D1" w14:paraId="05ACFE79" w14:textId="77777777" w:rsidTr="00664EC0">
        <w:trPr>
          <w:jc w:val="center"/>
        </w:trPr>
        <w:tc>
          <w:tcPr>
            <w:tcW w:w="496" w:type="dxa"/>
            <w:hideMark/>
          </w:tcPr>
          <w:p w14:paraId="5581ECC8"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7</w:t>
            </w:r>
          </w:p>
        </w:tc>
        <w:tc>
          <w:tcPr>
            <w:tcW w:w="2409" w:type="dxa"/>
            <w:hideMark/>
          </w:tcPr>
          <w:p w14:paraId="74659443"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Número de minutos facturados</w:t>
            </w:r>
          </w:p>
        </w:tc>
        <w:tc>
          <w:tcPr>
            <w:tcW w:w="709" w:type="dxa"/>
            <w:hideMark/>
          </w:tcPr>
          <w:p w14:paraId="77F5C5D9"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2AB40B3F"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9(9).99</w:t>
            </w:r>
          </w:p>
        </w:tc>
        <w:tc>
          <w:tcPr>
            <w:tcW w:w="1276" w:type="dxa"/>
            <w:hideMark/>
          </w:tcPr>
          <w:p w14:paraId="58203BA3"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12</w:t>
            </w:r>
          </w:p>
        </w:tc>
        <w:tc>
          <w:tcPr>
            <w:tcW w:w="6734" w:type="dxa"/>
            <w:hideMark/>
          </w:tcPr>
          <w:p w14:paraId="679CCE8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Número de minutos de las llamadas de un mismo tipo realizadas en un día.</w:t>
            </w:r>
          </w:p>
        </w:tc>
      </w:tr>
      <w:tr w:rsidR="008762D1" w:rsidRPr="008762D1" w14:paraId="6CBC9B1E" w14:textId="77777777" w:rsidTr="00664EC0">
        <w:trPr>
          <w:trHeight w:val="279"/>
          <w:jc w:val="center"/>
        </w:trPr>
        <w:tc>
          <w:tcPr>
            <w:tcW w:w="496" w:type="dxa"/>
            <w:hideMark/>
          </w:tcPr>
          <w:p w14:paraId="58AB161D"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8</w:t>
            </w:r>
          </w:p>
        </w:tc>
        <w:tc>
          <w:tcPr>
            <w:tcW w:w="2409" w:type="dxa"/>
            <w:hideMark/>
          </w:tcPr>
          <w:p w14:paraId="367C2C2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Tarifa facturada</w:t>
            </w:r>
          </w:p>
        </w:tc>
        <w:tc>
          <w:tcPr>
            <w:tcW w:w="709" w:type="dxa"/>
            <w:hideMark/>
          </w:tcPr>
          <w:p w14:paraId="54B7ABC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25463E60"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99.9999999</w:t>
            </w:r>
          </w:p>
        </w:tc>
        <w:tc>
          <w:tcPr>
            <w:tcW w:w="1276" w:type="dxa"/>
            <w:hideMark/>
          </w:tcPr>
          <w:p w14:paraId="12D3A220"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10</w:t>
            </w:r>
          </w:p>
        </w:tc>
        <w:tc>
          <w:tcPr>
            <w:tcW w:w="6734" w:type="dxa"/>
            <w:hideMark/>
          </w:tcPr>
          <w:p w14:paraId="5BFF5068"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Tarifa por minuto por tipo de llamada justificado ala derecha.</w:t>
            </w:r>
          </w:p>
        </w:tc>
      </w:tr>
      <w:tr w:rsidR="008762D1" w:rsidRPr="008762D1" w14:paraId="1B27E023" w14:textId="77777777" w:rsidTr="00664EC0">
        <w:trPr>
          <w:jc w:val="center"/>
        </w:trPr>
        <w:tc>
          <w:tcPr>
            <w:tcW w:w="496" w:type="dxa"/>
            <w:hideMark/>
          </w:tcPr>
          <w:p w14:paraId="1A97B8F9"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9</w:t>
            </w:r>
          </w:p>
        </w:tc>
        <w:tc>
          <w:tcPr>
            <w:tcW w:w="2409" w:type="dxa"/>
            <w:hideMark/>
          </w:tcPr>
          <w:p w14:paraId="499FF1A9"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Serie origen</w:t>
            </w:r>
          </w:p>
        </w:tc>
        <w:tc>
          <w:tcPr>
            <w:tcW w:w="709" w:type="dxa"/>
            <w:hideMark/>
          </w:tcPr>
          <w:p w14:paraId="1806CBF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57CCA2D1"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9999999</w:t>
            </w:r>
          </w:p>
        </w:tc>
        <w:tc>
          <w:tcPr>
            <w:tcW w:w="1276" w:type="dxa"/>
            <w:hideMark/>
          </w:tcPr>
          <w:p w14:paraId="608F1A1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7</w:t>
            </w:r>
          </w:p>
        </w:tc>
        <w:tc>
          <w:tcPr>
            <w:tcW w:w="6734" w:type="dxa"/>
            <w:hideMark/>
          </w:tcPr>
          <w:p w14:paraId="6CE7FED3"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Serie origen justificado a la derecha, es la suma hasta el millar del número de A.</w:t>
            </w:r>
          </w:p>
        </w:tc>
      </w:tr>
      <w:tr w:rsidR="008762D1" w:rsidRPr="008762D1" w14:paraId="6EC64A6A" w14:textId="77777777" w:rsidTr="00664EC0">
        <w:trPr>
          <w:jc w:val="center"/>
        </w:trPr>
        <w:tc>
          <w:tcPr>
            <w:tcW w:w="496" w:type="dxa"/>
            <w:hideMark/>
          </w:tcPr>
          <w:p w14:paraId="63CE5F60"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10</w:t>
            </w:r>
          </w:p>
        </w:tc>
        <w:tc>
          <w:tcPr>
            <w:tcW w:w="2409" w:type="dxa"/>
            <w:hideMark/>
          </w:tcPr>
          <w:p w14:paraId="7F2DDCB5"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NIM</w:t>
            </w:r>
          </w:p>
        </w:tc>
        <w:tc>
          <w:tcPr>
            <w:tcW w:w="709" w:type="dxa"/>
            <w:hideMark/>
          </w:tcPr>
          <w:p w14:paraId="1D790F1B"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48454252"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w:t>
            </w:r>
          </w:p>
        </w:tc>
        <w:tc>
          <w:tcPr>
            <w:tcW w:w="1276" w:type="dxa"/>
            <w:hideMark/>
          </w:tcPr>
          <w:p w14:paraId="240E1085"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6734" w:type="dxa"/>
            <w:hideMark/>
          </w:tcPr>
          <w:p w14:paraId="4A9C71CB"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0</w:t>
            </w:r>
            <w:proofErr w:type="gramStart"/>
            <w:r w:rsidRPr="008762D1">
              <w:rPr>
                <w:rFonts w:ascii="ITC Avant Garde" w:hAnsi="ITC Avant Garde"/>
                <w:color w:val="000000" w:themeColor="text1"/>
                <w:sz w:val="18"/>
                <w:szCs w:val="18"/>
              </w:rPr>
              <w:t>:Nacional</w:t>
            </w:r>
            <w:proofErr w:type="gramEnd"/>
            <w:r w:rsidRPr="008762D1">
              <w:rPr>
                <w:rFonts w:ascii="ITC Avant Garde" w:hAnsi="ITC Avant Garde"/>
                <w:color w:val="000000" w:themeColor="text1"/>
                <w:sz w:val="18"/>
                <w:szCs w:val="18"/>
              </w:rPr>
              <w:t xml:space="preserve"> 1:Internacional 3:Mundial.</w:t>
            </w:r>
          </w:p>
        </w:tc>
      </w:tr>
      <w:tr w:rsidR="008762D1" w:rsidRPr="008762D1" w14:paraId="476AE013" w14:textId="77777777" w:rsidTr="00664EC0">
        <w:trPr>
          <w:jc w:val="center"/>
        </w:trPr>
        <w:tc>
          <w:tcPr>
            <w:tcW w:w="496" w:type="dxa"/>
            <w:hideMark/>
          </w:tcPr>
          <w:p w14:paraId="4821C443"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11</w:t>
            </w:r>
          </w:p>
        </w:tc>
        <w:tc>
          <w:tcPr>
            <w:tcW w:w="2409" w:type="dxa"/>
            <w:hideMark/>
          </w:tcPr>
          <w:p w14:paraId="52730CA4"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Tipo de Llamada</w:t>
            </w:r>
          </w:p>
        </w:tc>
        <w:tc>
          <w:tcPr>
            <w:tcW w:w="709" w:type="dxa"/>
            <w:hideMark/>
          </w:tcPr>
          <w:p w14:paraId="22B8C24D"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2502CBD5"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w:t>
            </w:r>
          </w:p>
        </w:tc>
        <w:tc>
          <w:tcPr>
            <w:tcW w:w="1276" w:type="dxa"/>
            <w:hideMark/>
          </w:tcPr>
          <w:p w14:paraId="77526545"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6734" w:type="dxa"/>
            <w:hideMark/>
          </w:tcPr>
          <w:p w14:paraId="2F03FF6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1</w:t>
            </w:r>
            <w:proofErr w:type="gramStart"/>
            <w:r w:rsidRPr="008762D1">
              <w:rPr>
                <w:rFonts w:ascii="ITC Avant Garde" w:hAnsi="ITC Avant Garde"/>
                <w:color w:val="000000" w:themeColor="text1"/>
                <w:sz w:val="18"/>
                <w:szCs w:val="18"/>
              </w:rPr>
              <w:t>:Automática</w:t>
            </w:r>
            <w:proofErr w:type="gramEnd"/>
            <w:r w:rsidRPr="008762D1">
              <w:rPr>
                <w:rFonts w:ascii="ITC Avant Garde" w:hAnsi="ITC Avant Garde"/>
                <w:color w:val="000000" w:themeColor="text1"/>
                <w:sz w:val="18"/>
                <w:szCs w:val="18"/>
              </w:rPr>
              <w:t>, 8:No. 800.</w:t>
            </w:r>
          </w:p>
        </w:tc>
      </w:tr>
      <w:tr w:rsidR="008762D1" w:rsidRPr="008762D1" w14:paraId="31C8F099" w14:textId="77777777" w:rsidTr="00664EC0">
        <w:trPr>
          <w:jc w:val="center"/>
        </w:trPr>
        <w:tc>
          <w:tcPr>
            <w:tcW w:w="496" w:type="dxa"/>
            <w:hideMark/>
          </w:tcPr>
          <w:p w14:paraId="6A230CD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12</w:t>
            </w:r>
          </w:p>
        </w:tc>
        <w:tc>
          <w:tcPr>
            <w:tcW w:w="2409" w:type="dxa"/>
            <w:hideMark/>
          </w:tcPr>
          <w:p w14:paraId="5DAFBEE9" w14:textId="77777777" w:rsidR="00526FE9" w:rsidRPr="008762D1" w:rsidRDefault="00526FE9" w:rsidP="00A70BE9">
            <w:pPr>
              <w:rPr>
                <w:rFonts w:ascii="ITC Avant Garde" w:hAnsi="ITC Avant Garde"/>
                <w:color w:val="000000" w:themeColor="text1"/>
                <w:sz w:val="18"/>
                <w:szCs w:val="18"/>
              </w:rPr>
            </w:pPr>
            <w:proofErr w:type="spellStart"/>
            <w:r w:rsidRPr="008762D1">
              <w:rPr>
                <w:rFonts w:ascii="ITC Avant Garde" w:hAnsi="ITC Avant Garde"/>
                <w:color w:val="000000" w:themeColor="text1"/>
                <w:sz w:val="18"/>
                <w:szCs w:val="18"/>
              </w:rPr>
              <w:t>Filler</w:t>
            </w:r>
            <w:proofErr w:type="spellEnd"/>
          </w:p>
        </w:tc>
        <w:tc>
          <w:tcPr>
            <w:tcW w:w="709" w:type="dxa"/>
            <w:hideMark/>
          </w:tcPr>
          <w:p w14:paraId="3A3BDCB1"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C</w:t>
            </w:r>
          </w:p>
        </w:tc>
        <w:tc>
          <w:tcPr>
            <w:tcW w:w="1276" w:type="dxa"/>
            <w:hideMark/>
          </w:tcPr>
          <w:p w14:paraId="258E494B"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(11)9</w:t>
            </w:r>
          </w:p>
        </w:tc>
        <w:tc>
          <w:tcPr>
            <w:tcW w:w="1276" w:type="dxa"/>
            <w:hideMark/>
          </w:tcPr>
          <w:p w14:paraId="5E9E97A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11</w:t>
            </w:r>
          </w:p>
        </w:tc>
        <w:tc>
          <w:tcPr>
            <w:tcW w:w="6734" w:type="dxa"/>
            <w:hideMark/>
          </w:tcPr>
          <w:p w14:paraId="052D314C"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Caracteres con cero.</w:t>
            </w:r>
          </w:p>
        </w:tc>
      </w:tr>
      <w:tr w:rsidR="008762D1" w:rsidRPr="008762D1" w14:paraId="52944F26" w14:textId="77777777" w:rsidTr="00664EC0">
        <w:trPr>
          <w:jc w:val="center"/>
        </w:trPr>
        <w:tc>
          <w:tcPr>
            <w:tcW w:w="496" w:type="dxa"/>
            <w:hideMark/>
          </w:tcPr>
          <w:p w14:paraId="04C2FC1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13</w:t>
            </w:r>
          </w:p>
        </w:tc>
        <w:tc>
          <w:tcPr>
            <w:tcW w:w="2409" w:type="dxa"/>
            <w:hideMark/>
          </w:tcPr>
          <w:p w14:paraId="474CF3E3"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Cta. de facturación</w:t>
            </w:r>
          </w:p>
        </w:tc>
        <w:tc>
          <w:tcPr>
            <w:tcW w:w="709" w:type="dxa"/>
            <w:hideMark/>
          </w:tcPr>
          <w:p w14:paraId="6E3531E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09C7DD49"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9999999</w:t>
            </w:r>
          </w:p>
        </w:tc>
        <w:tc>
          <w:tcPr>
            <w:tcW w:w="1276" w:type="dxa"/>
            <w:hideMark/>
          </w:tcPr>
          <w:p w14:paraId="5380EAE5"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7</w:t>
            </w:r>
          </w:p>
        </w:tc>
        <w:tc>
          <w:tcPr>
            <w:tcW w:w="6734" w:type="dxa"/>
            <w:hideMark/>
          </w:tcPr>
          <w:p w14:paraId="13C047EF"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Cuenta de facturación.</w:t>
            </w:r>
          </w:p>
        </w:tc>
      </w:tr>
      <w:tr w:rsidR="008762D1" w:rsidRPr="008762D1" w14:paraId="50927806" w14:textId="77777777" w:rsidTr="00664EC0">
        <w:trPr>
          <w:jc w:val="center"/>
        </w:trPr>
        <w:tc>
          <w:tcPr>
            <w:tcW w:w="496" w:type="dxa"/>
            <w:hideMark/>
          </w:tcPr>
          <w:p w14:paraId="1EAD4EE8"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14</w:t>
            </w:r>
          </w:p>
        </w:tc>
        <w:tc>
          <w:tcPr>
            <w:tcW w:w="2409" w:type="dxa"/>
            <w:hideMark/>
          </w:tcPr>
          <w:p w14:paraId="79B8D58C"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Número de llamadas  registradas</w:t>
            </w:r>
          </w:p>
        </w:tc>
        <w:tc>
          <w:tcPr>
            <w:tcW w:w="709" w:type="dxa"/>
            <w:hideMark/>
          </w:tcPr>
          <w:p w14:paraId="42E54FB3"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722F58F8"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(12)9</w:t>
            </w:r>
          </w:p>
        </w:tc>
        <w:tc>
          <w:tcPr>
            <w:tcW w:w="1276" w:type="dxa"/>
            <w:hideMark/>
          </w:tcPr>
          <w:p w14:paraId="1D752539"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12</w:t>
            </w:r>
          </w:p>
        </w:tc>
        <w:tc>
          <w:tcPr>
            <w:tcW w:w="6734" w:type="dxa"/>
            <w:hideMark/>
          </w:tcPr>
          <w:p w14:paraId="3221AA63"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Número de llamadas de un mismo tipo realizadas en un día.</w:t>
            </w:r>
          </w:p>
        </w:tc>
      </w:tr>
      <w:tr w:rsidR="008762D1" w:rsidRPr="008762D1" w14:paraId="622725EC" w14:textId="77777777" w:rsidTr="00664EC0">
        <w:trPr>
          <w:jc w:val="center"/>
        </w:trPr>
        <w:tc>
          <w:tcPr>
            <w:tcW w:w="496" w:type="dxa"/>
            <w:hideMark/>
          </w:tcPr>
          <w:p w14:paraId="1E1352C7"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15</w:t>
            </w:r>
          </w:p>
        </w:tc>
        <w:tc>
          <w:tcPr>
            <w:tcW w:w="2409" w:type="dxa"/>
            <w:hideMark/>
          </w:tcPr>
          <w:p w14:paraId="665B528A"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Número de minutos  registrados</w:t>
            </w:r>
          </w:p>
        </w:tc>
        <w:tc>
          <w:tcPr>
            <w:tcW w:w="709" w:type="dxa"/>
            <w:hideMark/>
          </w:tcPr>
          <w:p w14:paraId="587A657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6A92ED80"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9(9).99</w:t>
            </w:r>
          </w:p>
        </w:tc>
        <w:tc>
          <w:tcPr>
            <w:tcW w:w="1276" w:type="dxa"/>
            <w:hideMark/>
          </w:tcPr>
          <w:p w14:paraId="21AE49F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12</w:t>
            </w:r>
          </w:p>
        </w:tc>
        <w:tc>
          <w:tcPr>
            <w:tcW w:w="6734" w:type="dxa"/>
            <w:hideMark/>
          </w:tcPr>
          <w:p w14:paraId="3657D22F"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Número de minutos de las llamadas de un mismo tipo realizadas en un </w:t>
            </w:r>
            <w:proofErr w:type="gramStart"/>
            <w:r w:rsidRPr="008762D1">
              <w:rPr>
                <w:rFonts w:ascii="ITC Avant Garde" w:hAnsi="ITC Avant Garde"/>
                <w:color w:val="000000" w:themeColor="text1"/>
                <w:sz w:val="18"/>
                <w:szCs w:val="18"/>
              </w:rPr>
              <w:t>día .</w:t>
            </w:r>
            <w:proofErr w:type="gramEnd"/>
          </w:p>
        </w:tc>
      </w:tr>
      <w:tr w:rsidR="008762D1" w:rsidRPr="008762D1" w14:paraId="2C8E97B9" w14:textId="77777777" w:rsidTr="00664EC0">
        <w:trPr>
          <w:jc w:val="center"/>
        </w:trPr>
        <w:tc>
          <w:tcPr>
            <w:tcW w:w="496" w:type="dxa"/>
            <w:hideMark/>
          </w:tcPr>
          <w:p w14:paraId="12E6A83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lastRenderedPageBreak/>
              <w:t>16</w:t>
            </w:r>
          </w:p>
        </w:tc>
        <w:tc>
          <w:tcPr>
            <w:tcW w:w="2409" w:type="dxa"/>
            <w:hideMark/>
          </w:tcPr>
          <w:p w14:paraId="35CF81B9"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Tarifa reconocida</w:t>
            </w:r>
          </w:p>
        </w:tc>
        <w:tc>
          <w:tcPr>
            <w:tcW w:w="709" w:type="dxa"/>
            <w:hideMark/>
          </w:tcPr>
          <w:p w14:paraId="74B05DD6"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2D0CCD75"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99.9999999</w:t>
            </w:r>
          </w:p>
        </w:tc>
        <w:tc>
          <w:tcPr>
            <w:tcW w:w="1276" w:type="dxa"/>
            <w:hideMark/>
          </w:tcPr>
          <w:p w14:paraId="5F32DEF0"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10</w:t>
            </w:r>
          </w:p>
        </w:tc>
        <w:tc>
          <w:tcPr>
            <w:tcW w:w="6734" w:type="dxa"/>
            <w:hideMark/>
          </w:tcPr>
          <w:p w14:paraId="3D9F8A6F"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Tarifa por minuto por tipo de llamada justificado a la derecha.</w:t>
            </w:r>
          </w:p>
        </w:tc>
      </w:tr>
      <w:tr w:rsidR="008762D1" w:rsidRPr="008762D1" w14:paraId="22D1BCB5" w14:textId="77777777" w:rsidTr="00664EC0">
        <w:trPr>
          <w:jc w:val="center"/>
        </w:trPr>
        <w:tc>
          <w:tcPr>
            <w:tcW w:w="496" w:type="dxa"/>
            <w:hideMark/>
          </w:tcPr>
          <w:p w14:paraId="755F4E0C"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17</w:t>
            </w:r>
          </w:p>
        </w:tc>
        <w:tc>
          <w:tcPr>
            <w:tcW w:w="2409" w:type="dxa"/>
            <w:hideMark/>
          </w:tcPr>
          <w:p w14:paraId="64422B40" w14:textId="77777777" w:rsidR="00526FE9" w:rsidRPr="008762D1" w:rsidRDefault="00526FE9" w:rsidP="00A70BE9">
            <w:pPr>
              <w:rPr>
                <w:rFonts w:ascii="ITC Avant Garde" w:hAnsi="ITC Avant Garde"/>
                <w:color w:val="000000" w:themeColor="text1"/>
                <w:sz w:val="18"/>
                <w:szCs w:val="18"/>
              </w:rPr>
            </w:pPr>
            <w:proofErr w:type="spellStart"/>
            <w:r w:rsidRPr="008762D1">
              <w:rPr>
                <w:rFonts w:ascii="ITC Avant Garde" w:hAnsi="ITC Avant Garde"/>
                <w:color w:val="000000" w:themeColor="text1"/>
                <w:sz w:val="18"/>
                <w:szCs w:val="18"/>
              </w:rPr>
              <w:t>Filler</w:t>
            </w:r>
            <w:proofErr w:type="spellEnd"/>
          </w:p>
        </w:tc>
        <w:tc>
          <w:tcPr>
            <w:tcW w:w="709" w:type="dxa"/>
            <w:hideMark/>
          </w:tcPr>
          <w:p w14:paraId="5982310E"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C</w:t>
            </w:r>
          </w:p>
        </w:tc>
        <w:tc>
          <w:tcPr>
            <w:tcW w:w="1276" w:type="dxa"/>
          </w:tcPr>
          <w:p w14:paraId="72A0DB1F" w14:textId="77777777" w:rsidR="00526FE9" w:rsidRPr="008762D1" w:rsidRDefault="00526FE9" w:rsidP="00A70BE9">
            <w:pPr>
              <w:jc w:val="right"/>
              <w:rPr>
                <w:rFonts w:ascii="ITC Avant Garde" w:hAnsi="ITC Avant Garde"/>
                <w:color w:val="000000" w:themeColor="text1"/>
                <w:sz w:val="18"/>
                <w:szCs w:val="18"/>
              </w:rPr>
            </w:pPr>
          </w:p>
        </w:tc>
        <w:tc>
          <w:tcPr>
            <w:tcW w:w="1276" w:type="dxa"/>
            <w:hideMark/>
          </w:tcPr>
          <w:p w14:paraId="200329D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12</w:t>
            </w:r>
          </w:p>
        </w:tc>
        <w:tc>
          <w:tcPr>
            <w:tcW w:w="6734" w:type="dxa"/>
            <w:hideMark/>
          </w:tcPr>
          <w:p w14:paraId="34685D58"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Caracteres en blanco para completar la longitud del registro a 130 posiciones.</w:t>
            </w:r>
          </w:p>
        </w:tc>
      </w:tr>
      <w:tr w:rsidR="008762D1" w:rsidRPr="008762D1" w14:paraId="04A6F4F2" w14:textId="77777777" w:rsidTr="00664EC0">
        <w:trPr>
          <w:jc w:val="center"/>
        </w:trPr>
        <w:tc>
          <w:tcPr>
            <w:tcW w:w="496" w:type="dxa"/>
          </w:tcPr>
          <w:p w14:paraId="63412705" w14:textId="77777777" w:rsidR="00526FE9" w:rsidRPr="008762D1" w:rsidRDefault="00526FE9" w:rsidP="00A70BE9">
            <w:pPr>
              <w:jc w:val="center"/>
              <w:rPr>
                <w:rFonts w:ascii="ITC Avant Garde" w:hAnsi="ITC Avant Garde"/>
                <w:color w:val="000000" w:themeColor="text1"/>
                <w:sz w:val="18"/>
                <w:szCs w:val="18"/>
              </w:rPr>
            </w:pPr>
          </w:p>
        </w:tc>
        <w:tc>
          <w:tcPr>
            <w:tcW w:w="2409" w:type="dxa"/>
            <w:hideMark/>
          </w:tcPr>
          <w:p w14:paraId="5582DEA8" w14:textId="77777777" w:rsidR="00526FE9" w:rsidRPr="008762D1" w:rsidRDefault="00526FE9" w:rsidP="00A70BE9">
            <w:pPr>
              <w:rPr>
                <w:rFonts w:ascii="ITC Avant Garde" w:hAnsi="ITC Avant Garde"/>
                <w:b/>
                <w:color w:val="000000" w:themeColor="text1"/>
                <w:sz w:val="18"/>
                <w:szCs w:val="18"/>
              </w:rPr>
            </w:pPr>
            <w:r w:rsidRPr="008762D1">
              <w:rPr>
                <w:rFonts w:ascii="ITC Avant Garde" w:hAnsi="ITC Avant Garde"/>
                <w:b/>
                <w:color w:val="000000" w:themeColor="text1"/>
                <w:sz w:val="18"/>
                <w:szCs w:val="18"/>
              </w:rPr>
              <w:t>REGISTRO TRAILER</w:t>
            </w:r>
          </w:p>
        </w:tc>
        <w:tc>
          <w:tcPr>
            <w:tcW w:w="709" w:type="dxa"/>
          </w:tcPr>
          <w:p w14:paraId="18A4A5D4" w14:textId="77777777" w:rsidR="00526FE9" w:rsidRPr="008762D1" w:rsidRDefault="00526FE9" w:rsidP="00A70BE9">
            <w:pPr>
              <w:jc w:val="right"/>
              <w:rPr>
                <w:rFonts w:ascii="ITC Avant Garde" w:hAnsi="ITC Avant Garde"/>
                <w:color w:val="000000" w:themeColor="text1"/>
                <w:sz w:val="18"/>
                <w:szCs w:val="18"/>
              </w:rPr>
            </w:pPr>
          </w:p>
        </w:tc>
        <w:tc>
          <w:tcPr>
            <w:tcW w:w="1276" w:type="dxa"/>
          </w:tcPr>
          <w:p w14:paraId="7F7A84D6" w14:textId="77777777" w:rsidR="00526FE9" w:rsidRPr="008762D1" w:rsidRDefault="00526FE9" w:rsidP="00A70BE9">
            <w:pPr>
              <w:jc w:val="center"/>
              <w:rPr>
                <w:rFonts w:ascii="ITC Avant Garde" w:hAnsi="ITC Avant Garde"/>
                <w:b/>
                <w:color w:val="000000" w:themeColor="text1"/>
                <w:sz w:val="18"/>
                <w:szCs w:val="18"/>
              </w:rPr>
            </w:pPr>
          </w:p>
        </w:tc>
        <w:tc>
          <w:tcPr>
            <w:tcW w:w="1276" w:type="dxa"/>
            <w:hideMark/>
          </w:tcPr>
          <w:p w14:paraId="1A47093E" w14:textId="77777777" w:rsidR="00526FE9" w:rsidRPr="008762D1" w:rsidRDefault="00526FE9" w:rsidP="00A70BE9">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130</w:t>
            </w:r>
          </w:p>
        </w:tc>
        <w:tc>
          <w:tcPr>
            <w:tcW w:w="6734" w:type="dxa"/>
          </w:tcPr>
          <w:p w14:paraId="323A60F9" w14:textId="77777777" w:rsidR="00526FE9" w:rsidRPr="008762D1" w:rsidRDefault="00526FE9" w:rsidP="00A70BE9">
            <w:pPr>
              <w:rPr>
                <w:rFonts w:ascii="ITC Avant Garde" w:hAnsi="ITC Avant Garde"/>
                <w:color w:val="000000" w:themeColor="text1"/>
                <w:sz w:val="18"/>
                <w:szCs w:val="18"/>
              </w:rPr>
            </w:pPr>
          </w:p>
        </w:tc>
      </w:tr>
      <w:tr w:rsidR="008762D1" w:rsidRPr="008762D1" w14:paraId="095DF68F" w14:textId="77777777" w:rsidTr="00664EC0">
        <w:trPr>
          <w:jc w:val="center"/>
        </w:trPr>
        <w:tc>
          <w:tcPr>
            <w:tcW w:w="496" w:type="dxa"/>
            <w:hideMark/>
          </w:tcPr>
          <w:p w14:paraId="140F9C2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2409" w:type="dxa"/>
            <w:hideMark/>
          </w:tcPr>
          <w:p w14:paraId="35E5DBB5"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Identificador de reg.</w:t>
            </w:r>
          </w:p>
        </w:tc>
        <w:tc>
          <w:tcPr>
            <w:tcW w:w="709" w:type="dxa"/>
            <w:hideMark/>
          </w:tcPr>
          <w:p w14:paraId="4E2A854C"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50488695"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w:t>
            </w:r>
          </w:p>
        </w:tc>
        <w:tc>
          <w:tcPr>
            <w:tcW w:w="1276" w:type="dxa"/>
            <w:hideMark/>
          </w:tcPr>
          <w:p w14:paraId="095FD108"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6734" w:type="dxa"/>
            <w:hideMark/>
          </w:tcPr>
          <w:p w14:paraId="3BE2DDA6"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Identifica el tipo de registro que para el “</w:t>
            </w:r>
            <w:proofErr w:type="spellStart"/>
            <w:r w:rsidRPr="008762D1">
              <w:rPr>
                <w:rFonts w:ascii="ITC Avant Garde" w:hAnsi="ITC Avant Garde"/>
                <w:color w:val="000000" w:themeColor="text1"/>
                <w:sz w:val="18"/>
                <w:szCs w:val="18"/>
              </w:rPr>
              <w:t>trailer</w:t>
            </w:r>
            <w:proofErr w:type="spellEnd"/>
            <w:r w:rsidRPr="008762D1">
              <w:rPr>
                <w:rFonts w:ascii="ITC Avant Garde" w:hAnsi="ITC Avant Garde"/>
                <w:color w:val="000000" w:themeColor="text1"/>
                <w:sz w:val="18"/>
                <w:szCs w:val="18"/>
              </w:rPr>
              <w:t>” el valor debe ser 9.</w:t>
            </w:r>
          </w:p>
        </w:tc>
      </w:tr>
      <w:tr w:rsidR="008762D1" w:rsidRPr="008762D1" w14:paraId="657636BA" w14:textId="77777777" w:rsidTr="00664EC0">
        <w:trPr>
          <w:jc w:val="center"/>
        </w:trPr>
        <w:tc>
          <w:tcPr>
            <w:tcW w:w="496" w:type="dxa"/>
            <w:hideMark/>
          </w:tcPr>
          <w:p w14:paraId="74C889D6"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2409" w:type="dxa"/>
            <w:hideMark/>
          </w:tcPr>
          <w:p w14:paraId="4C5CD84B"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Operador origen</w:t>
            </w:r>
          </w:p>
        </w:tc>
        <w:tc>
          <w:tcPr>
            <w:tcW w:w="709" w:type="dxa"/>
            <w:hideMark/>
          </w:tcPr>
          <w:p w14:paraId="20E29156"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2EEE4CC9"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w:t>
            </w:r>
          </w:p>
        </w:tc>
        <w:tc>
          <w:tcPr>
            <w:tcW w:w="1276" w:type="dxa"/>
            <w:hideMark/>
          </w:tcPr>
          <w:p w14:paraId="07048BD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6734" w:type="dxa"/>
            <w:hideMark/>
          </w:tcPr>
          <w:p w14:paraId="54769D1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Clave del operador que factura. CIC</w:t>
            </w:r>
          </w:p>
        </w:tc>
      </w:tr>
      <w:tr w:rsidR="008762D1" w:rsidRPr="008762D1" w14:paraId="7FADF94B" w14:textId="77777777" w:rsidTr="00664EC0">
        <w:trPr>
          <w:jc w:val="center"/>
        </w:trPr>
        <w:tc>
          <w:tcPr>
            <w:tcW w:w="496" w:type="dxa"/>
            <w:hideMark/>
          </w:tcPr>
          <w:p w14:paraId="031E6B9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2409" w:type="dxa"/>
            <w:hideMark/>
          </w:tcPr>
          <w:p w14:paraId="41116607"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Operador destino</w:t>
            </w:r>
          </w:p>
        </w:tc>
        <w:tc>
          <w:tcPr>
            <w:tcW w:w="709" w:type="dxa"/>
            <w:hideMark/>
          </w:tcPr>
          <w:p w14:paraId="5383F7E8"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08CA5634"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999</w:t>
            </w:r>
          </w:p>
        </w:tc>
        <w:tc>
          <w:tcPr>
            <w:tcW w:w="1276" w:type="dxa"/>
            <w:hideMark/>
          </w:tcPr>
          <w:p w14:paraId="5559B0F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6734" w:type="dxa"/>
            <w:hideMark/>
          </w:tcPr>
          <w:p w14:paraId="6CE7477A"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Clave del operador a quien se le factura. CIC</w:t>
            </w:r>
          </w:p>
        </w:tc>
      </w:tr>
      <w:tr w:rsidR="008762D1" w:rsidRPr="008762D1" w14:paraId="684AB95F" w14:textId="77777777" w:rsidTr="00664EC0">
        <w:trPr>
          <w:jc w:val="center"/>
        </w:trPr>
        <w:tc>
          <w:tcPr>
            <w:tcW w:w="496" w:type="dxa"/>
            <w:hideMark/>
          </w:tcPr>
          <w:p w14:paraId="5041BAB1"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4</w:t>
            </w:r>
          </w:p>
        </w:tc>
        <w:tc>
          <w:tcPr>
            <w:tcW w:w="2409" w:type="dxa"/>
            <w:hideMark/>
          </w:tcPr>
          <w:p w14:paraId="04A3E94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Total registros</w:t>
            </w:r>
          </w:p>
        </w:tc>
        <w:tc>
          <w:tcPr>
            <w:tcW w:w="709" w:type="dxa"/>
            <w:hideMark/>
          </w:tcPr>
          <w:p w14:paraId="1F39F003"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w:t>
            </w:r>
          </w:p>
        </w:tc>
        <w:tc>
          <w:tcPr>
            <w:tcW w:w="1276" w:type="dxa"/>
            <w:hideMark/>
          </w:tcPr>
          <w:p w14:paraId="0CB9700B"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(15)9</w:t>
            </w:r>
          </w:p>
        </w:tc>
        <w:tc>
          <w:tcPr>
            <w:tcW w:w="1276" w:type="dxa"/>
            <w:hideMark/>
          </w:tcPr>
          <w:p w14:paraId="410C1E61"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15</w:t>
            </w:r>
          </w:p>
        </w:tc>
        <w:tc>
          <w:tcPr>
            <w:tcW w:w="6734" w:type="dxa"/>
            <w:hideMark/>
          </w:tcPr>
          <w:p w14:paraId="08F6348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Número total de registros que contiene el archivo justificado a la derecha (No incluye </w:t>
            </w:r>
            <w:proofErr w:type="spellStart"/>
            <w:r w:rsidRPr="008762D1">
              <w:rPr>
                <w:rFonts w:ascii="ITC Avant Garde" w:hAnsi="ITC Avant Garde"/>
                <w:color w:val="000000" w:themeColor="text1"/>
                <w:sz w:val="18"/>
                <w:szCs w:val="18"/>
              </w:rPr>
              <w:t>Header</w:t>
            </w:r>
            <w:proofErr w:type="spellEnd"/>
            <w:r w:rsidRPr="008762D1">
              <w:rPr>
                <w:rFonts w:ascii="ITC Avant Garde" w:hAnsi="ITC Avant Garde"/>
                <w:color w:val="000000" w:themeColor="text1"/>
                <w:sz w:val="18"/>
                <w:szCs w:val="18"/>
              </w:rPr>
              <w:t xml:space="preserve"> y </w:t>
            </w:r>
            <w:proofErr w:type="spellStart"/>
            <w:r w:rsidRPr="008762D1">
              <w:rPr>
                <w:rFonts w:ascii="ITC Avant Garde" w:hAnsi="ITC Avant Garde"/>
                <w:color w:val="000000" w:themeColor="text1"/>
                <w:sz w:val="18"/>
                <w:szCs w:val="18"/>
              </w:rPr>
              <w:t>Trailer</w:t>
            </w:r>
            <w:proofErr w:type="spellEnd"/>
            <w:r w:rsidRPr="008762D1">
              <w:rPr>
                <w:rFonts w:ascii="ITC Avant Garde" w:hAnsi="ITC Avant Garde"/>
                <w:color w:val="000000" w:themeColor="text1"/>
                <w:sz w:val="18"/>
                <w:szCs w:val="18"/>
              </w:rPr>
              <w:t>).</w:t>
            </w:r>
          </w:p>
        </w:tc>
      </w:tr>
      <w:tr w:rsidR="008762D1" w:rsidRPr="008762D1" w14:paraId="1F1DA566" w14:textId="77777777" w:rsidTr="00664EC0">
        <w:trPr>
          <w:jc w:val="center"/>
        </w:trPr>
        <w:tc>
          <w:tcPr>
            <w:tcW w:w="496" w:type="dxa"/>
            <w:hideMark/>
          </w:tcPr>
          <w:p w14:paraId="15B65B8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2409" w:type="dxa"/>
            <w:hideMark/>
          </w:tcPr>
          <w:p w14:paraId="0FE27170"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Fecha facturación</w:t>
            </w:r>
          </w:p>
        </w:tc>
        <w:tc>
          <w:tcPr>
            <w:tcW w:w="709" w:type="dxa"/>
            <w:hideMark/>
          </w:tcPr>
          <w:p w14:paraId="7D2680EB"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N</w:t>
            </w:r>
          </w:p>
        </w:tc>
        <w:tc>
          <w:tcPr>
            <w:tcW w:w="1276" w:type="dxa"/>
            <w:hideMark/>
          </w:tcPr>
          <w:p w14:paraId="492CB028" w14:textId="77777777" w:rsidR="00526FE9" w:rsidRPr="008762D1" w:rsidRDefault="00526FE9" w:rsidP="00A70BE9">
            <w:pPr>
              <w:jc w:val="right"/>
              <w:rPr>
                <w:rFonts w:ascii="ITC Avant Garde" w:hAnsi="ITC Avant Garde"/>
                <w:color w:val="000000" w:themeColor="text1"/>
                <w:sz w:val="18"/>
                <w:szCs w:val="18"/>
              </w:rPr>
            </w:pPr>
            <w:proofErr w:type="spellStart"/>
            <w:r w:rsidRPr="008762D1">
              <w:rPr>
                <w:rFonts w:ascii="ITC Avant Garde" w:hAnsi="ITC Avant Garde"/>
                <w:color w:val="000000" w:themeColor="text1"/>
                <w:sz w:val="18"/>
                <w:szCs w:val="18"/>
              </w:rPr>
              <w:t>Aaaammdd</w:t>
            </w:r>
            <w:proofErr w:type="spellEnd"/>
          </w:p>
        </w:tc>
        <w:tc>
          <w:tcPr>
            <w:tcW w:w="1276" w:type="dxa"/>
            <w:hideMark/>
          </w:tcPr>
          <w:p w14:paraId="526EC0E0"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8</w:t>
            </w:r>
          </w:p>
        </w:tc>
        <w:tc>
          <w:tcPr>
            <w:tcW w:w="6734" w:type="dxa"/>
            <w:hideMark/>
          </w:tcPr>
          <w:p w14:paraId="7DEA431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Fecha de emisión de factura de la cual se presenta el reclamo.</w:t>
            </w:r>
          </w:p>
        </w:tc>
      </w:tr>
      <w:tr w:rsidR="00526FE9" w:rsidRPr="008762D1" w14:paraId="154C2755" w14:textId="77777777" w:rsidTr="00664EC0">
        <w:trPr>
          <w:jc w:val="center"/>
        </w:trPr>
        <w:tc>
          <w:tcPr>
            <w:tcW w:w="496" w:type="dxa"/>
            <w:hideMark/>
          </w:tcPr>
          <w:p w14:paraId="4F5F0941"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6</w:t>
            </w:r>
          </w:p>
        </w:tc>
        <w:tc>
          <w:tcPr>
            <w:tcW w:w="2409" w:type="dxa"/>
            <w:hideMark/>
          </w:tcPr>
          <w:p w14:paraId="0BF2DC3B"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w:t>
            </w:r>
            <w:proofErr w:type="spellStart"/>
            <w:r w:rsidRPr="008762D1">
              <w:rPr>
                <w:rFonts w:ascii="ITC Avant Garde" w:hAnsi="ITC Avant Garde"/>
                <w:color w:val="000000" w:themeColor="text1"/>
                <w:sz w:val="18"/>
                <w:szCs w:val="18"/>
              </w:rPr>
              <w:t>Filler</w:t>
            </w:r>
            <w:proofErr w:type="spellEnd"/>
          </w:p>
        </w:tc>
        <w:tc>
          <w:tcPr>
            <w:tcW w:w="709" w:type="dxa"/>
            <w:hideMark/>
          </w:tcPr>
          <w:p w14:paraId="7EF7803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w:t>
            </w:r>
          </w:p>
        </w:tc>
        <w:tc>
          <w:tcPr>
            <w:tcW w:w="1276" w:type="dxa"/>
            <w:hideMark/>
          </w:tcPr>
          <w:p w14:paraId="77FE0A47" w14:textId="77777777" w:rsidR="00526FE9" w:rsidRPr="008762D1" w:rsidRDefault="00526FE9" w:rsidP="00A70BE9">
            <w:pPr>
              <w:jc w:val="right"/>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w:t>
            </w:r>
          </w:p>
        </w:tc>
        <w:tc>
          <w:tcPr>
            <w:tcW w:w="1276" w:type="dxa"/>
            <w:hideMark/>
          </w:tcPr>
          <w:p w14:paraId="67DD3968"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100</w:t>
            </w:r>
          </w:p>
        </w:tc>
        <w:tc>
          <w:tcPr>
            <w:tcW w:w="6734" w:type="dxa"/>
            <w:hideMark/>
          </w:tcPr>
          <w:p w14:paraId="2CF02F1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Caracteres en blanco para completar la longitud del registro a 130 posiciones</w:t>
            </w:r>
          </w:p>
        </w:tc>
      </w:tr>
    </w:tbl>
    <w:p w14:paraId="44430718" w14:textId="7041E930" w:rsidR="00526FE9" w:rsidRPr="008762D1" w:rsidRDefault="00526FE9" w:rsidP="00A70BE9">
      <w:pPr>
        <w:pStyle w:val="Textoindependiente"/>
        <w:tabs>
          <w:tab w:val="left" w:pos="360"/>
        </w:tabs>
        <w:spacing w:before="240"/>
        <w:jc w:val="center"/>
        <w:rPr>
          <w:rFonts w:ascii="ITC Avant Garde" w:hAnsi="ITC Avant Garde"/>
          <w:b/>
          <w:color w:val="000000" w:themeColor="text1"/>
        </w:rPr>
      </w:pPr>
      <w:r w:rsidRPr="008762D1">
        <w:rPr>
          <w:rFonts w:ascii="ITC Avant Garde" w:hAnsi="ITC Avant Garde"/>
          <w:b/>
          <w:color w:val="000000" w:themeColor="text1"/>
        </w:rPr>
        <w:br w:type="page"/>
      </w:r>
      <w:r w:rsidRPr="008762D1">
        <w:rPr>
          <w:rFonts w:ascii="ITC Avant Garde" w:hAnsi="ITC Avant Garde"/>
          <w:b/>
          <w:color w:val="000000" w:themeColor="text1"/>
        </w:rPr>
        <w:lastRenderedPageBreak/>
        <w:t>GUIA DEL LAYOUT PARA LA PRESENTACIÓN DE OBJECIONES PARA LOS SERVICIOS DE INTERCONEXIÓN</w:t>
      </w:r>
      <w:r w:rsidR="00A70BE9" w:rsidRPr="008762D1">
        <w:rPr>
          <w:rFonts w:ascii="ITC Avant Garde" w:hAnsi="ITC Avant Garde"/>
          <w:b/>
          <w:color w:val="000000" w:themeColor="text1"/>
        </w:rPr>
        <w:t>.</w:t>
      </w:r>
    </w:p>
    <w:tbl>
      <w:tblPr>
        <w:tblStyle w:val="Cuadrculadetablaclara"/>
        <w:tblW w:w="0" w:type="auto"/>
        <w:jc w:val="center"/>
        <w:tblLayout w:type="fixed"/>
        <w:tblLook w:val="04A0" w:firstRow="1" w:lastRow="0" w:firstColumn="1" w:lastColumn="0" w:noHBand="0" w:noVBand="1"/>
        <w:tblCaption w:val="Tabla"/>
        <w:tblDescription w:val="GUIA DEL LAYOUT PARA LA PRESENTACIÓN DE OBJECIONES PARA LOS SERVICIOS DE INTERCONEXIÓN"/>
      </w:tblPr>
      <w:tblGrid>
        <w:gridCol w:w="876"/>
        <w:gridCol w:w="770"/>
        <w:gridCol w:w="8376"/>
      </w:tblGrid>
      <w:tr w:rsidR="008762D1" w:rsidRPr="008762D1" w14:paraId="7802D0AE" w14:textId="77777777" w:rsidTr="00664EC0">
        <w:trPr>
          <w:trHeight w:val="233"/>
          <w:tblHeader/>
          <w:jc w:val="center"/>
        </w:trPr>
        <w:tc>
          <w:tcPr>
            <w:tcW w:w="876" w:type="dxa"/>
            <w:hideMark/>
          </w:tcPr>
          <w:p w14:paraId="5A73F52A" w14:textId="77777777" w:rsidR="00526FE9" w:rsidRPr="008762D1" w:rsidRDefault="00526FE9" w:rsidP="00A70BE9">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Registro</w:t>
            </w:r>
          </w:p>
        </w:tc>
        <w:tc>
          <w:tcPr>
            <w:tcW w:w="770" w:type="dxa"/>
            <w:hideMark/>
          </w:tcPr>
          <w:p w14:paraId="2D91371B" w14:textId="77777777" w:rsidR="00526FE9" w:rsidRPr="008762D1" w:rsidRDefault="00526FE9" w:rsidP="00A70BE9">
            <w:pPr>
              <w:jc w:val="center"/>
              <w:rPr>
                <w:rFonts w:ascii="ITC Avant Garde" w:hAnsi="ITC Avant Garde"/>
                <w:b/>
                <w:color w:val="000000" w:themeColor="text1"/>
                <w:sz w:val="18"/>
                <w:szCs w:val="18"/>
              </w:rPr>
            </w:pPr>
            <w:r w:rsidRPr="008762D1">
              <w:rPr>
                <w:rFonts w:ascii="ITC Avant Garde" w:hAnsi="ITC Avant Garde"/>
                <w:b/>
                <w:color w:val="000000" w:themeColor="text1"/>
                <w:sz w:val="18"/>
                <w:szCs w:val="18"/>
              </w:rPr>
              <w:t>Campo</w:t>
            </w:r>
          </w:p>
        </w:tc>
        <w:tc>
          <w:tcPr>
            <w:tcW w:w="8376" w:type="dxa"/>
            <w:hideMark/>
          </w:tcPr>
          <w:p w14:paraId="36FBE166" w14:textId="77777777" w:rsidR="00526FE9" w:rsidRPr="008762D1" w:rsidRDefault="00526FE9" w:rsidP="00A70BE9">
            <w:pPr>
              <w:pStyle w:val="Ttulo9"/>
              <w:spacing w:before="0" w:after="0"/>
              <w:jc w:val="center"/>
              <w:outlineLvl w:val="8"/>
              <w:rPr>
                <w:rFonts w:ascii="ITC Avant Garde" w:hAnsi="ITC Avant Garde"/>
                <w:b/>
                <w:color w:val="000000" w:themeColor="text1"/>
                <w:sz w:val="18"/>
                <w:szCs w:val="18"/>
              </w:rPr>
            </w:pPr>
            <w:r w:rsidRPr="008762D1">
              <w:rPr>
                <w:rFonts w:ascii="ITC Avant Garde" w:hAnsi="ITC Avant Garde"/>
                <w:b/>
                <w:color w:val="000000" w:themeColor="text1"/>
                <w:sz w:val="18"/>
                <w:szCs w:val="18"/>
              </w:rPr>
              <w:t>Descripción</w:t>
            </w:r>
          </w:p>
        </w:tc>
      </w:tr>
      <w:tr w:rsidR="008762D1" w:rsidRPr="008762D1" w14:paraId="0FCA5E2E" w14:textId="77777777" w:rsidTr="00664EC0">
        <w:trPr>
          <w:trHeight w:val="158"/>
          <w:jc w:val="center"/>
        </w:trPr>
        <w:tc>
          <w:tcPr>
            <w:tcW w:w="876" w:type="dxa"/>
            <w:hideMark/>
          </w:tcPr>
          <w:p w14:paraId="014CAA35" w14:textId="77777777" w:rsidR="00526FE9" w:rsidRPr="008762D1" w:rsidRDefault="00526FE9" w:rsidP="00A70BE9">
            <w:pPr>
              <w:pStyle w:val="Ttulo9"/>
              <w:spacing w:before="0" w:after="0"/>
              <w:outlineLvl w:val="8"/>
              <w:rPr>
                <w:rFonts w:ascii="ITC Avant Garde" w:hAnsi="ITC Avant Garde"/>
                <w:color w:val="000000" w:themeColor="text1"/>
                <w:sz w:val="18"/>
                <w:szCs w:val="18"/>
              </w:rPr>
            </w:pPr>
            <w:proofErr w:type="spellStart"/>
            <w:r w:rsidRPr="008762D1">
              <w:rPr>
                <w:rFonts w:ascii="ITC Avant Garde" w:hAnsi="ITC Avant Garde"/>
                <w:color w:val="000000" w:themeColor="text1"/>
                <w:sz w:val="18"/>
                <w:szCs w:val="18"/>
              </w:rPr>
              <w:t>Header</w:t>
            </w:r>
            <w:proofErr w:type="spellEnd"/>
          </w:p>
        </w:tc>
        <w:tc>
          <w:tcPr>
            <w:tcW w:w="770" w:type="dxa"/>
            <w:hideMark/>
          </w:tcPr>
          <w:p w14:paraId="752A6D9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8376" w:type="dxa"/>
            <w:hideMark/>
          </w:tcPr>
          <w:p w14:paraId="77BC59B5"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Identificador de inicio de encabezado. El valor debe ser cero.</w:t>
            </w:r>
          </w:p>
        </w:tc>
      </w:tr>
      <w:tr w:rsidR="008762D1" w:rsidRPr="008762D1" w14:paraId="2F18EDBF" w14:textId="77777777" w:rsidTr="00664EC0">
        <w:trPr>
          <w:trHeight w:val="233"/>
          <w:jc w:val="center"/>
        </w:trPr>
        <w:tc>
          <w:tcPr>
            <w:tcW w:w="876" w:type="dxa"/>
          </w:tcPr>
          <w:p w14:paraId="618BD410"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4C536359"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8376" w:type="dxa"/>
            <w:hideMark/>
          </w:tcPr>
          <w:p w14:paraId="361718A3"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Clave del operador que factura. CIC (Código de Identificación de </w:t>
            </w:r>
            <w:proofErr w:type="spellStart"/>
            <w:r w:rsidRPr="008762D1">
              <w:rPr>
                <w:rFonts w:ascii="ITC Avant Garde" w:hAnsi="ITC Avant Garde"/>
                <w:color w:val="000000" w:themeColor="text1"/>
                <w:sz w:val="18"/>
                <w:szCs w:val="18"/>
              </w:rPr>
              <w:t>Carrier</w:t>
            </w:r>
            <w:proofErr w:type="spellEnd"/>
            <w:r w:rsidRPr="008762D1">
              <w:rPr>
                <w:rFonts w:ascii="ITC Avant Garde" w:hAnsi="ITC Avant Garde"/>
                <w:color w:val="000000" w:themeColor="text1"/>
                <w:sz w:val="18"/>
                <w:szCs w:val="18"/>
              </w:rPr>
              <w:t>).</w:t>
            </w:r>
          </w:p>
        </w:tc>
      </w:tr>
      <w:tr w:rsidR="008762D1" w:rsidRPr="008762D1" w14:paraId="5FF8D4E3" w14:textId="77777777" w:rsidTr="00664EC0">
        <w:trPr>
          <w:trHeight w:val="233"/>
          <w:jc w:val="center"/>
        </w:trPr>
        <w:tc>
          <w:tcPr>
            <w:tcW w:w="876" w:type="dxa"/>
          </w:tcPr>
          <w:p w14:paraId="6A658BA1"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54AA981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8376" w:type="dxa"/>
            <w:hideMark/>
          </w:tcPr>
          <w:p w14:paraId="2F9AC809"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Clave del operador a quien se le factura. CIC (Código de Identificación de </w:t>
            </w:r>
            <w:proofErr w:type="spellStart"/>
            <w:r w:rsidRPr="008762D1">
              <w:rPr>
                <w:rFonts w:ascii="ITC Avant Garde" w:hAnsi="ITC Avant Garde"/>
                <w:color w:val="000000" w:themeColor="text1"/>
                <w:sz w:val="18"/>
                <w:szCs w:val="18"/>
              </w:rPr>
              <w:t>Carrier</w:t>
            </w:r>
            <w:proofErr w:type="spellEnd"/>
            <w:r w:rsidRPr="008762D1">
              <w:rPr>
                <w:rFonts w:ascii="ITC Avant Garde" w:hAnsi="ITC Avant Garde"/>
                <w:color w:val="000000" w:themeColor="text1"/>
                <w:sz w:val="18"/>
                <w:szCs w:val="18"/>
              </w:rPr>
              <w:t>).</w:t>
            </w:r>
          </w:p>
        </w:tc>
      </w:tr>
      <w:tr w:rsidR="008762D1" w:rsidRPr="008762D1" w14:paraId="0601A0EF" w14:textId="77777777" w:rsidTr="00664EC0">
        <w:trPr>
          <w:trHeight w:val="309"/>
          <w:jc w:val="center"/>
        </w:trPr>
        <w:tc>
          <w:tcPr>
            <w:tcW w:w="876" w:type="dxa"/>
          </w:tcPr>
          <w:p w14:paraId="680BFD93"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2F0BECE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4</w:t>
            </w:r>
          </w:p>
        </w:tc>
        <w:tc>
          <w:tcPr>
            <w:tcW w:w="8376" w:type="dxa"/>
            <w:hideMark/>
          </w:tcPr>
          <w:p w14:paraId="778D6250"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Fecha de emisión de la factura de la cual se presenta el reclamo. </w:t>
            </w:r>
          </w:p>
        </w:tc>
      </w:tr>
      <w:tr w:rsidR="008762D1" w:rsidRPr="008762D1" w14:paraId="6D09AFE3" w14:textId="77777777" w:rsidTr="00664EC0">
        <w:trPr>
          <w:trHeight w:val="116"/>
          <w:jc w:val="center"/>
        </w:trPr>
        <w:tc>
          <w:tcPr>
            <w:tcW w:w="876" w:type="dxa"/>
          </w:tcPr>
          <w:p w14:paraId="0787ACB2"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7AF8E128"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8376" w:type="dxa"/>
            <w:hideMark/>
          </w:tcPr>
          <w:p w14:paraId="38E2BA16"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Caracteres en blanco para completar la longitud del registro a 130 posiciones.</w:t>
            </w:r>
          </w:p>
        </w:tc>
      </w:tr>
      <w:tr w:rsidR="008762D1" w:rsidRPr="008762D1" w14:paraId="51DBD2C2" w14:textId="77777777" w:rsidTr="00664EC0">
        <w:trPr>
          <w:trHeight w:val="233"/>
          <w:jc w:val="center"/>
        </w:trPr>
        <w:tc>
          <w:tcPr>
            <w:tcW w:w="876" w:type="dxa"/>
            <w:hideMark/>
          </w:tcPr>
          <w:p w14:paraId="7FC9DD1C" w14:textId="77777777" w:rsidR="00526FE9" w:rsidRPr="008762D1" w:rsidRDefault="00526FE9" w:rsidP="00A70BE9">
            <w:pPr>
              <w:pStyle w:val="Ttulo9"/>
              <w:spacing w:before="0" w:after="0"/>
              <w:outlineLvl w:val="8"/>
              <w:rPr>
                <w:rFonts w:ascii="ITC Avant Garde" w:hAnsi="ITC Avant Garde"/>
                <w:color w:val="000000" w:themeColor="text1"/>
                <w:sz w:val="18"/>
                <w:szCs w:val="18"/>
              </w:rPr>
            </w:pPr>
            <w:r w:rsidRPr="008762D1">
              <w:rPr>
                <w:rFonts w:ascii="ITC Avant Garde" w:hAnsi="ITC Avant Garde"/>
                <w:color w:val="000000" w:themeColor="text1"/>
                <w:sz w:val="18"/>
                <w:szCs w:val="18"/>
              </w:rPr>
              <w:t>Detalle</w:t>
            </w:r>
          </w:p>
        </w:tc>
        <w:tc>
          <w:tcPr>
            <w:tcW w:w="770" w:type="dxa"/>
            <w:hideMark/>
          </w:tcPr>
          <w:p w14:paraId="7E347BAC"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8376" w:type="dxa"/>
            <w:hideMark/>
          </w:tcPr>
          <w:p w14:paraId="3E79631B"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Identificador de inicio de registro detalle, el valor debe ser uno.</w:t>
            </w:r>
          </w:p>
        </w:tc>
      </w:tr>
      <w:tr w:rsidR="008762D1" w:rsidRPr="008762D1" w14:paraId="776E0F75" w14:textId="77777777" w:rsidTr="00664EC0">
        <w:trPr>
          <w:trHeight w:val="466"/>
          <w:jc w:val="center"/>
        </w:trPr>
        <w:tc>
          <w:tcPr>
            <w:tcW w:w="876" w:type="dxa"/>
          </w:tcPr>
          <w:p w14:paraId="79312F0B"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6EE6BFA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8376" w:type="dxa"/>
            <w:hideMark/>
          </w:tcPr>
          <w:p w14:paraId="2552E027"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Área de Servicio Local oficialmente definida, sin importar si ya fue conformada. Aplica solo para interconexión Local, Celular y QLLP. (En caso de aplicarse)</w:t>
            </w:r>
          </w:p>
        </w:tc>
      </w:tr>
      <w:tr w:rsidR="008762D1" w:rsidRPr="008762D1" w14:paraId="7A5335C8" w14:textId="77777777" w:rsidTr="00664EC0">
        <w:trPr>
          <w:trHeight w:val="233"/>
          <w:jc w:val="center"/>
        </w:trPr>
        <w:tc>
          <w:tcPr>
            <w:tcW w:w="876" w:type="dxa"/>
          </w:tcPr>
          <w:p w14:paraId="5453ECCB"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32B01A2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8376" w:type="dxa"/>
            <w:hideMark/>
          </w:tcPr>
          <w:p w14:paraId="28E87EBF"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Día en que se inició la llamada.</w:t>
            </w:r>
          </w:p>
        </w:tc>
      </w:tr>
      <w:tr w:rsidR="008762D1" w:rsidRPr="008762D1" w14:paraId="2DD1428F" w14:textId="77777777" w:rsidTr="00664EC0">
        <w:trPr>
          <w:trHeight w:val="466"/>
          <w:jc w:val="center"/>
        </w:trPr>
        <w:tc>
          <w:tcPr>
            <w:tcW w:w="876" w:type="dxa"/>
          </w:tcPr>
          <w:p w14:paraId="65433609"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5E7CE530"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4</w:t>
            </w:r>
          </w:p>
        </w:tc>
        <w:tc>
          <w:tcPr>
            <w:tcW w:w="8376" w:type="dxa"/>
            <w:hideMark/>
          </w:tcPr>
          <w:p w14:paraId="78714E2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Indica el tipo de tráfico: 01Terminación para los consumos locales que facture el OPERADOR a TELMEX.  03 Tránsito (Local, celular y de LD). 05 Originado (LD).  06 Terminado (LD).</w:t>
            </w:r>
          </w:p>
        </w:tc>
      </w:tr>
      <w:tr w:rsidR="008762D1" w:rsidRPr="008762D1" w14:paraId="207BAD94" w14:textId="77777777" w:rsidTr="00664EC0">
        <w:trPr>
          <w:trHeight w:val="424"/>
          <w:jc w:val="center"/>
        </w:trPr>
        <w:tc>
          <w:tcPr>
            <w:tcW w:w="876" w:type="dxa"/>
          </w:tcPr>
          <w:p w14:paraId="4FF32790"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3E41A15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8376" w:type="dxa"/>
            <w:hideMark/>
          </w:tcPr>
          <w:p w14:paraId="76D690B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Se utiliza la serie destino para interconexión de terminación y tránsito. </w:t>
            </w:r>
          </w:p>
        </w:tc>
      </w:tr>
      <w:tr w:rsidR="008762D1" w:rsidRPr="008762D1" w14:paraId="205C1E4C" w14:textId="77777777" w:rsidTr="00664EC0">
        <w:trPr>
          <w:trHeight w:val="233"/>
          <w:jc w:val="center"/>
        </w:trPr>
        <w:tc>
          <w:tcPr>
            <w:tcW w:w="876" w:type="dxa"/>
          </w:tcPr>
          <w:p w14:paraId="43BED79D"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0B627B81"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6</w:t>
            </w:r>
          </w:p>
        </w:tc>
        <w:tc>
          <w:tcPr>
            <w:tcW w:w="8376" w:type="dxa"/>
            <w:hideMark/>
          </w:tcPr>
          <w:p w14:paraId="5C28B2B1"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Número de llamadas de un mismo tipo realizadas en un día.</w:t>
            </w:r>
          </w:p>
        </w:tc>
      </w:tr>
      <w:tr w:rsidR="008762D1" w:rsidRPr="008762D1" w14:paraId="410F6059" w14:textId="77777777" w:rsidTr="00664EC0">
        <w:trPr>
          <w:trHeight w:val="128"/>
          <w:jc w:val="center"/>
        </w:trPr>
        <w:tc>
          <w:tcPr>
            <w:tcW w:w="876" w:type="dxa"/>
          </w:tcPr>
          <w:p w14:paraId="090315F7"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566E5BB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7</w:t>
            </w:r>
          </w:p>
        </w:tc>
        <w:tc>
          <w:tcPr>
            <w:tcW w:w="8376" w:type="dxa"/>
            <w:hideMark/>
          </w:tcPr>
          <w:p w14:paraId="62C1D4D8"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Número de minutos de las llamadas de un mismo tipo realizadas en un día. </w:t>
            </w:r>
          </w:p>
        </w:tc>
      </w:tr>
      <w:tr w:rsidR="008762D1" w:rsidRPr="008762D1" w14:paraId="6C9CFCAE" w14:textId="77777777" w:rsidTr="00664EC0">
        <w:trPr>
          <w:trHeight w:val="233"/>
          <w:jc w:val="center"/>
        </w:trPr>
        <w:tc>
          <w:tcPr>
            <w:tcW w:w="876" w:type="dxa"/>
          </w:tcPr>
          <w:p w14:paraId="05F0162B"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668F2F4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8</w:t>
            </w:r>
          </w:p>
        </w:tc>
        <w:tc>
          <w:tcPr>
            <w:tcW w:w="8376" w:type="dxa"/>
            <w:hideMark/>
          </w:tcPr>
          <w:p w14:paraId="1E16D2A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 Tarifa por minuto por tipo de llamada justificado a la derecha.</w:t>
            </w:r>
          </w:p>
        </w:tc>
      </w:tr>
      <w:tr w:rsidR="008762D1" w:rsidRPr="008762D1" w14:paraId="70CB88E7" w14:textId="77777777" w:rsidTr="00664EC0">
        <w:trPr>
          <w:trHeight w:val="537"/>
          <w:jc w:val="center"/>
        </w:trPr>
        <w:tc>
          <w:tcPr>
            <w:tcW w:w="876" w:type="dxa"/>
          </w:tcPr>
          <w:p w14:paraId="5D968423"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7258265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9</w:t>
            </w:r>
          </w:p>
        </w:tc>
        <w:tc>
          <w:tcPr>
            <w:tcW w:w="8376" w:type="dxa"/>
            <w:hideMark/>
          </w:tcPr>
          <w:p w14:paraId="3AC348C5"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Serie origen justificado a la derecha, es la suma hasta el millar del número de A para la interconexión de origen. </w:t>
            </w:r>
          </w:p>
        </w:tc>
      </w:tr>
      <w:tr w:rsidR="008762D1" w:rsidRPr="008762D1" w14:paraId="5C1659C4" w14:textId="77777777" w:rsidTr="00664EC0">
        <w:trPr>
          <w:trHeight w:val="220"/>
          <w:jc w:val="center"/>
        </w:trPr>
        <w:tc>
          <w:tcPr>
            <w:tcW w:w="876" w:type="dxa"/>
          </w:tcPr>
          <w:p w14:paraId="4B4FEFDE"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54B1EB7E"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10</w:t>
            </w:r>
          </w:p>
        </w:tc>
        <w:tc>
          <w:tcPr>
            <w:tcW w:w="8376" w:type="dxa"/>
            <w:hideMark/>
          </w:tcPr>
          <w:p w14:paraId="48A4246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Identificador de la procedencia de la llamada 0</w:t>
            </w:r>
            <w:proofErr w:type="gramStart"/>
            <w:r w:rsidRPr="008762D1">
              <w:rPr>
                <w:rFonts w:ascii="ITC Avant Garde" w:hAnsi="ITC Avant Garde"/>
                <w:color w:val="000000" w:themeColor="text1"/>
                <w:sz w:val="18"/>
                <w:szCs w:val="18"/>
              </w:rPr>
              <w:t>:Nacional</w:t>
            </w:r>
            <w:proofErr w:type="gramEnd"/>
            <w:r w:rsidRPr="008762D1">
              <w:rPr>
                <w:rFonts w:ascii="ITC Avant Garde" w:hAnsi="ITC Avant Garde"/>
                <w:color w:val="000000" w:themeColor="text1"/>
                <w:sz w:val="18"/>
                <w:szCs w:val="18"/>
              </w:rPr>
              <w:t xml:space="preserve">, 1:Internacional, 2:Mundial. </w:t>
            </w:r>
          </w:p>
        </w:tc>
      </w:tr>
      <w:tr w:rsidR="008762D1" w:rsidRPr="008762D1" w14:paraId="20DE2140" w14:textId="77777777" w:rsidTr="00664EC0">
        <w:trPr>
          <w:trHeight w:val="233"/>
          <w:jc w:val="center"/>
        </w:trPr>
        <w:tc>
          <w:tcPr>
            <w:tcW w:w="876" w:type="dxa"/>
          </w:tcPr>
          <w:p w14:paraId="607E8AD2"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71A0733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11</w:t>
            </w:r>
          </w:p>
        </w:tc>
        <w:tc>
          <w:tcPr>
            <w:tcW w:w="8376" w:type="dxa"/>
            <w:hideMark/>
          </w:tcPr>
          <w:p w14:paraId="33716937"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Tipo de llamada 1</w:t>
            </w:r>
            <w:proofErr w:type="gramStart"/>
            <w:r w:rsidRPr="008762D1">
              <w:rPr>
                <w:rFonts w:ascii="ITC Avant Garde" w:hAnsi="ITC Avant Garde"/>
                <w:color w:val="000000" w:themeColor="text1"/>
                <w:sz w:val="18"/>
                <w:szCs w:val="18"/>
              </w:rPr>
              <w:t>:Automática</w:t>
            </w:r>
            <w:proofErr w:type="gramEnd"/>
            <w:r w:rsidRPr="008762D1">
              <w:rPr>
                <w:rFonts w:ascii="ITC Avant Garde" w:hAnsi="ITC Avant Garde"/>
                <w:color w:val="000000" w:themeColor="text1"/>
                <w:sz w:val="18"/>
                <w:szCs w:val="18"/>
              </w:rPr>
              <w:t>, 8:No. 800.</w:t>
            </w:r>
          </w:p>
        </w:tc>
      </w:tr>
      <w:tr w:rsidR="008762D1" w:rsidRPr="008762D1" w14:paraId="0C46DC5B" w14:textId="77777777" w:rsidTr="00664EC0">
        <w:trPr>
          <w:trHeight w:val="275"/>
          <w:jc w:val="center"/>
        </w:trPr>
        <w:tc>
          <w:tcPr>
            <w:tcW w:w="876" w:type="dxa"/>
          </w:tcPr>
          <w:p w14:paraId="04AE458F"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2CAF1FFE"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12</w:t>
            </w:r>
          </w:p>
        </w:tc>
        <w:tc>
          <w:tcPr>
            <w:tcW w:w="8376" w:type="dxa"/>
            <w:hideMark/>
          </w:tcPr>
          <w:p w14:paraId="556B3115" w14:textId="77777777" w:rsidR="00526FE9" w:rsidRPr="008762D1" w:rsidRDefault="00526FE9" w:rsidP="00A70BE9">
            <w:pPr>
              <w:rPr>
                <w:rFonts w:ascii="ITC Avant Garde" w:hAnsi="ITC Avant Garde"/>
                <w:color w:val="000000" w:themeColor="text1"/>
                <w:sz w:val="18"/>
                <w:szCs w:val="18"/>
              </w:rPr>
            </w:pPr>
            <w:proofErr w:type="spellStart"/>
            <w:r w:rsidRPr="008762D1">
              <w:rPr>
                <w:rFonts w:ascii="ITC Avant Garde" w:hAnsi="ITC Avant Garde"/>
                <w:color w:val="000000" w:themeColor="text1"/>
                <w:sz w:val="18"/>
                <w:szCs w:val="18"/>
              </w:rPr>
              <w:t>Filler</w:t>
            </w:r>
            <w:proofErr w:type="spellEnd"/>
            <w:r w:rsidRPr="008762D1">
              <w:rPr>
                <w:rFonts w:ascii="ITC Avant Garde" w:hAnsi="ITC Avant Garde"/>
                <w:color w:val="000000" w:themeColor="text1"/>
                <w:sz w:val="18"/>
                <w:szCs w:val="18"/>
              </w:rPr>
              <w:t>, caracteres en cero.</w:t>
            </w:r>
          </w:p>
        </w:tc>
      </w:tr>
      <w:tr w:rsidR="008762D1" w:rsidRPr="008762D1" w14:paraId="2A97DEE5" w14:textId="77777777" w:rsidTr="00664EC0">
        <w:trPr>
          <w:trHeight w:val="211"/>
          <w:jc w:val="center"/>
        </w:trPr>
        <w:tc>
          <w:tcPr>
            <w:tcW w:w="876" w:type="dxa"/>
          </w:tcPr>
          <w:p w14:paraId="15804DDA"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76375FE9"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13</w:t>
            </w:r>
          </w:p>
        </w:tc>
        <w:tc>
          <w:tcPr>
            <w:tcW w:w="8376" w:type="dxa"/>
            <w:hideMark/>
          </w:tcPr>
          <w:p w14:paraId="456764E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Cuenta de facturación.</w:t>
            </w:r>
          </w:p>
        </w:tc>
      </w:tr>
      <w:tr w:rsidR="008762D1" w:rsidRPr="008762D1" w14:paraId="2DBCE909" w14:textId="77777777" w:rsidTr="00664EC0">
        <w:trPr>
          <w:trHeight w:val="245"/>
          <w:jc w:val="center"/>
        </w:trPr>
        <w:tc>
          <w:tcPr>
            <w:tcW w:w="876" w:type="dxa"/>
          </w:tcPr>
          <w:p w14:paraId="1F4EC844"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2C65A0B6"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14</w:t>
            </w:r>
          </w:p>
        </w:tc>
        <w:tc>
          <w:tcPr>
            <w:tcW w:w="8376" w:type="dxa"/>
            <w:hideMark/>
          </w:tcPr>
          <w:p w14:paraId="51D32EF2"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Número de llamadas no reconocidas de un mismo tipo realizadas en un día.</w:t>
            </w:r>
          </w:p>
        </w:tc>
      </w:tr>
      <w:tr w:rsidR="008762D1" w:rsidRPr="008762D1" w14:paraId="3BBEC30F" w14:textId="77777777" w:rsidTr="00664EC0">
        <w:trPr>
          <w:trHeight w:val="245"/>
          <w:jc w:val="center"/>
        </w:trPr>
        <w:tc>
          <w:tcPr>
            <w:tcW w:w="876" w:type="dxa"/>
          </w:tcPr>
          <w:p w14:paraId="4344C00F"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3F88C55C"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15</w:t>
            </w:r>
          </w:p>
        </w:tc>
        <w:tc>
          <w:tcPr>
            <w:tcW w:w="8376" w:type="dxa"/>
            <w:hideMark/>
          </w:tcPr>
          <w:p w14:paraId="7D081FF4"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Número de minutos de las llamadas no reconocidas de un mismo tipo realizadas en un día.</w:t>
            </w:r>
          </w:p>
        </w:tc>
      </w:tr>
      <w:tr w:rsidR="008762D1" w:rsidRPr="008762D1" w14:paraId="0BEB0798" w14:textId="77777777" w:rsidTr="00664EC0">
        <w:trPr>
          <w:trHeight w:val="245"/>
          <w:jc w:val="center"/>
        </w:trPr>
        <w:tc>
          <w:tcPr>
            <w:tcW w:w="876" w:type="dxa"/>
          </w:tcPr>
          <w:p w14:paraId="204DF430"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699D91D4"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16</w:t>
            </w:r>
          </w:p>
        </w:tc>
        <w:tc>
          <w:tcPr>
            <w:tcW w:w="8376" w:type="dxa"/>
            <w:hideMark/>
          </w:tcPr>
          <w:p w14:paraId="5CF05B4A"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Tarifa por minuto por tipo de llamada justificado a la derecha</w:t>
            </w:r>
          </w:p>
        </w:tc>
      </w:tr>
      <w:tr w:rsidR="00526FE9" w:rsidRPr="008762D1" w14:paraId="4BAAD97A" w14:textId="77777777" w:rsidTr="00664EC0">
        <w:trPr>
          <w:trHeight w:val="245"/>
          <w:jc w:val="center"/>
        </w:trPr>
        <w:tc>
          <w:tcPr>
            <w:tcW w:w="876" w:type="dxa"/>
          </w:tcPr>
          <w:p w14:paraId="528F004D" w14:textId="77777777" w:rsidR="00526FE9" w:rsidRPr="008762D1" w:rsidRDefault="00526FE9" w:rsidP="00A70BE9">
            <w:pPr>
              <w:jc w:val="center"/>
              <w:rPr>
                <w:rFonts w:ascii="ITC Avant Garde" w:hAnsi="ITC Avant Garde"/>
                <w:color w:val="000000" w:themeColor="text1"/>
                <w:sz w:val="18"/>
                <w:szCs w:val="18"/>
              </w:rPr>
            </w:pPr>
          </w:p>
        </w:tc>
        <w:tc>
          <w:tcPr>
            <w:tcW w:w="770" w:type="dxa"/>
            <w:hideMark/>
          </w:tcPr>
          <w:p w14:paraId="530B58A6"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17</w:t>
            </w:r>
          </w:p>
        </w:tc>
        <w:tc>
          <w:tcPr>
            <w:tcW w:w="8376" w:type="dxa"/>
            <w:hideMark/>
          </w:tcPr>
          <w:p w14:paraId="7554A780"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Caracteres en blanco para completar la longitud del registro a 130 posiciones</w:t>
            </w:r>
          </w:p>
        </w:tc>
      </w:tr>
    </w:tbl>
    <w:p w14:paraId="15B99B40" w14:textId="77777777" w:rsidR="00A70BE9" w:rsidRPr="008762D1" w:rsidRDefault="00A70BE9">
      <w:pPr>
        <w:rPr>
          <w:rFonts w:ascii="ITC Avant Garde" w:hAnsi="ITC Avant Garde"/>
          <w:color w:val="000000" w:themeColor="text1"/>
          <w:sz w:val="24"/>
          <w:szCs w:val="24"/>
          <w:lang w:val="es-ES" w:eastAsia="es-ES"/>
        </w:rPr>
      </w:pPr>
      <w:r w:rsidRPr="008762D1">
        <w:rPr>
          <w:rFonts w:ascii="ITC Avant Garde" w:hAnsi="ITC Avant Garde"/>
          <w:color w:val="000000" w:themeColor="text1"/>
          <w:sz w:val="24"/>
          <w:szCs w:val="24"/>
          <w:lang w:val="es-ES" w:eastAsia="es-ES"/>
        </w:rPr>
        <w:br w:type="page"/>
      </w:r>
    </w:p>
    <w:tbl>
      <w:tblPr>
        <w:tblStyle w:val="Cuadrculadetablaclara"/>
        <w:tblW w:w="0" w:type="auto"/>
        <w:jc w:val="center"/>
        <w:tblLayout w:type="fixed"/>
        <w:tblLook w:val="04A0" w:firstRow="1" w:lastRow="0" w:firstColumn="1" w:lastColumn="0" w:noHBand="0" w:noVBand="1"/>
        <w:tblCaption w:val="Tabla"/>
        <w:tblDescription w:val="Trailer"/>
      </w:tblPr>
      <w:tblGrid>
        <w:gridCol w:w="876"/>
        <w:gridCol w:w="770"/>
        <w:gridCol w:w="8376"/>
      </w:tblGrid>
      <w:tr w:rsidR="008762D1" w:rsidRPr="008762D1" w14:paraId="0042EAC5" w14:textId="77777777" w:rsidTr="00664EC0">
        <w:trPr>
          <w:trHeight w:val="233"/>
          <w:tblHeader/>
          <w:jc w:val="center"/>
        </w:trPr>
        <w:tc>
          <w:tcPr>
            <w:tcW w:w="876" w:type="dxa"/>
            <w:hideMark/>
          </w:tcPr>
          <w:p w14:paraId="200F2BA9" w14:textId="77777777" w:rsidR="00526FE9" w:rsidRPr="008762D1" w:rsidRDefault="00526FE9" w:rsidP="00A70BE9">
            <w:pPr>
              <w:jc w:val="center"/>
              <w:rPr>
                <w:rFonts w:ascii="ITC Avant Garde" w:hAnsi="ITC Avant Garde"/>
                <w:b/>
                <w:color w:val="000000" w:themeColor="text1"/>
                <w:sz w:val="18"/>
                <w:szCs w:val="18"/>
              </w:rPr>
            </w:pPr>
            <w:proofErr w:type="spellStart"/>
            <w:r w:rsidRPr="008762D1">
              <w:rPr>
                <w:rFonts w:ascii="ITC Avant Garde" w:hAnsi="ITC Avant Garde"/>
                <w:b/>
                <w:color w:val="000000" w:themeColor="text1"/>
                <w:sz w:val="18"/>
                <w:szCs w:val="18"/>
              </w:rPr>
              <w:lastRenderedPageBreak/>
              <w:t>Trailer</w:t>
            </w:r>
            <w:proofErr w:type="spellEnd"/>
          </w:p>
        </w:tc>
        <w:tc>
          <w:tcPr>
            <w:tcW w:w="770" w:type="dxa"/>
            <w:hideMark/>
          </w:tcPr>
          <w:p w14:paraId="010AB04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1</w:t>
            </w:r>
          </w:p>
        </w:tc>
        <w:tc>
          <w:tcPr>
            <w:tcW w:w="8376" w:type="dxa"/>
            <w:hideMark/>
          </w:tcPr>
          <w:p w14:paraId="1219BBB6"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Identificador de inicio de </w:t>
            </w:r>
            <w:proofErr w:type="spellStart"/>
            <w:r w:rsidRPr="008762D1">
              <w:rPr>
                <w:rFonts w:ascii="ITC Avant Garde" w:hAnsi="ITC Avant Garde"/>
                <w:color w:val="000000" w:themeColor="text1"/>
                <w:sz w:val="18"/>
                <w:szCs w:val="18"/>
              </w:rPr>
              <w:t>trailer</w:t>
            </w:r>
            <w:proofErr w:type="spellEnd"/>
            <w:r w:rsidRPr="008762D1">
              <w:rPr>
                <w:rFonts w:ascii="ITC Avant Garde" w:hAnsi="ITC Avant Garde"/>
                <w:color w:val="000000" w:themeColor="text1"/>
                <w:sz w:val="18"/>
                <w:szCs w:val="18"/>
              </w:rPr>
              <w:t>. El valor debe ser 9.</w:t>
            </w:r>
          </w:p>
        </w:tc>
      </w:tr>
      <w:tr w:rsidR="008762D1" w:rsidRPr="008762D1" w14:paraId="5E2BBEE6" w14:textId="77777777" w:rsidTr="00664EC0">
        <w:trPr>
          <w:trHeight w:val="233"/>
          <w:tblHeader/>
          <w:jc w:val="center"/>
        </w:trPr>
        <w:tc>
          <w:tcPr>
            <w:tcW w:w="876" w:type="dxa"/>
          </w:tcPr>
          <w:p w14:paraId="223548A5"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71309F32"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2</w:t>
            </w:r>
          </w:p>
        </w:tc>
        <w:tc>
          <w:tcPr>
            <w:tcW w:w="8376" w:type="dxa"/>
            <w:hideMark/>
          </w:tcPr>
          <w:p w14:paraId="7158290D"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Clave del operador que factura, CIC (Código de Identificación de </w:t>
            </w:r>
            <w:proofErr w:type="spellStart"/>
            <w:r w:rsidRPr="008762D1">
              <w:rPr>
                <w:rFonts w:ascii="ITC Avant Garde" w:hAnsi="ITC Avant Garde"/>
                <w:color w:val="000000" w:themeColor="text1"/>
                <w:sz w:val="18"/>
                <w:szCs w:val="18"/>
              </w:rPr>
              <w:t>Carrier</w:t>
            </w:r>
            <w:proofErr w:type="spellEnd"/>
            <w:r w:rsidRPr="008762D1">
              <w:rPr>
                <w:rFonts w:ascii="ITC Avant Garde" w:hAnsi="ITC Avant Garde"/>
                <w:color w:val="000000" w:themeColor="text1"/>
                <w:sz w:val="18"/>
                <w:szCs w:val="18"/>
              </w:rPr>
              <w:t>).</w:t>
            </w:r>
          </w:p>
        </w:tc>
      </w:tr>
      <w:tr w:rsidR="008762D1" w:rsidRPr="008762D1" w14:paraId="2F934538" w14:textId="77777777" w:rsidTr="00664EC0">
        <w:trPr>
          <w:trHeight w:val="233"/>
          <w:tblHeader/>
          <w:jc w:val="center"/>
        </w:trPr>
        <w:tc>
          <w:tcPr>
            <w:tcW w:w="876" w:type="dxa"/>
          </w:tcPr>
          <w:p w14:paraId="4F475C0A"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7FA2C757"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3</w:t>
            </w:r>
          </w:p>
        </w:tc>
        <w:tc>
          <w:tcPr>
            <w:tcW w:w="8376" w:type="dxa"/>
            <w:hideMark/>
          </w:tcPr>
          <w:p w14:paraId="22C66166"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Clave del operador a quien se le factura, CIC (Código de Identificación de </w:t>
            </w:r>
            <w:proofErr w:type="spellStart"/>
            <w:r w:rsidRPr="008762D1">
              <w:rPr>
                <w:rFonts w:ascii="ITC Avant Garde" w:hAnsi="ITC Avant Garde"/>
                <w:color w:val="000000" w:themeColor="text1"/>
                <w:sz w:val="18"/>
                <w:szCs w:val="18"/>
              </w:rPr>
              <w:t>Carrier</w:t>
            </w:r>
            <w:proofErr w:type="spellEnd"/>
            <w:r w:rsidRPr="008762D1">
              <w:rPr>
                <w:rFonts w:ascii="ITC Avant Garde" w:hAnsi="ITC Avant Garde"/>
                <w:color w:val="000000" w:themeColor="text1"/>
                <w:sz w:val="18"/>
                <w:szCs w:val="18"/>
              </w:rPr>
              <w:t>).</w:t>
            </w:r>
          </w:p>
        </w:tc>
      </w:tr>
      <w:tr w:rsidR="008762D1" w:rsidRPr="008762D1" w14:paraId="72AF3C4A" w14:textId="77777777" w:rsidTr="00664EC0">
        <w:trPr>
          <w:trHeight w:val="233"/>
          <w:tblHeader/>
          <w:jc w:val="center"/>
        </w:trPr>
        <w:tc>
          <w:tcPr>
            <w:tcW w:w="876" w:type="dxa"/>
          </w:tcPr>
          <w:p w14:paraId="3FD353E7"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2946A79A"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4</w:t>
            </w:r>
          </w:p>
        </w:tc>
        <w:tc>
          <w:tcPr>
            <w:tcW w:w="8376" w:type="dxa"/>
            <w:hideMark/>
          </w:tcPr>
          <w:p w14:paraId="16987AE4"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 xml:space="preserve">Número total de registros que contiene el archivo justificado a la derecha (No incluye </w:t>
            </w:r>
            <w:proofErr w:type="spellStart"/>
            <w:r w:rsidRPr="008762D1">
              <w:rPr>
                <w:rFonts w:ascii="ITC Avant Garde" w:hAnsi="ITC Avant Garde"/>
                <w:color w:val="000000" w:themeColor="text1"/>
                <w:sz w:val="18"/>
                <w:szCs w:val="18"/>
              </w:rPr>
              <w:t>Header</w:t>
            </w:r>
            <w:proofErr w:type="spellEnd"/>
            <w:r w:rsidRPr="008762D1">
              <w:rPr>
                <w:rFonts w:ascii="ITC Avant Garde" w:hAnsi="ITC Avant Garde"/>
                <w:color w:val="000000" w:themeColor="text1"/>
                <w:sz w:val="18"/>
                <w:szCs w:val="18"/>
              </w:rPr>
              <w:t xml:space="preserve"> ni </w:t>
            </w:r>
            <w:proofErr w:type="spellStart"/>
            <w:r w:rsidRPr="008762D1">
              <w:rPr>
                <w:rFonts w:ascii="ITC Avant Garde" w:hAnsi="ITC Avant Garde"/>
                <w:color w:val="000000" w:themeColor="text1"/>
                <w:sz w:val="18"/>
                <w:szCs w:val="18"/>
              </w:rPr>
              <w:t>Trailer</w:t>
            </w:r>
            <w:proofErr w:type="spellEnd"/>
            <w:r w:rsidRPr="008762D1">
              <w:rPr>
                <w:rFonts w:ascii="ITC Avant Garde" w:hAnsi="ITC Avant Garde"/>
                <w:color w:val="000000" w:themeColor="text1"/>
                <w:sz w:val="18"/>
                <w:szCs w:val="18"/>
              </w:rPr>
              <w:t>).</w:t>
            </w:r>
          </w:p>
        </w:tc>
      </w:tr>
      <w:tr w:rsidR="008762D1" w:rsidRPr="008762D1" w14:paraId="3F9D8F33" w14:textId="77777777" w:rsidTr="00664EC0">
        <w:trPr>
          <w:trHeight w:val="233"/>
          <w:tblHeader/>
          <w:jc w:val="center"/>
        </w:trPr>
        <w:tc>
          <w:tcPr>
            <w:tcW w:w="876" w:type="dxa"/>
          </w:tcPr>
          <w:p w14:paraId="47A8DD51"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343F3EC6"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5</w:t>
            </w:r>
          </w:p>
        </w:tc>
        <w:tc>
          <w:tcPr>
            <w:tcW w:w="8376" w:type="dxa"/>
            <w:hideMark/>
          </w:tcPr>
          <w:p w14:paraId="7957FD4E"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Fecha de emisión de la factura de la cual se presenta el reclamo.</w:t>
            </w:r>
          </w:p>
        </w:tc>
      </w:tr>
      <w:tr w:rsidR="008762D1" w:rsidRPr="008762D1" w14:paraId="4F9D65B8" w14:textId="77777777" w:rsidTr="00664EC0">
        <w:trPr>
          <w:trHeight w:val="233"/>
          <w:tblHeader/>
          <w:jc w:val="center"/>
        </w:trPr>
        <w:tc>
          <w:tcPr>
            <w:tcW w:w="876" w:type="dxa"/>
          </w:tcPr>
          <w:p w14:paraId="1A8B66BB" w14:textId="77777777" w:rsidR="00526FE9" w:rsidRPr="008762D1" w:rsidRDefault="00526FE9" w:rsidP="00A70BE9">
            <w:pPr>
              <w:jc w:val="right"/>
              <w:rPr>
                <w:rFonts w:ascii="ITC Avant Garde" w:hAnsi="ITC Avant Garde"/>
                <w:color w:val="000000" w:themeColor="text1"/>
                <w:sz w:val="18"/>
                <w:szCs w:val="18"/>
              </w:rPr>
            </w:pPr>
          </w:p>
        </w:tc>
        <w:tc>
          <w:tcPr>
            <w:tcW w:w="770" w:type="dxa"/>
            <w:hideMark/>
          </w:tcPr>
          <w:p w14:paraId="70F0C72F" w14:textId="77777777" w:rsidR="00526FE9" w:rsidRPr="008762D1" w:rsidRDefault="00526FE9" w:rsidP="00A70BE9">
            <w:pPr>
              <w:jc w:val="center"/>
              <w:rPr>
                <w:rFonts w:ascii="ITC Avant Garde" w:hAnsi="ITC Avant Garde"/>
                <w:color w:val="000000" w:themeColor="text1"/>
                <w:sz w:val="18"/>
                <w:szCs w:val="18"/>
              </w:rPr>
            </w:pPr>
            <w:r w:rsidRPr="008762D1">
              <w:rPr>
                <w:rFonts w:ascii="ITC Avant Garde" w:hAnsi="ITC Avant Garde"/>
                <w:color w:val="000000" w:themeColor="text1"/>
                <w:sz w:val="18"/>
                <w:szCs w:val="18"/>
              </w:rPr>
              <w:t>6</w:t>
            </w:r>
          </w:p>
        </w:tc>
        <w:tc>
          <w:tcPr>
            <w:tcW w:w="8376" w:type="dxa"/>
            <w:hideMark/>
          </w:tcPr>
          <w:p w14:paraId="60163934" w14:textId="77777777" w:rsidR="00526FE9" w:rsidRPr="008762D1" w:rsidRDefault="00526FE9" w:rsidP="00A70BE9">
            <w:pPr>
              <w:rPr>
                <w:rFonts w:ascii="ITC Avant Garde" w:hAnsi="ITC Avant Garde"/>
                <w:color w:val="000000" w:themeColor="text1"/>
                <w:sz w:val="18"/>
                <w:szCs w:val="18"/>
              </w:rPr>
            </w:pPr>
            <w:r w:rsidRPr="008762D1">
              <w:rPr>
                <w:rFonts w:ascii="ITC Avant Garde" w:hAnsi="ITC Avant Garde"/>
                <w:color w:val="000000" w:themeColor="text1"/>
                <w:sz w:val="18"/>
                <w:szCs w:val="18"/>
              </w:rPr>
              <w:t>Caracteres en blanco para completar la longitud del registro a 130 posiciones</w:t>
            </w:r>
          </w:p>
        </w:tc>
      </w:tr>
    </w:tbl>
    <w:p w14:paraId="645417E9" w14:textId="77777777" w:rsidR="00526FE9" w:rsidRPr="008762D1" w:rsidRDefault="00526FE9" w:rsidP="000F0B9F">
      <w:pPr>
        <w:spacing w:before="240"/>
        <w:rPr>
          <w:rFonts w:ascii="ITC Avant Garde" w:hAnsi="ITC Avant Garde"/>
          <w:b/>
          <w:color w:val="000000" w:themeColor="text1"/>
          <w:sz w:val="24"/>
          <w:szCs w:val="24"/>
          <w:lang w:val="es-ES" w:eastAsia="es-ES"/>
        </w:rPr>
      </w:pPr>
      <w:r w:rsidRPr="008762D1">
        <w:rPr>
          <w:rFonts w:ascii="ITC Avant Garde" w:hAnsi="ITC Avant Garde"/>
          <w:b/>
          <w:color w:val="000000" w:themeColor="text1"/>
        </w:rPr>
        <w:t>Notas:</w:t>
      </w:r>
    </w:p>
    <w:p w14:paraId="09263E35" w14:textId="77777777" w:rsidR="00526FE9" w:rsidRPr="008762D1" w:rsidRDefault="00526FE9" w:rsidP="000F0B9F">
      <w:pPr>
        <w:spacing w:before="240"/>
        <w:rPr>
          <w:rFonts w:ascii="ITC Avant Garde" w:hAnsi="ITC Avant Garde"/>
          <w:b/>
          <w:color w:val="000000" w:themeColor="text1"/>
        </w:rPr>
      </w:pPr>
      <w:r w:rsidRPr="008762D1">
        <w:rPr>
          <w:rFonts w:ascii="ITC Avant Garde" w:hAnsi="ITC Avant Garde"/>
          <w:b/>
          <w:color w:val="000000" w:themeColor="text1"/>
        </w:rPr>
        <w:t>Para todos aquellos campos justificados se usara 0 (cero) como relleno.</w:t>
      </w:r>
    </w:p>
    <w:p w14:paraId="304B6868" w14:textId="482D31DD" w:rsidR="00526FE9" w:rsidRPr="008762D1" w:rsidRDefault="00526FE9" w:rsidP="000F0B9F">
      <w:pPr>
        <w:pStyle w:val="Textosinformato"/>
        <w:spacing w:before="240"/>
        <w:jc w:val="both"/>
        <w:rPr>
          <w:rFonts w:ascii="ITC Avant Garde" w:hAnsi="ITC Avant Garde" w:cs="Arial"/>
          <w:color w:val="000000" w:themeColor="text1"/>
          <w:sz w:val="24"/>
          <w:szCs w:val="24"/>
        </w:rPr>
      </w:pPr>
      <w:r w:rsidRPr="008762D1">
        <w:rPr>
          <w:rFonts w:ascii="ITC Avant Garde" w:hAnsi="ITC Avant Garde" w:cs="Arial"/>
          <w:color w:val="000000" w:themeColor="text1"/>
          <w:sz w:val="24"/>
          <w:szCs w:val="24"/>
        </w:rPr>
        <w:t xml:space="preserve">El presente Anexo “D” se firma por triplicado, por los representantes debidamente facultados de las partes, en la Ciudad de México, el </w:t>
      </w:r>
      <w:r w:rsidR="007B0A7C" w:rsidRPr="007B0A7C">
        <w:rPr>
          <w:rFonts w:ascii="ITC Avant Garde" w:hAnsi="ITC Avant Garde" w:cs="Arial"/>
          <w:b/>
          <w:color w:val="0000FF"/>
          <w:sz w:val="24"/>
          <w:szCs w:val="24"/>
        </w:rPr>
        <w:t>[…]</w:t>
      </w:r>
      <w:r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4"/>
          <w:szCs w:val="24"/>
        </w:rPr>
        <w:t xml:space="preserve">de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4"/>
          <w:szCs w:val="24"/>
        </w:rPr>
        <w:t xml:space="preserve"> de 20</w:t>
      </w:r>
      <w:r w:rsidR="007B0A7C" w:rsidRPr="007B0A7C">
        <w:rPr>
          <w:rFonts w:ascii="ITC Avant Garde" w:hAnsi="ITC Avant Garde" w:cs="Arial"/>
          <w:b/>
          <w:color w:val="0000FF"/>
          <w:sz w:val="24"/>
          <w:szCs w:val="24"/>
        </w:rPr>
        <w:t>[…]</w:t>
      </w:r>
      <w:r w:rsidR="007B0A7C">
        <w:rPr>
          <w:rFonts w:ascii="ITC Avant Garde" w:hAnsi="ITC Avant Garde" w:cs="Arial"/>
          <w:color w:val="000000" w:themeColor="text1"/>
          <w:sz w:val="24"/>
          <w:szCs w:val="24"/>
        </w:rPr>
        <w:t>.</w:t>
      </w:r>
    </w:p>
    <w:tbl>
      <w:tblPr>
        <w:tblStyle w:val="Cuadrculadetablaclara"/>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Tabla de firmas"/>
      </w:tblPr>
      <w:tblGrid>
        <w:gridCol w:w="4752"/>
        <w:gridCol w:w="4608"/>
      </w:tblGrid>
      <w:tr w:rsidR="008762D1" w:rsidRPr="008762D1" w14:paraId="74384A26" w14:textId="77777777" w:rsidTr="00664EC0">
        <w:trPr>
          <w:tblHeader/>
          <w:jc w:val="center"/>
        </w:trPr>
        <w:tc>
          <w:tcPr>
            <w:tcW w:w="4752" w:type="dxa"/>
          </w:tcPr>
          <w:p w14:paraId="5A37D438" w14:textId="77777777" w:rsidR="00526FE9" w:rsidRPr="008762D1" w:rsidRDefault="00526FE9" w:rsidP="000F0B9F">
            <w:pPr>
              <w:spacing w:before="240"/>
              <w:jc w:val="center"/>
              <w:rPr>
                <w:rFonts w:ascii="ITC Avant Garde" w:hAnsi="ITC Avant Garde" w:cs="Arial"/>
                <w:b/>
                <w:color w:val="000000" w:themeColor="text1"/>
                <w:sz w:val="24"/>
                <w:szCs w:val="24"/>
                <w:lang w:val="es-ES_tradnl"/>
              </w:rPr>
            </w:pPr>
            <w:r w:rsidRPr="008762D1">
              <w:rPr>
                <w:rFonts w:ascii="ITC Avant Garde" w:hAnsi="ITC Avant Garde" w:cs="Arial"/>
                <w:b/>
                <w:color w:val="000000" w:themeColor="text1"/>
                <w:lang w:val="es-ES_tradnl"/>
              </w:rPr>
              <w:t>TELÉFONOS DE MÉXICO</w:t>
            </w:r>
          </w:p>
          <w:p w14:paraId="68C36FD2" w14:textId="77777777" w:rsidR="000F0B9F"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 S.A.B DE C.V.</w:t>
            </w:r>
          </w:p>
          <w:p w14:paraId="49C6CF24" w14:textId="466D4380"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LIC. ALEJANDRO COCA SÁNCHEZ</w:t>
            </w:r>
          </w:p>
          <w:p w14:paraId="6B057536" w14:textId="77777777"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c>
          <w:tcPr>
            <w:tcW w:w="4608" w:type="dxa"/>
          </w:tcPr>
          <w:p w14:paraId="1A7F6A9B" w14:textId="45C2D4E0" w:rsidR="007B0A7C" w:rsidRDefault="007B0A7C" w:rsidP="000F0B9F">
            <w:pPr>
              <w:spacing w:before="240"/>
              <w:jc w:val="center"/>
              <w:rPr>
                <w:rFonts w:ascii="ITC Avant Garde" w:hAnsi="ITC Avant Garde" w:cs="Arial"/>
                <w:b/>
                <w:color w:val="0000FF"/>
                <w:sz w:val="24"/>
                <w:szCs w:val="24"/>
              </w:rPr>
            </w:pPr>
            <w:r w:rsidRPr="007B0A7C">
              <w:rPr>
                <w:rFonts w:ascii="ITC Avant Garde" w:hAnsi="ITC Avant Garde" w:cs="Arial"/>
                <w:b/>
                <w:color w:val="0000FF"/>
                <w:sz w:val="24"/>
                <w:szCs w:val="24"/>
              </w:rPr>
              <w:t>[…]</w:t>
            </w:r>
          </w:p>
          <w:p w14:paraId="6626A943" w14:textId="25298AE9"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r>
      <w:tr w:rsidR="00526FE9" w:rsidRPr="008762D1" w14:paraId="610C5349" w14:textId="77777777" w:rsidTr="00664EC0">
        <w:trPr>
          <w:tblHeader/>
          <w:jc w:val="center"/>
        </w:trPr>
        <w:tc>
          <w:tcPr>
            <w:tcW w:w="4752" w:type="dxa"/>
          </w:tcPr>
          <w:p w14:paraId="02C3FCE9" w14:textId="3F6A8950" w:rsidR="000F0B9F" w:rsidRPr="008762D1" w:rsidRDefault="00EE22CD"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Testigo</w:t>
            </w:r>
          </w:p>
          <w:p w14:paraId="27E5DBEE" w14:textId="1708AA39" w:rsidR="007B0A7C" w:rsidRDefault="007B0A7C" w:rsidP="000F0B9F">
            <w:pPr>
              <w:spacing w:before="240"/>
              <w:jc w:val="center"/>
              <w:rPr>
                <w:rFonts w:ascii="ITC Avant Garde" w:hAnsi="ITC Avant Garde" w:cs="Arial"/>
                <w:b/>
                <w:color w:val="0000FF"/>
                <w:sz w:val="24"/>
                <w:szCs w:val="24"/>
              </w:rPr>
            </w:pPr>
            <w:r w:rsidRPr="007B0A7C">
              <w:rPr>
                <w:rFonts w:ascii="ITC Avant Garde" w:hAnsi="ITC Avant Garde" w:cs="Arial"/>
                <w:b/>
                <w:color w:val="0000FF"/>
                <w:sz w:val="24"/>
                <w:szCs w:val="24"/>
              </w:rPr>
              <w:t>[…]</w:t>
            </w:r>
          </w:p>
          <w:p w14:paraId="05911E9A" w14:textId="3832FC5F"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Por: Teléfonos de México, S.A.B. de C.V.</w:t>
            </w:r>
          </w:p>
        </w:tc>
        <w:tc>
          <w:tcPr>
            <w:tcW w:w="4608" w:type="dxa"/>
          </w:tcPr>
          <w:p w14:paraId="33CA3AE8" w14:textId="752291A2" w:rsidR="000F0B9F" w:rsidRPr="008762D1" w:rsidRDefault="00EE22CD"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Testigo</w:t>
            </w:r>
          </w:p>
          <w:p w14:paraId="2A7D178D" w14:textId="6AA99CA5" w:rsidR="00526FE9" w:rsidRPr="008762D1" w:rsidRDefault="007B0A7C" w:rsidP="000F0B9F">
            <w:pPr>
              <w:spacing w:before="240"/>
              <w:jc w:val="center"/>
              <w:rPr>
                <w:rFonts w:ascii="ITC Avant Garde" w:hAnsi="ITC Avant Garde" w:cs="Arial"/>
                <w:b/>
                <w:color w:val="000000" w:themeColor="text1"/>
                <w:lang w:val="es-ES_tradnl"/>
              </w:rPr>
            </w:pPr>
            <w:r w:rsidRPr="007B0A7C">
              <w:rPr>
                <w:rFonts w:ascii="ITC Avant Garde" w:hAnsi="ITC Avant Garde" w:cs="Arial"/>
                <w:b/>
                <w:color w:val="0000FF"/>
                <w:sz w:val="24"/>
                <w:szCs w:val="24"/>
              </w:rPr>
              <w:t>[…]</w:t>
            </w:r>
          </w:p>
          <w:p w14:paraId="1BFD5757" w14:textId="6CB1CB80"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Por </w:t>
            </w:r>
            <w:r w:rsidR="007B0A7C" w:rsidRPr="007B0A7C">
              <w:rPr>
                <w:rFonts w:ascii="ITC Avant Garde" w:hAnsi="ITC Avant Garde" w:cs="Arial"/>
                <w:b/>
                <w:color w:val="0000FF"/>
                <w:sz w:val="24"/>
                <w:szCs w:val="24"/>
              </w:rPr>
              <w:t>[…]</w:t>
            </w:r>
          </w:p>
        </w:tc>
      </w:tr>
    </w:tbl>
    <w:p w14:paraId="30E3F794" w14:textId="77777777" w:rsidR="00526FE9" w:rsidRPr="008762D1" w:rsidRDefault="00526FE9" w:rsidP="000F0B9F">
      <w:pPr>
        <w:pStyle w:val="Textosinformato"/>
        <w:spacing w:before="240"/>
        <w:rPr>
          <w:rFonts w:ascii="ITC Avant Garde" w:hAnsi="ITC Avant Garde" w:cs="Times New Roman"/>
          <w:color w:val="000000" w:themeColor="text1"/>
          <w:sz w:val="22"/>
          <w:szCs w:val="22"/>
          <w:lang w:eastAsia="en-US"/>
        </w:rPr>
      </w:pPr>
    </w:p>
    <w:p w14:paraId="349DBD5C" w14:textId="77777777" w:rsidR="00526FE9" w:rsidRPr="008762D1" w:rsidRDefault="00526FE9" w:rsidP="000F0B9F">
      <w:pPr>
        <w:spacing w:before="240"/>
        <w:rPr>
          <w:rFonts w:ascii="ITC Avant Garde" w:hAnsi="ITC Avant Garde"/>
          <w:color w:val="000000" w:themeColor="text1"/>
        </w:rPr>
        <w:sectPr w:rsidR="00526FE9" w:rsidRPr="008762D1">
          <w:pgSz w:w="15840" w:h="12240" w:orient="landscape"/>
          <w:pgMar w:top="1134" w:right="1440" w:bottom="624" w:left="1440" w:header="720" w:footer="720" w:gutter="0"/>
          <w:pgNumType w:start="1"/>
          <w:cols w:space="720"/>
        </w:sectPr>
      </w:pPr>
    </w:p>
    <w:p w14:paraId="19E1AE42" w14:textId="0DD326CF" w:rsidR="000F0B9F" w:rsidRPr="008762D1" w:rsidRDefault="00526FE9" w:rsidP="00DA0894">
      <w:pPr>
        <w:pStyle w:val="Ttulo2"/>
        <w:spacing w:before="240" w:after="0"/>
        <w:jc w:val="center"/>
        <w:rPr>
          <w:color w:val="000000" w:themeColor="text1"/>
        </w:rPr>
      </w:pPr>
      <w:r w:rsidRPr="008762D1">
        <w:rPr>
          <w:color w:val="000000" w:themeColor="text1"/>
        </w:rPr>
        <w:lastRenderedPageBreak/>
        <w:t>ANEXO E</w:t>
      </w:r>
    </w:p>
    <w:p w14:paraId="111C4D85" w14:textId="77777777" w:rsidR="000F0B9F" w:rsidRPr="008762D1" w:rsidRDefault="00526FE9" w:rsidP="000F0B9F">
      <w:pPr>
        <w:pStyle w:val="Textosinformato"/>
        <w:spacing w:before="240"/>
        <w:jc w:val="center"/>
        <w:rPr>
          <w:rFonts w:ascii="ITC Avant Garde" w:hAnsi="ITC Avant Garde" w:cs="Arial"/>
          <w:b/>
          <w:color w:val="000000" w:themeColor="text1"/>
          <w:sz w:val="24"/>
          <w:szCs w:val="24"/>
        </w:rPr>
      </w:pPr>
      <w:r w:rsidRPr="008762D1">
        <w:rPr>
          <w:rFonts w:ascii="ITC Avant Garde" w:hAnsi="ITC Avant Garde" w:cs="Arial"/>
          <w:b/>
          <w:color w:val="000000" w:themeColor="text1"/>
          <w:sz w:val="24"/>
          <w:szCs w:val="24"/>
        </w:rPr>
        <w:t>CALIDAD</w:t>
      </w:r>
    </w:p>
    <w:p w14:paraId="14F1C6F1" w14:textId="45A7DBB1" w:rsidR="000F0B9F" w:rsidRPr="008762D1" w:rsidRDefault="00526FE9" w:rsidP="000F0B9F">
      <w:pPr>
        <w:pStyle w:val="Textosinformato"/>
        <w:spacing w:before="240"/>
        <w:jc w:val="both"/>
        <w:rPr>
          <w:rFonts w:ascii="ITC Avant Garde" w:hAnsi="ITC Avant Garde" w:cs="Arial"/>
          <w:b/>
          <w:color w:val="000000" w:themeColor="text1"/>
          <w:sz w:val="24"/>
          <w:szCs w:val="24"/>
        </w:rPr>
      </w:pPr>
      <w:r w:rsidRPr="008762D1">
        <w:rPr>
          <w:rFonts w:ascii="ITC Avant Garde" w:hAnsi="ITC Avant Garde" w:cs="Arial"/>
          <w:b/>
          <w:color w:val="000000" w:themeColor="text1"/>
          <w:sz w:val="24"/>
          <w:szCs w:val="24"/>
        </w:rPr>
        <w:t xml:space="preserve">EL PRESENTE DOCUMENTO CONSTITUYE UN ANEXO INTEGRANTE DEL CONVENIO MARCO DE INTERCONEXIÓN ENTRE LAS REDES DE TELMEX CON LA RED PÚBLICA DE TELECOMUNICACIONES DE </w:t>
      </w:r>
      <w:r w:rsidR="007B0A7C" w:rsidRPr="007B0A7C">
        <w:rPr>
          <w:rFonts w:ascii="ITC Avant Garde" w:hAnsi="ITC Avant Garde" w:cs="Arial"/>
          <w:b/>
          <w:color w:val="0000FF"/>
          <w:sz w:val="24"/>
          <w:szCs w:val="24"/>
        </w:rPr>
        <w:t>[…]</w:t>
      </w:r>
      <w:r w:rsidR="007B0A7C" w:rsidRPr="007B0A7C">
        <w:rPr>
          <w:rFonts w:ascii="ITC Avant Garde" w:hAnsi="ITC Avant Garde" w:cs="Arial"/>
          <w:b/>
          <w:color w:val="000000" w:themeColor="text1"/>
          <w:sz w:val="24"/>
          <w:szCs w:val="24"/>
        </w:rPr>
        <w:t>.</w:t>
      </w:r>
    </w:p>
    <w:p w14:paraId="66DD952F" w14:textId="77777777" w:rsidR="000F0B9F" w:rsidRPr="008762D1" w:rsidRDefault="00526FE9" w:rsidP="000F0B9F">
      <w:pPr>
        <w:pStyle w:val="Textosinformato"/>
        <w:spacing w:before="240"/>
        <w:jc w:val="both"/>
        <w:rPr>
          <w:rFonts w:ascii="ITC Avant Garde" w:hAnsi="ITC Avant Garde" w:cs="Arial"/>
          <w:b/>
          <w:color w:val="000000" w:themeColor="text1"/>
          <w:sz w:val="22"/>
          <w:szCs w:val="22"/>
        </w:rPr>
      </w:pPr>
      <w:r w:rsidRPr="008762D1">
        <w:rPr>
          <w:rFonts w:ascii="ITC Avant Garde" w:hAnsi="ITC Avant Garde" w:cs="Arial"/>
          <w:b/>
          <w:color w:val="000000" w:themeColor="text1"/>
          <w:sz w:val="22"/>
          <w:szCs w:val="22"/>
        </w:rPr>
        <w:t xml:space="preserve">1. Suministro de servicios. </w:t>
      </w:r>
    </w:p>
    <w:p w14:paraId="70F99197" w14:textId="0F9DCA45"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con fecha </w:t>
      </w:r>
      <w:proofErr w:type="spellStart"/>
      <w:r w:rsidRPr="008762D1">
        <w:rPr>
          <w:rFonts w:ascii="ITC Avant Garde" w:hAnsi="ITC Avant Garde" w:cs="Arial"/>
          <w:color w:val="000000" w:themeColor="text1"/>
          <w:sz w:val="22"/>
          <w:szCs w:val="22"/>
        </w:rPr>
        <w:t>Due</w:t>
      </w:r>
      <w:proofErr w:type="spellEnd"/>
      <w:r w:rsidRPr="008762D1">
        <w:rPr>
          <w:rFonts w:ascii="ITC Avant Garde" w:hAnsi="ITC Avant Garde" w:cs="Arial"/>
          <w:color w:val="000000" w:themeColor="text1"/>
          <w:sz w:val="22"/>
          <w:szCs w:val="22"/>
        </w:rPr>
        <w:t xml:space="preserve"> Date posterior al tiempo límite de entrega o solicitudes fuera de pronóstico. </w:t>
      </w:r>
    </w:p>
    <w:p w14:paraId="647340C8" w14:textId="125FB77D"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El registro de las solicitudes de servicios en el SEG se realizará en forma electrónica, con copia al ejecutivo de cuenta designado por Telmex para atender a </w:t>
      </w:r>
      <w:r w:rsidR="007B0A7C" w:rsidRPr="007B0A7C">
        <w:rPr>
          <w:rFonts w:ascii="ITC Avant Garde" w:hAnsi="ITC Avant Garde" w:cs="Arial"/>
          <w:b/>
          <w:color w:val="0000FF"/>
          <w:sz w:val="24"/>
          <w:szCs w:val="24"/>
        </w:rPr>
        <w:t>[…]</w:t>
      </w:r>
      <w:r w:rsidR="007B0A7C" w:rsidRPr="007B0A7C">
        <w:rPr>
          <w:rFonts w:ascii="ITC Avant Garde" w:hAnsi="ITC Avant Garde" w:cs="Arial"/>
          <w:color w:val="000000" w:themeColor="text1"/>
          <w:sz w:val="22"/>
          <w:szCs w:val="22"/>
        </w:rPr>
        <w:t xml:space="preserve">. </w:t>
      </w:r>
      <w:r w:rsidRPr="008762D1">
        <w:rPr>
          <w:rFonts w:ascii="ITC Avant Garde" w:hAnsi="ITC Avant Garde" w:cs="Arial"/>
          <w:color w:val="000000" w:themeColor="text1"/>
          <w:sz w:val="22"/>
          <w:szCs w:val="22"/>
        </w:rPr>
        <w:t xml:space="preserve">Para cada solicitud debidamente registrada, el SEG enviará a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y al ejecutivo de cuenta, el número de folio consecutivo que le corresponda, para su debida identificación, así como la fecha y hora de recepción, por lo que se considerará para todos los efectos como una comunicación oficial entre Telmex y </w:t>
      </w:r>
      <w:r w:rsidR="007B0A7C" w:rsidRPr="007B0A7C">
        <w:rPr>
          <w:rFonts w:ascii="ITC Avant Garde" w:hAnsi="ITC Avant Garde" w:cs="Arial"/>
          <w:b/>
          <w:color w:val="0000FF"/>
          <w:sz w:val="24"/>
          <w:szCs w:val="24"/>
        </w:rPr>
        <w:t>[…]</w:t>
      </w:r>
      <w:r w:rsidR="007B0A7C" w:rsidRPr="007B0A7C">
        <w:rPr>
          <w:rFonts w:ascii="ITC Avant Garde" w:hAnsi="ITC Avant Garde" w:cs="Arial"/>
          <w:color w:val="000000" w:themeColor="text1"/>
          <w:sz w:val="22"/>
          <w:szCs w:val="22"/>
        </w:rPr>
        <w:t>.</w:t>
      </w:r>
    </w:p>
    <w:p w14:paraId="0DC1D3D5"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mantendrá en funcionamiento el SEG las 24 horas del día, los 365 días del año, por lo que deberá garantizar la continuidad del sistema y el respaldo de la información. </w:t>
      </w:r>
    </w:p>
    <w:p w14:paraId="6D930B4E"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Las solicitudes serán válidas y exigibles en el momento que Telmex entregue el número de referencia asociado a cada servicio, lo cual sucederá en un plazo máximo de 2 (dos) días hábiles posteriores a la recepción de las solicitudes.</w:t>
      </w:r>
    </w:p>
    <w:p w14:paraId="675C4F04" w14:textId="71C3FFB6"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Para acceder al SEG,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deberá solicitar la asignación de una clave de usuario.</w:t>
      </w:r>
    </w:p>
    <w:p w14:paraId="30A85114" w14:textId="4A94464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deberá habilitar un centro telefónico de atención, así como una dirección de correo electrónico, para que en el supuesto de alguna falla o caída del SEG que impida a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registrar sus solicitudes, éste lo reportará a Telmex mediante llamada telefónica al Centro de Atención a Operadores (018007134100) y/o al correo electrónico previamente habilitado dirigido a su ejecutivo de cuenta, haciendo por estas vías la solicitud de servicios que no pudo registrarse en el SEG. Este correo y/o la llamada tendrán el mismo valor que una solicitud realizada en el sistema. Telmex garantizará que, una vez restablecido el SEG y previamente a la recepción de nuevas solicitudes, ingresará al </w:t>
      </w:r>
      <w:r w:rsidRPr="008762D1">
        <w:rPr>
          <w:rFonts w:ascii="ITC Avant Garde" w:hAnsi="ITC Avant Garde" w:cs="Arial"/>
          <w:color w:val="000000" w:themeColor="text1"/>
          <w:sz w:val="22"/>
          <w:szCs w:val="22"/>
        </w:rPr>
        <w:lastRenderedPageBreak/>
        <w:t xml:space="preserve">mismo todas las solicitudes que hubieren sido recibidas vía correo electrónico y/o llamada telefónica, en el orden cronológico en que fuesen recibidas. Asimismo, enviará a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un correo electrónico con el número de folio correspondiente. </w:t>
      </w:r>
    </w:p>
    <w:p w14:paraId="2E87C7CE" w14:textId="318ABE0C"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El SEG deberá contar permanentemente con facilidades de generar reportes del estado de las solicitudes de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con el siguiente contenido:</w:t>
      </w:r>
    </w:p>
    <w:p w14:paraId="650438F5" w14:textId="443B35B2" w:rsidR="00526FE9"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 Solicitudes pendientes de atender y estado en el que se encuentran, incluyendo, fecha programada de entrega. </w:t>
      </w:r>
    </w:p>
    <w:p w14:paraId="6E0A02C4" w14:textId="77777777" w:rsidR="00526FE9"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 Solicitudes atendidas y fecha de entrega. </w:t>
      </w:r>
    </w:p>
    <w:p w14:paraId="341315B9"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 Solicitudes con problemas, indicando el problema y las correcciones necesarias. </w:t>
      </w:r>
    </w:p>
    <w:p w14:paraId="2196737E" w14:textId="31401DB6"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El SEG deberá asegurar la confidencialidad de los datos proporcionados por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permitiéndole el acceso exclusivamente a su propia información, por medio de una contraseña de acceso. La información contenida en el SEG deberá conservarse, cuando menos, durante 1 (uno) año. </w:t>
      </w:r>
    </w:p>
    <w:p w14:paraId="67865475" w14:textId="77777777" w:rsidR="000F0B9F" w:rsidRPr="008762D1" w:rsidRDefault="00526FE9" w:rsidP="000F0B9F">
      <w:pPr>
        <w:pStyle w:val="Textosinformato"/>
        <w:numPr>
          <w:ilvl w:val="1"/>
          <w:numId w:val="70"/>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Plazos máximos para la entrega de servicios. </w:t>
      </w:r>
    </w:p>
    <w:p w14:paraId="1E10ABBF"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debe entregar sus servicios en los plazos máximos de instalación siguientes: </w:t>
      </w:r>
    </w:p>
    <w:p w14:paraId="6BD60C86" w14:textId="27630DAF" w:rsidR="00526FE9" w:rsidRPr="008762D1" w:rsidRDefault="00526FE9" w:rsidP="000F0B9F">
      <w:pPr>
        <w:widowControl w:val="0"/>
        <w:numPr>
          <w:ilvl w:val="12"/>
          <w:numId w:val="0"/>
        </w:numPr>
        <w:spacing w:before="240"/>
        <w:jc w:val="both"/>
        <w:rPr>
          <w:rFonts w:ascii="ITC Avant Garde" w:hAnsi="ITC Avant Garde" w:cs="Times New Roman"/>
          <w:color w:val="000000" w:themeColor="text1"/>
        </w:rPr>
      </w:pPr>
      <w:r w:rsidRPr="008762D1">
        <w:rPr>
          <w:rFonts w:ascii="ITC Avant Garde" w:hAnsi="ITC Avant Garde"/>
          <w:color w:val="000000" w:themeColor="text1"/>
        </w:rPr>
        <w:t>1.1.1</w:t>
      </w:r>
      <w:r w:rsidRPr="008762D1">
        <w:rPr>
          <w:rFonts w:ascii="ITC Avant Garde" w:hAnsi="ITC Avant Garde"/>
          <w:color w:val="000000" w:themeColor="text1"/>
        </w:rPr>
        <w:tab/>
        <w:t>Pronóstico de Servicios.</w:t>
      </w:r>
      <w:r w:rsidRPr="008762D1">
        <w:rPr>
          <w:rFonts w:ascii="ITC Avant Garde" w:hAnsi="ITC Avant Garde" w:cs="Arial"/>
          <w:color w:val="000000" w:themeColor="text1"/>
        </w:rPr>
        <w:t xml:space="preserve"> </w:t>
      </w:r>
    </w:p>
    <w:p w14:paraId="0DAB6FC3" w14:textId="77777777" w:rsidR="00526FE9" w:rsidRPr="008762D1" w:rsidRDefault="00526FE9" w:rsidP="000F0B9F">
      <w:pPr>
        <w:pStyle w:val="Texto"/>
        <w:spacing w:before="240" w:line="271" w:lineRule="exact"/>
        <w:ind w:firstLine="0"/>
        <w:rPr>
          <w:rFonts w:ascii="ITC Avant Garde" w:hAnsi="ITC Avant Garde"/>
          <w:color w:val="000000" w:themeColor="text1"/>
          <w:sz w:val="22"/>
          <w:szCs w:val="22"/>
          <w:lang w:val="es-MX"/>
        </w:rPr>
      </w:pPr>
      <w:r w:rsidRPr="008762D1">
        <w:rPr>
          <w:rFonts w:ascii="ITC Avant Garde" w:hAnsi="ITC Avant Garde"/>
          <w:color w:val="000000" w:themeColor="text1"/>
          <w:sz w:val="22"/>
          <w:szCs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14:paraId="04EB41B8" w14:textId="702EA7EE" w:rsidR="00526FE9" w:rsidRPr="008762D1" w:rsidRDefault="00526FE9" w:rsidP="005574A0">
      <w:pPr>
        <w:widowControl w:val="0"/>
        <w:numPr>
          <w:ilvl w:val="12"/>
          <w:numId w:val="0"/>
        </w:numPr>
        <w:spacing w:before="240"/>
        <w:jc w:val="center"/>
        <w:rPr>
          <w:rFonts w:ascii="ITC Avant Garde" w:hAnsi="ITC Avant Garde" w:cs="Arial"/>
          <w:color w:val="000000" w:themeColor="text1"/>
          <w:sz w:val="24"/>
          <w:szCs w:val="24"/>
        </w:rPr>
      </w:pPr>
      <w:r w:rsidRPr="008762D1">
        <w:rPr>
          <w:rFonts w:ascii="ITC Avant Garde" w:hAnsi="ITC Avant Garde" w:cs="Arial"/>
          <w:color w:val="000000" w:themeColor="text1"/>
        </w:rPr>
        <w:t>Tabla 1</w:t>
      </w:r>
    </w:p>
    <w:tbl>
      <w:tblPr>
        <w:tblStyle w:val="Cuadrculadetablaclara"/>
        <w:tblW w:w="0" w:type="auto"/>
        <w:jc w:val="center"/>
        <w:tblLayout w:type="fixed"/>
        <w:tblLook w:val="04A0" w:firstRow="1" w:lastRow="0" w:firstColumn="1" w:lastColumn="0" w:noHBand="0" w:noVBand="1"/>
        <w:tblCaption w:val="Tabla"/>
        <w:tblDescription w:val="Tabla 1"/>
      </w:tblPr>
      <w:tblGrid>
        <w:gridCol w:w="1588"/>
        <w:gridCol w:w="3960"/>
      </w:tblGrid>
      <w:tr w:rsidR="008762D1" w:rsidRPr="008762D1" w14:paraId="1D89C6AC" w14:textId="77777777" w:rsidTr="00664EC0">
        <w:trPr>
          <w:tblHeader/>
          <w:jc w:val="center"/>
        </w:trPr>
        <w:tc>
          <w:tcPr>
            <w:tcW w:w="1588" w:type="dxa"/>
            <w:hideMark/>
          </w:tcPr>
          <w:p w14:paraId="5044D3F5" w14:textId="77777777" w:rsidR="00526FE9" w:rsidRPr="008762D1" w:rsidRDefault="00526FE9" w:rsidP="005574A0">
            <w:pPr>
              <w:pStyle w:val="Texto"/>
              <w:spacing w:after="0" w:line="272" w:lineRule="exact"/>
              <w:ind w:firstLine="0"/>
              <w:jc w:val="center"/>
              <w:rPr>
                <w:rFonts w:ascii="ITC Avant Garde" w:hAnsi="ITC Avant Garde"/>
                <w:b/>
                <w:color w:val="000000" w:themeColor="text1"/>
                <w:szCs w:val="18"/>
              </w:rPr>
            </w:pPr>
            <w:r w:rsidRPr="008762D1">
              <w:rPr>
                <w:rFonts w:ascii="ITC Avant Garde" w:hAnsi="ITC Avant Garde"/>
                <w:b/>
                <w:color w:val="000000" w:themeColor="text1"/>
                <w:szCs w:val="18"/>
              </w:rPr>
              <w:t>Fecha límite</w:t>
            </w:r>
          </w:p>
        </w:tc>
        <w:tc>
          <w:tcPr>
            <w:tcW w:w="3960" w:type="dxa"/>
            <w:hideMark/>
          </w:tcPr>
          <w:p w14:paraId="7B844CF8" w14:textId="77777777" w:rsidR="00526FE9" w:rsidRPr="008762D1" w:rsidRDefault="00526FE9" w:rsidP="005574A0">
            <w:pPr>
              <w:pStyle w:val="Texto"/>
              <w:spacing w:after="0" w:line="272" w:lineRule="exact"/>
              <w:ind w:firstLine="0"/>
              <w:jc w:val="center"/>
              <w:rPr>
                <w:rFonts w:ascii="ITC Avant Garde" w:hAnsi="ITC Avant Garde"/>
                <w:b/>
                <w:color w:val="000000" w:themeColor="text1"/>
                <w:szCs w:val="18"/>
              </w:rPr>
            </w:pPr>
            <w:r w:rsidRPr="008762D1">
              <w:rPr>
                <w:rFonts w:ascii="ITC Avant Garde" w:hAnsi="ITC Avant Garde"/>
                <w:b/>
                <w:color w:val="000000" w:themeColor="text1"/>
                <w:szCs w:val="18"/>
              </w:rPr>
              <w:t>Pronóstico</w:t>
            </w:r>
          </w:p>
        </w:tc>
      </w:tr>
      <w:tr w:rsidR="008762D1" w:rsidRPr="008762D1" w14:paraId="1DEB0C1A" w14:textId="77777777" w:rsidTr="00664EC0">
        <w:trPr>
          <w:jc w:val="center"/>
        </w:trPr>
        <w:tc>
          <w:tcPr>
            <w:tcW w:w="1588" w:type="dxa"/>
            <w:hideMark/>
          </w:tcPr>
          <w:p w14:paraId="499782A2" w14:textId="77777777" w:rsidR="00526FE9" w:rsidRPr="008762D1" w:rsidRDefault="00526FE9" w:rsidP="005574A0">
            <w:pPr>
              <w:pStyle w:val="Texto"/>
              <w:spacing w:after="0" w:line="272" w:lineRule="exact"/>
              <w:ind w:firstLine="0"/>
              <w:jc w:val="center"/>
              <w:rPr>
                <w:rFonts w:ascii="ITC Avant Garde" w:hAnsi="ITC Avant Garde"/>
                <w:color w:val="000000" w:themeColor="text1"/>
                <w:szCs w:val="18"/>
              </w:rPr>
            </w:pPr>
            <w:r w:rsidRPr="008762D1">
              <w:rPr>
                <w:rFonts w:ascii="ITC Avant Garde" w:hAnsi="ITC Avant Garde"/>
                <w:color w:val="000000" w:themeColor="text1"/>
                <w:szCs w:val="18"/>
              </w:rPr>
              <w:t>30 de junio</w:t>
            </w:r>
          </w:p>
        </w:tc>
        <w:tc>
          <w:tcPr>
            <w:tcW w:w="3960" w:type="dxa"/>
            <w:hideMark/>
          </w:tcPr>
          <w:p w14:paraId="547B6C00" w14:textId="77777777" w:rsidR="00526FE9" w:rsidRPr="008762D1" w:rsidRDefault="00526FE9" w:rsidP="005574A0">
            <w:pPr>
              <w:pStyle w:val="Texto"/>
              <w:spacing w:after="0" w:line="272" w:lineRule="exact"/>
              <w:ind w:firstLine="0"/>
              <w:rPr>
                <w:rFonts w:ascii="ITC Avant Garde" w:hAnsi="ITC Avant Garde"/>
                <w:color w:val="000000" w:themeColor="text1"/>
                <w:szCs w:val="18"/>
              </w:rPr>
            </w:pPr>
            <w:r w:rsidRPr="008762D1">
              <w:rPr>
                <w:rFonts w:ascii="ITC Avant Garde" w:hAnsi="ITC Avant Garde"/>
                <w:color w:val="000000" w:themeColor="text1"/>
                <w:szCs w:val="18"/>
              </w:rPr>
              <w:t>Enero-junio del año inmediato posterior.</w:t>
            </w:r>
          </w:p>
        </w:tc>
      </w:tr>
      <w:tr w:rsidR="00526FE9" w:rsidRPr="008762D1" w14:paraId="7C48E670" w14:textId="77777777" w:rsidTr="00664EC0">
        <w:trPr>
          <w:jc w:val="center"/>
        </w:trPr>
        <w:tc>
          <w:tcPr>
            <w:tcW w:w="1588" w:type="dxa"/>
            <w:hideMark/>
          </w:tcPr>
          <w:p w14:paraId="5D3BFB97" w14:textId="77777777" w:rsidR="00526FE9" w:rsidRPr="008762D1" w:rsidRDefault="00526FE9" w:rsidP="005574A0">
            <w:pPr>
              <w:pStyle w:val="Texto"/>
              <w:spacing w:after="0" w:line="272" w:lineRule="exact"/>
              <w:ind w:firstLine="0"/>
              <w:jc w:val="center"/>
              <w:rPr>
                <w:rFonts w:ascii="ITC Avant Garde" w:hAnsi="ITC Avant Garde"/>
                <w:color w:val="000000" w:themeColor="text1"/>
                <w:szCs w:val="18"/>
              </w:rPr>
            </w:pPr>
            <w:r w:rsidRPr="008762D1">
              <w:rPr>
                <w:rFonts w:ascii="ITC Avant Garde" w:hAnsi="ITC Avant Garde"/>
                <w:color w:val="000000" w:themeColor="text1"/>
                <w:szCs w:val="18"/>
              </w:rPr>
              <w:t>31 de diciembre</w:t>
            </w:r>
          </w:p>
        </w:tc>
        <w:tc>
          <w:tcPr>
            <w:tcW w:w="3960" w:type="dxa"/>
            <w:hideMark/>
          </w:tcPr>
          <w:p w14:paraId="612FA7E5" w14:textId="77777777" w:rsidR="00526FE9" w:rsidRPr="008762D1" w:rsidRDefault="00526FE9" w:rsidP="005574A0">
            <w:pPr>
              <w:pStyle w:val="Texto"/>
              <w:spacing w:after="0" w:line="272" w:lineRule="exact"/>
              <w:ind w:firstLine="0"/>
              <w:rPr>
                <w:rFonts w:ascii="ITC Avant Garde" w:hAnsi="ITC Avant Garde"/>
                <w:color w:val="000000" w:themeColor="text1"/>
                <w:szCs w:val="18"/>
              </w:rPr>
            </w:pPr>
            <w:r w:rsidRPr="008762D1">
              <w:rPr>
                <w:rFonts w:ascii="ITC Avant Garde" w:hAnsi="ITC Avant Garde"/>
                <w:color w:val="000000" w:themeColor="text1"/>
                <w:szCs w:val="18"/>
              </w:rPr>
              <w:t>Julio-diciembre del año inmediato posterior.</w:t>
            </w:r>
          </w:p>
        </w:tc>
      </w:tr>
    </w:tbl>
    <w:p w14:paraId="5F3D1749" w14:textId="5B17897E" w:rsidR="00526FE9"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Los servicios pronosticados conforme a la tabla anterior, deberán ser ratificados por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sobre bases bimestrales a más tardar en las fechas que se indican en la tabla 2 siguiente:</w:t>
      </w:r>
    </w:p>
    <w:p w14:paraId="45B32608" w14:textId="1A0477D8" w:rsidR="00526FE9" w:rsidRPr="008762D1" w:rsidRDefault="00526FE9" w:rsidP="005574A0">
      <w:pPr>
        <w:widowControl w:val="0"/>
        <w:numPr>
          <w:ilvl w:val="12"/>
          <w:numId w:val="0"/>
        </w:numPr>
        <w:spacing w:before="240"/>
        <w:jc w:val="center"/>
        <w:rPr>
          <w:rFonts w:ascii="ITC Avant Garde" w:hAnsi="ITC Avant Garde" w:cs="Arial"/>
          <w:color w:val="000000" w:themeColor="text1"/>
        </w:rPr>
      </w:pPr>
      <w:r w:rsidRPr="008762D1">
        <w:rPr>
          <w:rFonts w:ascii="ITC Avant Garde" w:hAnsi="ITC Avant Garde" w:cs="Arial"/>
          <w:color w:val="000000" w:themeColor="text1"/>
        </w:rPr>
        <w:t>Tabla 2</w:t>
      </w:r>
    </w:p>
    <w:tbl>
      <w:tblPr>
        <w:tblStyle w:val="Cuadrculadetablaclara"/>
        <w:tblW w:w="0" w:type="auto"/>
        <w:jc w:val="center"/>
        <w:tblLayout w:type="fixed"/>
        <w:tblLook w:val="04A0" w:firstRow="1" w:lastRow="0" w:firstColumn="1" w:lastColumn="0" w:noHBand="0" w:noVBand="1"/>
        <w:tblCaption w:val="Tabla"/>
        <w:tblDescription w:val="Tabla 2"/>
      </w:tblPr>
      <w:tblGrid>
        <w:gridCol w:w="2002"/>
        <w:gridCol w:w="4320"/>
      </w:tblGrid>
      <w:tr w:rsidR="008762D1" w:rsidRPr="008762D1" w14:paraId="605FA838" w14:textId="77777777" w:rsidTr="00664EC0">
        <w:trPr>
          <w:tblHeader/>
          <w:jc w:val="center"/>
        </w:trPr>
        <w:tc>
          <w:tcPr>
            <w:tcW w:w="2002" w:type="dxa"/>
            <w:hideMark/>
          </w:tcPr>
          <w:p w14:paraId="04C6EAEF" w14:textId="77777777" w:rsidR="00526FE9" w:rsidRPr="008762D1" w:rsidRDefault="00526FE9" w:rsidP="005574A0">
            <w:pPr>
              <w:pStyle w:val="Texto"/>
              <w:spacing w:after="0" w:line="272" w:lineRule="exact"/>
              <w:ind w:firstLine="0"/>
              <w:jc w:val="center"/>
              <w:rPr>
                <w:rFonts w:ascii="ITC Avant Garde" w:hAnsi="ITC Avant Garde"/>
                <w:b/>
                <w:color w:val="000000" w:themeColor="text1"/>
                <w:szCs w:val="18"/>
              </w:rPr>
            </w:pPr>
            <w:r w:rsidRPr="008762D1">
              <w:rPr>
                <w:rFonts w:ascii="ITC Avant Garde" w:hAnsi="ITC Avant Garde"/>
                <w:b/>
                <w:color w:val="000000" w:themeColor="text1"/>
                <w:szCs w:val="18"/>
              </w:rPr>
              <w:t>Fecha límite</w:t>
            </w:r>
          </w:p>
        </w:tc>
        <w:tc>
          <w:tcPr>
            <w:tcW w:w="4320" w:type="dxa"/>
            <w:hideMark/>
          </w:tcPr>
          <w:p w14:paraId="5E2F871F" w14:textId="77777777" w:rsidR="00526FE9" w:rsidRPr="008762D1" w:rsidRDefault="00526FE9" w:rsidP="005574A0">
            <w:pPr>
              <w:pStyle w:val="Texto"/>
              <w:spacing w:after="0" w:line="272" w:lineRule="exact"/>
              <w:ind w:firstLine="0"/>
              <w:jc w:val="center"/>
              <w:rPr>
                <w:rFonts w:ascii="ITC Avant Garde" w:hAnsi="ITC Avant Garde"/>
                <w:b/>
                <w:color w:val="000000" w:themeColor="text1"/>
                <w:szCs w:val="18"/>
              </w:rPr>
            </w:pPr>
            <w:r w:rsidRPr="008762D1">
              <w:rPr>
                <w:rFonts w:ascii="ITC Avant Garde" w:hAnsi="ITC Avant Garde"/>
                <w:b/>
                <w:color w:val="000000" w:themeColor="text1"/>
                <w:szCs w:val="18"/>
              </w:rPr>
              <w:t>Pronóstico</w:t>
            </w:r>
          </w:p>
        </w:tc>
      </w:tr>
      <w:tr w:rsidR="008762D1" w:rsidRPr="008762D1" w14:paraId="15332F9F" w14:textId="77777777" w:rsidTr="00664EC0">
        <w:trPr>
          <w:jc w:val="center"/>
        </w:trPr>
        <w:tc>
          <w:tcPr>
            <w:tcW w:w="2002" w:type="dxa"/>
            <w:hideMark/>
          </w:tcPr>
          <w:p w14:paraId="50C56521" w14:textId="77777777" w:rsidR="00526FE9" w:rsidRPr="008762D1" w:rsidRDefault="00526FE9" w:rsidP="005574A0">
            <w:pPr>
              <w:pStyle w:val="Texto"/>
              <w:spacing w:after="0" w:line="272" w:lineRule="exact"/>
              <w:ind w:firstLine="0"/>
              <w:jc w:val="center"/>
              <w:rPr>
                <w:rFonts w:ascii="ITC Avant Garde" w:hAnsi="ITC Avant Garde"/>
                <w:color w:val="000000" w:themeColor="text1"/>
                <w:szCs w:val="18"/>
              </w:rPr>
            </w:pPr>
            <w:r w:rsidRPr="008762D1">
              <w:rPr>
                <w:rFonts w:ascii="ITC Avant Garde" w:hAnsi="ITC Avant Garde"/>
                <w:color w:val="000000" w:themeColor="text1"/>
                <w:szCs w:val="18"/>
              </w:rPr>
              <w:t>30 de septiembre</w:t>
            </w:r>
          </w:p>
        </w:tc>
        <w:tc>
          <w:tcPr>
            <w:tcW w:w="4320" w:type="dxa"/>
            <w:hideMark/>
          </w:tcPr>
          <w:p w14:paraId="3FC57556" w14:textId="77777777" w:rsidR="00526FE9" w:rsidRPr="008762D1" w:rsidRDefault="00526FE9" w:rsidP="005574A0">
            <w:pPr>
              <w:pStyle w:val="Texto"/>
              <w:spacing w:after="0" w:line="272" w:lineRule="exact"/>
              <w:ind w:firstLine="0"/>
              <w:rPr>
                <w:rFonts w:ascii="ITC Avant Garde" w:hAnsi="ITC Avant Garde"/>
                <w:color w:val="000000" w:themeColor="text1"/>
                <w:szCs w:val="18"/>
              </w:rPr>
            </w:pPr>
            <w:r w:rsidRPr="008762D1">
              <w:rPr>
                <w:rFonts w:ascii="ITC Avant Garde" w:hAnsi="ITC Avant Garde"/>
                <w:color w:val="000000" w:themeColor="text1"/>
                <w:szCs w:val="18"/>
              </w:rPr>
              <w:t>Enero-febrero del año inmediato posterior.</w:t>
            </w:r>
          </w:p>
        </w:tc>
      </w:tr>
      <w:tr w:rsidR="008762D1" w:rsidRPr="008762D1" w14:paraId="737462E0" w14:textId="77777777" w:rsidTr="00664EC0">
        <w:trPr>
          <w:jc w:val="center"/>
        </w:trPr>
        <w:tc>
          <w:tcPr>
            <w:tcW w:w="2002" w:type="dxa"/>
            <w:hideMark/>
          </w:tcPr>
          <w:p w14:paraId="67B6B642" w14:textId="77777777" w:rsidR="00526FE9" w:rsidRPr="008762D1" w:rsidRDefault="00526FE9" w:rsidP="005574A0">
            <w:pPr>
              <w:pStyle w:val="Texto"/>
              <w:spacing w:after="0" w:line="272" w:lineRule="exact"/>
              <w:ind w:firstLine="0"/>
              <w:jc w:val="center"/>
              <w:rPr>
                <w:rFonts w:ascii="ITC Avant Garde" w:hAnsi="ITC Avant Garde"/>
                <w:color w:val="000000" w:themeColor="text1"/>
                <w:szCs w:val="18"/>
              </w:rPr>
            </w:pPr>
            <w:r w:rsidRPr="008762D1">
              <w:rPr>
                <w:rFonts w:ascii="ITC Avant Garde" w:hAnsi="ITC Avant Garde"/>
                <w:color w:val="000000" w:themeColor="text1"/>
                <w:szCs w:val="18"/>
              </w:rPr>
              <w:t>30 de noviembre</w:t>
            </w:r>
          </w:p>
        </w:tc>
        <w:tc>
          <w:tcPr>
            <w:tcW w:w="4320" w:type="dxa"/>
            <w:hideMark/>
          </w:tcPr>
          <w:p w14:paraId="677AF776" w14:textId="77777777" w:rsidR="00526FE9" w:rsidRPr="008762D1" w:rsidRDefault="00526FE9" w:rsidP="005574A0">
            <w:pPr>
              <w:pStyle w:val="Texto"/>
              <w:spacing w:after="0" w:line="272" w:lineRule="exact"/>
              <w:ind w:firstLine="0"/>
              <w:rPr>
                <w:rFonts w:ascii="ITC Avant Garde" w:hAnsi="ITC Avant Garde"/>
                <w:color w:val="000000" w:themeColor="text1"/>
                <w:szCs w:val="18"/>
              </w:rPr>
            </w:pPr>
            <w:r w:rsidRPr="008762D1">
              <w:rPr>
                <w:rFonts w:ascii="ITC Avant Garde" w:hAnsi="ITC Avant Garde"/>
                <w:color w:val="000000" w:themeColor="text1"/>
                <w:szCs w:val="18"/>
              </w:rPr>
              <w:t>Marzo-abril del año inmediato posterior.</w:t>
            </w:r>
          </w:p>
        </w:tc>
      </w:tr>
      <w:tr w:rsidR="008762D1" w:rsidRPr="008762D1" w14:paraId="128F0A3B" w14:textId="77777777" w:rsidTr="00664EC0">
        <w:trPr>
          <w:jc w:val="center"/>
        </w:trPr>
        <w:tc>
          <w:tcPr>
            <w:tcW w:w="2002" w:type="dxa"/>
            <w:hideMark/>
          </w:tcPr>
          <w:p w14:paraId="530212A0" w14:textId="77777777" w:rsidR="00526FE9" w:rsidRPr="008762D1" w:rsidRDefault="00526FE9" w:rsidP="005574A0">
            <w:pPr>
              <w:pStyle w:val="Texto"/>
              <w:spacing w:after="0" w:line="272" w:lineRule="exact"/>
              <w:ind w:firstLine="0"/>
              <w:jc w:val="center"/>
              <w:rPr>
                <w:rFonts w:ascii="ITC Avant Garde" w:hAnsi="ITC Avant Garde"/>
                <w:color w:val="000000" w:themeColor="text1"/>
                <w:szCs w:val="18"/>
              </w:rPr>
            </w:pPr>
            <w:r w:rsidRPr="008762D1">
              <w:rPr>
                <w:rFonts w:ascii="ITC Avant Garde" w:hAnsi="ITC Avant Garde"/>
                <w:color w:val="000000" w:themeColor="text1"/>
                <w:szCs w:val="18"/>
              </w:rPr>
              <w:t>31 de enero</w:t>
            </w:r>
          </w:p>
        </w:tc>
        <w:tc>
          <w:tcPr>
            <w:tcW w:w="4320" w:type="dxa"/>
            <w:hideMark/>
          </w:tcPr>
          <w:p w14:paraId="119169A8" w14:textId="77777777" w:rsidR="00526FE9" w:rsidRPr="008762D1" w:rsidRDefault="00526FE9" w:rsidP="005574A0">
            <w:pPr>
              <w:pStyle w:val="Texto"/>
              <w:spacing w:after="0" w:line="272" w:lineRule="exact"/>
              <w:ind w:firstLine="0"/>
              <w:rPr>
                <w:rFonts w:ascii="ITC Avant Garde" w:hAnsi="ITC Avant Garde"/>
                <w:color w:val="000000" w:themeColor="text1"/>
                <w:szCs w:val="18"/>
              </w:rPr>
            </w:pPr>
            <w:r w:rsidRPr="008762D1">
              <w:rPr>
                <w:rFonts w:ascii="ITC Avant Garde" w:hAnsi="ITC Avant Garde"/>
                <w:color w:val="000000" w:themeColor="text1"/>
                <w:szCs w:val="18"/>
              </w:rPr>
              <w:t>Mayo-junio del mismo año.</w:t>
            </w:r>
          </w:p>
        </w:tc>
      </w:tr>
      <w:tr w:rsidR="008762D1" w:rsidRPr="008762D1" w14:paraId="6133A3E9" w14:textId="77777777" w:rsidTr="00664EC0">
        <w:trPr>
          <w:jc w:val="center"/>
        </w:trPr>
        <w:tc>
          <w:tcPr>
            <w:tcW w:w="2002" w:type="dxa"/>
            <w:hideMark/>
          </w:tcPr>
          <w:p w14:paraId="148835C1" w14:textId="77777777" w:rsidR="00526FE9" w:rsidRPr="008762D1" w:rsidRDefault="00526FE9" w:rsidP="005574A0">
            <w:pPr>
              <w:pStyle w:val="Texto"/>
              <w:spacing w:after="0" w:line="272" w:lineRule="exact"/>
              <w:ind w:firstLine="0"/>
              <w:jc w:val="center"/>
              <w:rPr>
                <w:rFonts w:ascii="ITC Avant Garde" w:hAnsi="ITC Avant Garde"/>
                <w:color w:val="000000" w:themeColor="text1"/>
                <w:szCs w:val="18"/>
              </w:rPr>
            </w:pPr>
            <w:r w:rsidRPr="008762D1">
              <w:rPr>
                <w:rFonts w:ascii="ITC Avant Garde" w:hAnsi="ITC Avant Garde"/>
                <w:color w:val="000000" w:themeColor="text1"/>
                <w:szCs w:val="18"/>
              </w:rPr>
              <w:t>31 de marzo</w:t>
            </w:r>
          </w:p>
        </w:tc>
        <w:tc>
          <w:tcPr>
            <w:tcW w:w="4320" w:type="dxa"/>
            <w:hideMark/>
          </w:tcPr>
          <w:p w14:paraId="4882E90E" w14:textId="77777777" w:rsidR="00526FE9" w:rsidRPr="008762D1" w:rsidRDefault="00526FE9" w:rsidP="005574A0">
            <w:pPr>
              <w:pStyle w:val="Texto"/>
              <w:spacing w:after="0" w:line="272" w:lineRule="exact"/>
              <w:ind w:firstLine="0"/>
              <w:rPr>
                <w:rFonts w:ascii="ITC Avant Garde" w:hAnsi="ITC Avant Garde"/>
                <w:color w:val="000000" w:themeColor="text1"/>
                <w:szCs w:val="18"/>
              </w:rPr>
            </w:pPr>
            <w:r w:rsidRPr="008762D1">
              <w:rPr>
                <w:rFonts w:ascii="ITC Avant Garde" w:hAnsi="ITC Avant Garde"/>
                <w:color w:val="000000" w:themeColor="text1"/>
                <w:szCs w:val="18"/>
              </w:rPr>
              <w:t>Julio-agosto del mismo año.</w:t>
            </w:r>
          </w:p>
        </w:tc>
      </w:tr>
      <w:tr w:rsidR="008762D1" w:rsidRPr="008762D1" w14:paraId="6EE97BAB" w14:textId="77777777" w:rsidTr="00664EC0">
        <w:trPr>
          <w:jc w:val="center"/>
        </w:trPr>
        <w:tc>
          <w:tcPr>
            <w:tcW w:w="2002" w:type="dxa"/>
            <w:hideMark/>
          </w:tcPr>
          <w:p w14:paraId="15241C15" w14:textId="77777777" w:rsidR="00526FE9" w:rsidRPr="008762D1" w:rsidRDefault="00526FE9" w:rsidP="005574A0">
            <w:pPr>
              <w:pStyle w:val="Texto"/>
              <w:spacing w:after="0" w:line="272" w:lineRule="exact"/>
              <w:ind w:firstLine="0"/>
              <w:jc w:val="center"/>
              <w:rPr>
                <w:rFonts w:ascii="ITC Avant Garde" w:hAnsi="ITC Avant Garde"/>
                <w:color w:val="000000" w:themeColor="text1"/>
                <w:szCs w:val="18"/>
              </w:rPr>
            </w:pPr>
            <w:r w:rsidRPr="008762D1">
              <w:rPr>
                <w:rFonts w:ascii="ITC Avant Garde" w:hAnsi="ITC Avant Garde"/>
                <w:color w:val="000000" w:themeColor="text1"/>
                <w:szCs w:val="18"/>
              </w:rPr>
              <w:t>31 de mayo</w:t>
            </w:r>
          </w:p>
        </w:tc>
        <w:tc>
          <w:tcPr>
            <w:tcW w:w="4320" w:type="dxa"/>
            <w:hideMark/>
          </w:tcPr>
          <w:p w14:paraId="2555FD77" w14:textId="77777777" w:rsidR="00526FE9" w:rsidRPr="008762D1" w:rsidRDefault="00526FE9" w:rsidP="005574A0">
            <w:pPr>
              <w:pStyle w:val="Texto"/>
              <w:spacing w:after="0" w:line="272" w:lineRule="exact"/>
              <w:ind w:firstLine="0"/>
              <w:rPr>
                <w:rFonts w:ascii="ITC Avant Garde" w:hAnsi="ITC Avant Garde"/>
                <w:color w:val="000000" w:themeColor="text1"/>
                <w:szCs w:val="18"/>
              </w:rPr>
            </w:pPr>
            <w:r w:rsidRPr="008762D1">
              <w:rPr>
                <w:rFonts w:ascii="ITC Avant Garde" w:hAnsi="ITC Avant Garde"/>
                <w:color w:val="000000" w:themeColor="text1"/>
                <w:szCs w:val="18"/>
              </w:rPr>
              <w:t>Septiembre-octubre del mismo año.</w:t>
            </w:r>
          </w:p>
        </w:tc>
      </w:tr>
      <w:tr w:rsidR="00526FE9" w:rsidRPr="008762D1" w14:paraId="4C6966F9" w14:textId="77777777" w:rsidTr="00664EC0">
        <w:trPr>
          <w:jc w:val="center"/>
        </w:trPr>
        <w:tc>
          <w:tcPr>
            <w:tcW w:w="2002" w:type="dxa"/>
            <w:hideMark/>
          </w:tcPr>
          <w:p w14:paraId="0E3A4D3B" w14:textId="77777777" w:rsidR="00526FE9" w:rsidRPr="008762D1" w:rsidRDefault="00526FE9" w:rsidP="005574A0">
            <w:pPr>
              <w:pStyle w:val="Texto"/>
              <w:spacing w:after="0" w:line="272" w:lineRule="exact"/>
              <w:ind w:firstLine="0"/>
              <w:jc w:val="center"/>
              <w:rPr>
                <w:rFonts w:ascii="ITC Avant Garde" w:hAnsi="ITC Avant Garde"/>
                <w:color w:val="000000" w:themeColor="text1"/>
                <w:szCs w:val="18"/>
              </w:rPr>
            </w:pPr>
            <w:r w:rsidRPr="008762D1">
              <w:rPr>
                <w:rFonts w:ascii="ITC Avant Garde" w:hAnsi="ITC Avant Garde"/>
                <w:color w:val="000000" w:themeColor="text1"/>
                <w:szCs w:val="18"/>
              </w:rPr>
              <w:t>31 de julio</w:t>
            </w:r>
          </w:p>
        </w:tc>
        <w:tc>
          <w:tcPr>
            <w:tcW w:w="4320" w:type="dxa"/>
            <w:hideMark/>
          </w:tcPr>
          <w:p w14:paraId="6DB17885" w14:textId="77777777" w:rsidR="00526FE9" w:rsidRPr="008762D1" w:rsidRDefault="00526FE9" w:rsidP="005574A0">
            <w:pPr>
              <w:pStyle w:val="Texto"/>
              <w:spacing w:after="0" w:line="272" w:lineRule="exact"/>
              <w:ind w:firstLine="0"/>
              <w:rPr>
                <w:rFonts w:ascii="ITC Avant Garde" w:hAnsi="ITC Avant Garde"/>
                <w:color w:val="000000" w:themeColor="text1"/>
                <w:szCs w:val="18"/>
              </w:rPr>
            </w:pPr>
            <w:r w:rsidRPr="008762D1">
              <w:rPr>
                <w:rFonts w:ascii="ITC Avant Garde" w:hAnsi="ITC Avant Garde"/>
                <w:color w:val="000000" w:themeColor="text1"/>
                <w:szCs w:val="18"/>
              </w:rPr>
              <w:t>Noviembre-diciembre del mismo año.</w:t>
            </w:r>
          </w:p>
        </w:tc>
      </w:tr>
    </w:tbl>
    <w:p w14:paraId="1D18F5C6" w14:textId="77777777" w:rsidR="000F0B9F"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lastRenderedPageBreak/>
        <w:t>Los pronósticos y ratificaciones deberán ser presentados en el formato contenido en el Anexo “F”.</w:t>
      </w:r>
    </w:p>
    <w:p w14:paraId="22D12D58" w14:textId="193C9B45" w:rsidR="00526FE9"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Una vez ratificado el pronóstico, los servicios solicitados serán obligatorios para ambas partes, en los plazos máximos para entrega de servicios de la tabla 3 siguiente. Sin embargo,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 xml:space="preserve">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rPr>
        <w:t xml:space="preserve"> deberá pagar a Telmex los Gastos de Instalación correspondientes, en términos de lo estipulado en el Anexo “B”. </w:t>
      </w:r>
    </w:p>
    <w:p w14:paraId="4DC5498E" w14:textId="2BAF7836" w:rsidR="00526FE9" w:rsidRPr="007B0A7C" w:rsidRDefault="00526FE9" w:rsidP="005574A0">
      <w:pPr>
        <w:pStyle w:val="Textosinformato"/>
        <w:spacing w:before="240"/>
        <w:jc w:val="center"/>
        <w:rPr>
          <w:rFonts w:ascii="ITC Avant Garde" w:hAnsi="ITC Avant Garde" w:cs="Arial"/>
          <w:b/>
          <w:color w:val="000000" w:themeColor="text1"/>
          <w:sz w:val="22"/>
          <w:szCs w:val="22"/>
        </w:rPr>
      </w:pPr>
      <w:r w:rsidRPr="007B0A7C">
        <w:rPr>
          <w:rFonts w:ascii="ITC Avant Garde" w:hAnsi="ITC Avant Garde" w:cs="Arial"/>
          <w:b/>
          <w:color w:val="000000" w:themeColor="text1"/>
          <w:sz w:val="22"/>
          <w:szCs w:val="22"/>
        </w:rPr>
        <w:t>Tabla 3</w:t>
      </w:r>
    </w:p>
    <w:tbl>
      <w:tblPr>
        <w:tblStyle w:val="Cuadrculadetablaclara"/>
        <w:tblW w:w="0" w:type="auto"/>
        <w:jc w:val="center"/>
        <w:tblLook w:val="01E0" w:firstRow="1" w:lastRow="1" w:firstColumn="1" w:lastColumn="1" w:noHBand="0" w:noVBand="0"/>
        <w:tblCaption w:val="Tabla"/>
        <w:tblDescription w:val="Tabla 3"/>
      </w:tblPr>
      <w:tblGrid>
        <w:gridCol w:w="3686"/>
        <w:gridCol w:w="1843"/>
        <w:gridCol w:w="2829"/>
      </w:tblGrid>
      <w:tr w:rsidR="008762D1" w:rsidRPr="007B0A7C" w14:paraId="679BEA7B" w14:textId="77777777" w:rsidTr="00664EC0">
        <w:trPr>
          <w:tblHeader/>
          <w:jc w:val="center"/>
        </w:trPr>
        <w:tc>
          <w:tcPr>
            <w:tcW w:w="3686" w:type="dxa"/>
          </w:tcPr>
          <w:p w14:paraId="38818F40" w14:textId="77777777" w:rsidR="00526FE9" w:rsidRPr="007B0A7C" w:rsidRDefault="00526FE9" w:rsidP="005574A0">
            <w:pPr>
              <w:pStyle w:val="Textosinformato"/>
              <w:jc w:val="both"/>
              <w:rPr>
                <w:rFonts w:ascii="ITC Avant Garde" w:hAnsi="ITC Avant Garde" w:cs="Arial"/>
                <w:b/>
                <w:color w:val="000000" w:themeColor="text1"/>
                <w:sz w:val="24"/>
                <w:szCs w:val="24"/>
              </w:rPr>
            </w:pPr>
          </w:p>
        </w:tc>
        <w:tc>
          <w:tcPr>
            <w:tcW w:w="1843" w:type="dxa"/>
            <w:hideMark/>
          </w:tcPr>
          <w:p w14:paraId="5D614D4F" w14:textId="77777777" w:rsidR="00526FE9" w:rsidRPr="007B0A7C" w:rsidRDefault="00526FE9" w:rsidP="005574A0">
            <w:pPr>
              <w:pStyle w:val="Textosinformato"/>
              <w:jc w:val="center"/>
              <w:rPr>
                <w:rFonts w:ascii="ITC Avant Garde" w:hAnsi="ITC Avant Garde" w:cs="Arial"/>
                <w:b/>
                <w:color w:val="000000" w:themeColor="text1"/>
              </w:rPr>
            </w:pPr>
            <w:r w:rsidRPr="007B0A7C">
              <w:rPr>
                <w:rFonts w:ascii="ITC Avant Garde" w:hAnsi="ITC Avant Garde" w:cs="Arial"/>
                <w:b/>
                <w:color w:val="000000" w:themeColor="text1"/>
              </w:rPr>
              <w:t>Facilidad nueva</w:t>
            </w:r>
          </w:p>
          <w:p w14:paraId="78DFBF57" w14:textId="77777777" w:rsidR="00526FE9" w:rsidRPr="007B0A7C" w:rsidRDefault="00526FE9" w:rsidP="005574A0">
            <w:pPr>
              <w:pStyle w:val="Textosinformato"/>
              <w:jc w:val="center"/>
              <w:rPr>
                <w:rFonts w:ascii="ITC Avant Garde" w:hAnsi="ITC Avant Garde" w:cs="Arial"/>
                <w:b/>
                <w:color w:val="000000" w:themeColor="text1"/>
              </w:rPr>
            </w:pPr>
            <w:r w:rsidRPr="007B0A7C">
              <w:rPr>
                <w:rFonts w:ascii="ITC Avant Garde" w:hAnsi="ITC Avant Garde" w:cs="Arial"/>
                <w:b/>
                <w:color w:val="000000" w:themeColor="text1"/>
              </w:rPr>
              <w:t>(Días hábiles)</w:t>
            </w:r>
          </w:p>
        </w:tc>
        <w:tc>
          <w:tcPr>
            <w:tcW w:w="2829" w:type="dxa"/>
            <w:hideMark/>
          </w:tcPr>
          <w:p w14:paraId="3ABC5F2C" w14:textId="77777777" w:rsidR="00526FE9" w:rsidRPr="007B0A7C" w:rsidRDefault="00526FE9" w:rsidP="005574A0">
            <w:pPr>
              <w:pStyle w:val="Textosinformato"/>
              <w:jc w:val="center"/>
              <w:rPr>
                <w:rFonts w:ascii="ITC Avant Garde" w:hAnsi="ITC Avant Garde" w:cs="Arial"/>
                <w:b/>
                <w:color w:val="000000" w:themeColor="text1"/>
              </w:rPr>
            </w:pPr>
            <w:r w:rsidRPr="007B0A7C">
              <w:rPr>
                <w:rFonts w:ascii="ITC Avant Garde" w:hAnsi="ITC Avant Garde" w:cs="Arial"/>
                <w:b/>
                <w:color w:val="000000" w:themeColor="text1"/>
              </w:rPr>
              <w:t>Facilidad existente (ampliación días hábiles)</w:t>
            </w:r>
          </w:p>
        </w:tc>
      </w:tr>
      <w:tr w:rsidR="008762D1" w:rsidRPr="008762D1" w14:paraId="2F53FB0A" w14:textId="77777777" w:rsidTr="00664EC0">
        <w:trPr>
          <w:jc w:val="center"/>
        </w:trPr>
        <w:tc>
          <w:tcPr>
            <w:tcW w:w="3686" w:type="dxa"/>
            <w:hideMark/>
          </w:tcPr>
          <w:p w14:paraId="637F662B" w14:textId="77777777" w:rsidR="00526FE9" w:rsidRPr="008762D1" w:rsidRDefault="00526FE9" w:rsidP="005574A0">
            <w:pPr>
              <w:pStyle w:val="Textosinformato"/>
              <w:jc w:val="both"/>
              <w:rPr>
                <w:rFonts w:ascii="ITC Avant Garde" w:hAnsi="ITC Avant Garde" w:cs="Arial"/>
                <w:color w:val="000000" w:themeColor="text1"/>
              </w:rPr>
            </w:pPr>
            <w:r w:rsidRPr="008762D1">
              <w:rPr>
                <w:rFonts w:ascii="ITC Avant Garde" w:hAnsi="ITC Avant Garde" w:cs="Arial"/>
                <w:color w:val="000000" w:themeColor="text1"/>
              </w:rPr>
              <w:t>Puerto de Señalización (PAUSI-MX)</w:t>
            </w:r>
          </w:p>
        </w:tc>
        <w:tc>
          <w:tcPr>
            <w:tcW w:w="1843" w:type="dxa"/>
            <w:hideMark/>
          </w:tcPr>
          <w:p w14:paraId="297F78A2"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15</w:t>
            </w:r>
          </w:p>
        </w:tc>
        <w:tc>
          <w:tcPr>
            <w:tcW w:w="2829" w:type="dxa"/>
            <w:hideMark/>
          </w:tcPr>
          <w:p w14:paraId="1A439FBE"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7</w:t>
            </w:r>
          </w:p>
        </w:tc>
      </w:tr>
      <w:tr w:rsidR="008762D1" w:rsidRPr="008762D1" w14:paraId="35F8E52D" w14:textId="77777777" w:rsidTr="00664EC0">
        <w:trPr>
          <w:jc w:val="center"/>
        </w:trPr>
        <w:tc>
          <w:tcPr>
            <w:tcW w:w="3686" w:type="dxa"/>
            <w:hideMark/>
          </w:tcPr>
          <w:p w14:paraId="43D27F41" w14:textId="77777777" w:rsidR="00526FE9" w:rsidRPr="008762D1" w:rsidRDefault="00526FE9" w:rsidP="005574A0">
            <w:pPr>
              <w:pStyle w:val="Textosinformato"/>
              <w:jc w:val="both"/>
              <w:rPr>
                <w:rFonts w:ascii="ITC Avant Garde" w:hAnsi="ITC Avant Garde" w:cs="Arial"/>
                <w:color w:val="000000" w:themeColor="text1"/>
              </w:rPr>
            </w:pPr>
            <w:r w:rsidRPr="008762D1">
              <w:rPr>
                <w:rFonts w:ascii="ITC Avant Garde" w:hAnsi="ITC Avant Garde" w:cs="Arial"/>
                <w:color w:val="000000" w:themeColor="text1"/>
              </w:rPr>
              <w:t>Puerto de Señalización IP</w:t>
            </w:r>
          </w:p>
        </w:tc>
        <w:tc>
          <w:tcPr>
            <w:tcW w:w="1843" w:type="dxa"/>
            <w:hideMark/>
          </w:tcPr>
          <w:p w14:paraId="7D68CB88"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15</w:t>
            </w:r>
          </w:p>
        </w:tc>
        <w:tc>
          <w:tcPr>
            <w:tcW w:w="2829" w:type="dxa"/>
            <w:hideMark/>
          </w:tcPr>
          <w:p w14:paraId="38552854"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7</w:t>
            </w:r>
          </w:p>
        </w:tc>
      </w:tr>
      <w:tr w:rsidR="008762D1" w:rsidRPr="008762D1" w14:paraId="7C8C4F86" w14:textId="77777777" w:rsidTr="00664EC0">
        <w:trPr>
          <w:jc w:val="center"/>
        </w:trPr>
        <w:tc>
          <w:tcPr>
            <w:tcW w:w="3686" w:type="dxa"/>
            <w:hideMark/>
          </w:tcPr>
          <w:p w14:paraId="287CADD7" w14:textId="77777777" w:rsidR="00526FE9" w:rsidRPr="008762D1" w:rsidRDefault="00526FE9" w:rsidP="005574A0">
            <w:pPr>
              <w:pStyle w:val="Textosinformato"/>
              <w:jc w:val="both"/>
              <w:rPr>
                <w:rFonts w:ascii="ITC Avant Garde" w:hAnsi="ITC Avant Garde" w:cs="Arial"/>
                <w:color w:val="000000" w:themeColor="text1"/>
              </w:rPr>
            </w:pPr>
            <w:r w:rsidRPr="008762D1">
              <w:rPr>
                <w:rFonts w:ascii="ITC Avant Garde" w:hAnsi="ITC Avant Garde" w:cs="Arial"/>
                <w:color w:val="000000" w:themeColor="text1"/>
              </w:rPr>
              <w:t>Puerto de Acceso</w:t>
            </w:r>
          </w:p>
        </w:tc>
        <w:tc>
          <w:tcPr>
            <w:tcW w:w="1843" w:type="dxa"/>
            <w:hideMark/>
          </w:tcPr>
          <w:p w14:paraId="5225D750"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15</w:t>
            </w:r>
          </w:p>
        </w:tc>
        <w:tc>
          <w:tcPr>
            <w:tcW w:w="2829" w:type="dxa"/>
            <w:hideMark/>
          </w:tcPr>
          <w:p w14:paraId="10C1F979"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7</w:t>
            </w:r>
          </w:p>
        </w:tc>
      </w:tr>
      <w:tr w:rsidR="008762D1" w:rsidRPr="008762D1" w14:paraId="4D75C531" w14:textId="77777777" w:rsidTr="00664EC0">
        <w:trPr>
          <w:jc w:val="center"/>
        </w:trPr>
        <w:tc>
          <w:tcPr>
            <w:tcW w:w="3686" w:type="dxa"/>
            <w:hideMark/>
          </w:tcPr>
          <w:p w14:paraId="2DD3CD34" w14:textId="77777777" w:rsidR="00526FE9" w:rsidRPr="008762D1" w:rsidRDefault="00526FE9" w:rsidP="005574A0">
            <w:pPr>
              <w:pStyle w:val="Textosinformato"/>
              <w:jc w:val="both"/>
              <w:rPr>
                <w:rFonts w:ascii="ITC Avant Garde" w:hAnsi="ITC Avant Garde" w:cs="Arial"/>
                <w:color w:val="000000" w:themeColor="text1"/>
              </w:rPr>
            </w:pPr>
            <w:proofErr w:type="spellStart"/>
            <w:r w:rsidRPr="008762D1">
              <w:rPr>
                <w:rFonts w:ascii="ITC Avant Garde" w:hAnsi="ITC Avant Garde" w:cs="Arial"/>
                <w:color w:val="000000" w:themeColor="text1"/>
              </w:rPr>
              <w:t>Coubicación</w:t>
            </w:r>
            <w:proofErr w:type="spellEnd"/>
          </w:p>
        </w:tc>
        <w:tc>
          <w:tcPr>
            <w:tcW w:w="1843" w:type="dxa"/>
            <w:hideMark/>
          </w:tcPr>
          <w:p w14:paraId="317411BE"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15</w:t>
            </w:r>
          </w:p>
        </w:tc>
        <w:tc>
          <w:tcPr>
            <w:tcW w:w="2829" w:type="dxa"/>
            <w:hideMark/>
          </w:tcPr>
          <w:p w14:paraId="4CD9754C"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No aplica</w:t>
            </w:r>
          </w:p>
        </w:tc>
      </w:tr>
      <w:tr w:rsidR="008762D1" w:rsidRPr="008762D1" w14:paraId="6180C6CB" w14:textId="77777777" w:rsidTr="00664EC0">
        <w:trPr>
          <w:jc w:val="center"/>
        </w:trPr>
        <w:tc>
          <w:tcPr>
            <w:tcW w:w="3686" w:type="dxa"/>
            <w:hideMark/>
          </w:tcPr>
          <w:p w14:paraId="3A1AC7CF" w14:textId="77777777" w:rsidR="00526FE9" w:rsidRPr="008762D1" w:rsidRDefault="00526FE9" w:rsidP="005574A0">
            <w:pPr>
              <w:pStyle w:val="Textosinformato"/>
              <w:jc w:val="both"/>
              <w:rPr>
                <w:rFonts w:ascii="ITC Avant Garde" w:hAnsi="ITC Avant Garde" w:cs="Arial"/>
                <w:color w:val="000000" w:themeColor="text1"/>
              </w:rPr>
            </w:pPr>
            <w:r w:rsidRPr="008762D1">
              <w:rPr>
                <w:rFonts w:ascii="ITC Avant Garde" w:hAnsi="ITC Avant Garde" w:cs="Arial"/>
                <w:color w:val="000000" w:themeColor="text1"/>
              </w:rPr>
              <w:t>Facturación</w:t>
            </w:r>
          </w:p>
        </w:tc>
        <w:tc>
          <w:tcPr>
            <w:tcW w:w="1843" w:type="dxa"/>
            <w:hideMark/>
          </w:tcPr>
          <w:p w14:paraId="30703654"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15</w:t>
            </w:r>
          </w:p>
        </w:tc>
        <w:tc>
          <w:tcPr>
            <w:tcW w:w="2829" w:type="dxa"/>
            <w:hideMark/>
          </w:tcPr>
          <w:p w14:paraId="5BE0FE18"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10</w:t>
            </w:r>
          </w:p>
        </w:tc>
      </w:tr>
      <w:tr w:rsidR="008762D1" w:rsidRPr="008762D1" w14:paraId="316C5C8E" w14:textId="77777777" w:rsidTr="00664EC0">
        <w:trPr>
          <w:jc w:val="center"/>
        </w:trPr>
        <w:tc>
          <w:tcPr>
            <w:tcW w:w="3686" w:type="dxa"/>
            <w:hideMark/>
          </w:tcPr>
          <w:p w14:paraId="24573F0D" w14:textId="77777777" w:rsidR="00526FE9" w:rsidRPr="008762D1" w:rsidRDefault="00526FE9" w:rsidP="005574A0">
            <w:pPr>
              <w:pStyle w:val="Textosinformato"/>
              <w:jc w:val="both"/>
              <w:rPr>
                <w:rFonts w:ascii="ITC Avant Garde" w:hAnsi="ITC Avant Garde" w:cs="Arial"/>
                <w:color w:val="000000" w:themeColor="text1"/>
              </w:rPr>
            </w:pPr>
            <w:r w:rsidRPr="008762D1">
              <w:rPr>
                <w:rFonts w:ascii="ITC Avant Garde" w:hAnsi="ITC Avant Garde" w:cs="Arial"/>
                <w:color w:val="000000" w:themeColor="text1"/>
              </w:rPr>
              <w:t>Tránsito</w:t>
            </w:r>
          </w:p>
        </w:tc>
        <w:tc>
          <w:tcPr>
            <w:tcW w:w="1843" w:type="dxa"/>
            <w:hideMark/>
          </w:tcPr>
          <w:p w14:paraId="421A9F61"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7</w:t>
            </w:r>
          </w:p>
        </w:tc>
        <w:tc>
          <w:tcPr>
            <w:tcW w:w="2829" w:type="dxa"/>
            <w:hideMark/>
          </w:tcPr>
          <w:p w14:paraId="126114EC"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3</w:t>
            </w:r>
          </w:p>
        </w:tc>
      </w:tr>
      <w:tr w:rsidR="00526FE9" w:rsidRPr="008762D1" w14:paraId="6B610C18" w14:textId="77777777" w:rsidTr="00664EC0">
        <w:trPr>
          <w:jc w:val="center"/>
        </w:trPr>
        <w:tc>
          <w:tcPr>
            <w:tcW w:w="3686" w:type="dxa"/>
            <w:hideMark/>
          </w:tcPr>
          <w:p w14:paraId="25277D9E" w14:textId="77777777" w:rsidR="00526FE9" w:rsidRPr="008762D1" w:rsidRDefault="00526FE9" w:rsidP="005574A0">
            <w:pPr>
              <w:pStyle w:val="Textosinformato"/>
              <w:jc w:val="both"/>
              <w:rPr>
                <w:rFonts w:ascii="ITC Avant Garde" w:hAnsi="ITC Avant Garde" w:cs="Arial"/>
                <w:color w:val="000000" w:themeColor="text1"/>
              </w:rPr>
            </w:pPr>
            <w:r w:rsidRPr="008762D1">
              <w:rPr>
                <w:rFonts w:ascii="ITC Avant Garde" w:hAnsi="ITC Avant Garde" w:cs="Arial"/>
                <w:color w:val="000000" w:themeColor="text1"/>
              </w:rPr>
              <w:t xml:space="preserve">Enlace de Transmisión entre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no gestionado</w:t>
            </w:r>
          </w:p>
        </w:tc>
        <w:tc>
          <w:tcPr>
            <w:tcW w:w="1843" w:type="dxa"/>
            <w:hideMark/>
          </w:tcPr>
          <w:p w14:paraId="770ADB8E"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15</w:t>
            </w:r>
          </w:p>
        </w:tc>
        <w:tc>
          <w:tcPr>
            <w:tcW w:w="2829" w:type="dxa"/>
            <w:hideMark/>
          </w:tcPr>
          <w:p w14:paraId="7695C986" w14:textId="77777777" w:rsidR="00526FE9" w:rsidRPr="008762D1" w:rsidRDefault="00526FE9" w:rsidP="005574A0">
            <w:pPr>
              <w:pStyle w:val="Textosinformato"/>
              <w:jc w:val="center"/>
              <w:rPr>
                <w:rFonts w:ascii="ITC Avant Garde" w:hAnsi="ITC Avant Garde" w:cs="Arial"/>
                <w:color w:val="000000" w:themeColor="text1"/>
              </w:rPr>
            </w:pPr>
            <w:r w:rsidRPr="008762D1">
              <w:rPr>
                <w:rFonts w:ascii="ITC Avant Garde" w:hAnsi="ITC Avant Garde" w:cs="Arial"/>
                <w:color w:val="000000" w:themeColor="text1"/>
              </w:rPr>
              <w:t>No aplica</w:t>
            </w:r>
          </w:p>
        </w:tc>
      </w:tr>
    </w:tbl>
    <w:p w14:paraId="569B15DB" w14:textId="77777777" w:rsidR="000F0B9F" w:rsidRPr="008762D1" w:rsidRDefault="00526FE9" w:rsidP="000F0B9F">
      <w:pPr>
        <w:pStyle w:val="Texto"/>
        <w:spacing w:before="240" w:after="0" w:line="240" w:lineRule="auto"/>
        <w:ind w:firstLine="0"/>
        <w:rPr>
          <w:rFonts w:ascii="ITC Avant Garde" w:hAnsi="ITC Avant Garde"/>
          <w:color w:val="000000" w:themeColor="text1"/>
          <w:sz w:val="22"/>
          <w:szCs w:val="22"/>
        </w:rPr>
      </w:pPr>
      <w:r w:rsidRPr="008762D1">
        <w:rPr>
          <w:rFonts w:ascii="ITC Avant Garde" w:hAnsi="ITC Avant Garde"/>
          <w:color w:val="000000" w:themeColor="text1"/>
          <w:sz w:val="22"/>
          <w:szCs w:val="22"/>
        </w:rPr>
        <w:t>En caso de que los servicios solicitados excedan un 20% o más de los pronosticados, los servicios excedentes serán instalados en un plazo definido por mutuo acuerdo bajo esquema de fecha compromiso (</w:t>
      </w:r>
      <w:proofErr w:type="spellStart"/>
      <w:r w:rsidRPr="008762D1">
        <w:rPr>
          <w:rFonts w:ascii="ITC Avant Garde" w:hAnsi="ITC Avant Garde"/>
          <w:color w:val="000000" w:themeColor="text1"/>
          <w:sz w:val="22"/>
          <w:szCs w:val="22"/>
        </w:rPr>
        <w:t>Due</w:t>
      </w:r>
      <w:proofErr w:type="spellEnd"/>
      <w:r w:rsidRPr="008762D1">
        <w:rPr>
          <w:rFonts w:ascii="ITC Avant Garde" w:hAnsi="ITC Avant Garde"/>
          <w:color w:val="000000" w:themeColor="text1"/>
          <w:sz w:val="22"/>
          <w:szCs w:val="22"/>
        </w:rPr>
        <w:t xml:space="preserve"> Date). Situación que será informada al Instituto, junto con las nuevas fechas de entrega.</w:t>
      </w:r>
    </w:p>
    <w:p w14:paraId="673C4C67" w14:textId="61997144" w:rsidR="00526FE9" w:rsidRPr="008762D1" w:rsidRDefault="00526FE9" w:rsidP="000F0B9F">
      <w:pPr>
        <w:pStyle w:val="Texto"/>
        <w:spacing w:before="240" w:after="0" w:line="240" w:lineRule="auto"/>
        <w:ind w:firstLine="0"/>
        <w:rPr>
          <w:rFonts w:ascii="ITC Avant Garde" w:hAnsi="ITC Avant Garde"/>
          <w:color w:val="000000" w:themeColor="text1"/>
          <w:sz w:val="22"/>
          <w:szCs w:val="22"/>
        </w:rPr>
      </w:pPr>
      <w:r w:rsidRPr="008762D1">
        <w:rPr>
          <w:rFonts w:ascii="ITC Avant Garde" w:hAnsi="ITC Avant Garde"/>
          <w:color w:val="000000" w:themeColor="text1"/>
          <w:sz w:val="22"/>
          <w:szCs w:val="22"/>
        </w:rPr>
        <w:t>Cualquier solicitud de servicio adicional fuera de pronóstico será entregada en la fecha en que sea acordada por las partes bajo esquema fecha compromiso (</w:t>
      </w:r>
      <w:proofErr w:type="spellStart"/>
      <w:r w:rsidRPr="008762D1">
        <w:rPr>
          <w:rFonts w:ascii="ITC Avant Garde" w:hAnsi="ITC Avant Garde"/>
          <w:color w:val="000000" w:themeColor="text1"/>
          <w:sz w:val="22"/>
          <w:szCs w:val="22"/>
        </w:rPr>
        <w:t>Due</w:t>
      </w:r>
      <w:proofErr w:type="spellEnd"/>
      <w:r w:rsidRPr="008762D1">
        <w:rPr>
          <w:rFonts w:ascii="ITC Avant Garde" w:hAnsi="ITC Avant Garde"/>
          <w:color w:val="000000" w:themeColor="text1"/>
          <w:sz w:val="22"/>
          <w:szCs w:val="22"/>
        </w:rPr>
        <w:t xml:space="preserve"> Date).</w:t>
      </w:r>
    </w:p>
    <w:p w14:paraId="6C81C967" w14:textId="77777777" w:rsidR="000F0B9F"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En caso de que las partes acuerden una fecha compromiso (</w:t>
      </w:r>
      <w:proofErr w:type="spellStart"/>
      <w:r w:rsidRPr="008762D1">
        <w:rPr>
          <w:rFonts w:ascii="ITC Avant Garde" w:hAnsi="ITC Avant Garde" w:cs="Arial"/>
          <w:color w:val="000000" w:themeColor="text1"/>
        </w:rPr>
        <w:t>Due</w:t>
      </w:r>
      <w:proofErr w:type="spellEnd"/>
      <w:r w:rsidRPr="008762D1">
        <w:rPr>
          <w:rFonts w:ascii="ITC Avant Garde" w:hAnsi="ITC Avant Garde" w:cs="Arial"/>
          <w:color w:val="000000" w:themeColor="text1"/>
        </w:rPr>
        <w:t xml:space="preserve"> Date) con un plazo mayor a los señalados en la tabla anterior, prevalecerá la fecha compromiso acordada.</w:t>
      </w:r>
    </w:p>
    <w:p w14:paraId="26CEAE7B" w14:textId="77777777" w:rsidR="000F0B9F" w:rsidRPr="008762D1" w:rsidRDefault="00526FE9" w:rsidP="000F0B9F">
      <w:pPr>
        <w:tabs>
          <w:tab w:val="center" w:pos="1814"/>
          <w:tab w:val="center" w:pos="5216"/>
          <w:tab w:val="center" w:pos="9214"/>
        </w:tabs>
        <w:spacing w:before="240" w:line="240" w:lineRule="atLeast"/>
        <w:jc w:val="both"/>
        <w:rPr>
          <w:rFonts w:ascii="ITC Avant Garde" w:hAnsi="ITC Avant Garde" w:cs="Arial"/>
          <w:color w:val="000000" w:themeColor="text1"/>
        </w:rPr>
      </w:pPr>
      <w:r w:rsidRPr="008762D1">
        <w:rPr>
          <w:rFonts w:ascii="ITC Avant Garde" w:hAnsi="ITC Avant Garde" w:cs="Arial"/>
          <w:color w:val="000000" w:themeColor="text1"/>
        </w:rPr>
        <w:t>Para la medición del cumplimento de los plazos de entrega no se computarán los días de retraso atribuibles a lo siguiente:</w:t>
      </w:r>
    </w:p>
    <w:p w14:paraId="763082CB" w14:textId="77777777" w:rsidR="000F0B9F" w:rsidRPr="008762D1" w:rsidRDefault="00526FE9" w:rsidP="000F0B9F">
      <w:pPr>
        <w:numPr>
          <w:ilvl w:val="0"/>
          <w:numId w:val="71"/>
        </w:numPr>
        <w:tabs>
          <w:tab w:val="clear" w:pos="746"/>
          <w:tab w:val="num" w:pos="720"/>
          <w:tab w:val="center" w:pos="1814"/>
          <w:tab w:val="center" w:pos="5216"/>
          <w:tab w:val="center" w:pos="9214"/>
        </w:tabs>
        <w:spacing w:before="240" w:after="0" w:line="240" w:lineRule="atLeast"/>
        <w:ind w:left="720"/>
        <w:jc w:val="both"/>
        <w:rPr>
          <w:rFonts w:ascii="ITC Avant Garde" w:hAnsi="ITC Avant Garde" w:cs="Arial"/>
          <w:color w:val="000000" w:themeColor="text1"/>
        </w:rPr>
      </w:pPr>
      <w:r w:rsidRPr="008762D1">
        <w:rPr>
          <w:rFonts w:ascii="ITC Avant Garde" w:hAnsi="ITC Avant Garde" w:cs="Arial"/>
          <w:color w:val="000000" w:themeColor="text1"/>
        </w:rPr>
        <w:t xml:space="preserve">Los que deriven de  una causa de fuerza mayor o caso fortuito, los que de manera enunciativa más no limitativa, pueden consistir en: huracanes, terremotos, incendios, inundaciones, guerras, sismos, motines, explosiones, actos de gobierno, </w:t>
      </w:r>
      <w:proofErr w:type="spellStart"/>
      <w:r w:rsidRPr="008762D1">
        <w:rPr>
          <w:rFonts w:ascii="ITC Avant Garde" w:hAnsi="ITC Avant Garde" w:cs="Arial"/>
          <w:color w:val="000000" w:themeColor="text1"/>
        </w:rPr>
        <w:t>insurreccion</w:t>
      </w:r>
      <w:proofErr w:type="spellEnd"/>
      <w:r w:rsidRPr="008762D1">
        <w:rPr>
          <w:rFonts w:ascii="ITC Avant Garde" w:hAnsi="ITC Avant Garde" w:cs="Arial"/>
          <w:color w:val="000000" w:themeColor="text1"/>
        </w:rPr>
        <w:t>, disturbios, accidentes, condiciones climatológicas adversas.</w:t>
      </w:r>
    </w:p>
    <w:p w14:paraId="07227EDB" w14:textId="1B7D90C8" w:rsidR="000F0B9F" w:rsidRPr="008762D1" w:rsidRDefault="00526FE9" w:rsidP="005574A0">
      <w:pPr>
        <w:numPr>
          <w:ilvl w:val="0"/>
          <w:numId w:val="71"/>
        </w:numPr>
        <w:tabs>
          <w:tab w:val="clear" w:pos="746"/>
          <w:tab w:val="num" w:pos="720"/>
          <w:tab w:val="center" w:pos="1814"/>
          <w:tab w:val="center" w:pos="5216"/>
          <w:tab w:val="center" w:pos="9214"/>
        </w:tabs>
        <w:spacing w:after="0" w:line="240" w:lineRule="atLeast"/>
        <w:ind w:left="720"/>
        <w:jc w:val="both"/>
        <w:rPr>
          <w:rFonts w:ascii="ITC Avant Garde" w:hAnsi="ITC Avant Garde" w:cs="Arial"/>
          <w:color w:val="000000" w:themeColor="text1"/>
        </w:rPr>
      </w:pPr>
      <w:r w:rsidRPr="008762D1">
        <w:rPr>
          <w:rFonts w:ascii="ITC Avant Garde" w:hAnsi="ITC Avant Garde" w:cs="Arial"/>
          <w:color w:val="000000" w:themeColor="text1"/>
        </w:rPr>
        <w:t xml:space="preserve">Los imputables a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rPr>
        <w:t>, los que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14:paraId="510B7772" w14:textId="77777777" w:rsidR="000F0B9F" w:rsidRPr="008762D1" w:rsidRDefault="00526FE9" w:rsidP="005574A0">
      <w:pPr>
        <w:numPr>
          <w:ilvl w:val="0"/>
          <w:numId w:val="71"/>
        </w:numPr>
        <w:tabs>
          <w:tab w:val="clear" w:pos="746"/>
          <w:tab w:val="num" w:pos="720"/>
          <w:tab w:val="center" w:pos="1814"/>
          <w:tab w:val="center" w:pos="5216"/>
          <w:tab w:val="center" w:pos="9214"/>
        </w:tabs>
        <w:spacing w:after="0" w:line="240" w:lineRule="atLeast"/>
        <w:ind w:left="720"/>
        <w:jc w:val="both"/>
        <w:rPr>
          <w:rFonts w:ascii="ITC Avant Garde" w:hAnsi="ITC Avant Garde" w:cs="Arial"/>
          <w:color w:val="000000" w:themeColor="text1"/>
        </w:rPr>
      </w:pPr>
      <w:r w:rsidRPr="008762D1">
        <w:rPr>
          <w:rFonts w:ascii="ITC Avant Garde" w:hAnsi="ITC Avant Garde" w:cs="Arial"/>
          <w:color w:val="000000" w:themeColor="text1"/>
        </w:rPr>
        <w:lastRenderedPageBreak/>
        <w:t>Aquellos no imputables a Telmex,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 realice a los concesionarios de redes públicas de telecomunicaciones para que manifiesten su interés por participar en las nuevas obras civiles.</w:t>
      </w:r>
    </w:p>
    <w:p w14:paraId="4BE687C5" w14:textId="25A1D090" w:rsidR="000F0B9F" w:rsidRPr="008762D1" w:rsidRDefault="00526FE9" w:rsidP="000F0B9F">
      <w:pPr>
        <w:widowControl w:val="0"/>
        <w:numPr>
          <w:ilvl w:val="12"/>
          <w:numId w:val="0"/>
        </w:numPr>
        <w:spacing w:before="240"/>
        <w:jc w:val="both"/>
        <w:rPr>
          <w:rFonts w:ascii="ITC Avant Garde" w:hAnsi="ITC Avant Garde" w:cs="Arial"/>
          <w:color w:val="000000" w:themeColor="text1"/>
          <w:lang w:val="es-ES"/>
        </w:rPr>
      </w:pPr>
      <w:r w:rsidRPr="008762D1">
        <w:rPr>
          <w:rFonts w:ascii="ITC Avant Garde" w:hAnsi="ITC Avant Garde" w:cs="Arial"/>
          <w:color w:val="000000" w:themeColor="text1"/>
        </w:rPr>
        <w:t xml:space="preserve">Con la finalidad de que Telmex pueda realizar la instalación de los elementos necesarios para prestar los servicios contratados,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 xml:space="preserve">deberá notificar a Telmex que los insumos y las adecuaciones, señalados en el Anexo “A”, se encuentran disponibles en ambos  sitios donde se recibirán los servicios contratados. El cómputo de los plazos de entrega se iniciará a partir de la confirmación de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sobre la disponibilidad de los insumos y adecuaciones aludidos y verificados por Telmex.</w:t>
      </w:r>
    </w:p>
    <w:p w14:paraId="492E67F5" w14:textId="40776A09" w:rsidR="000F0B9F"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Una vez que Telmex notifique a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 xml:space="preserve">que el servicio se encuentra terminado, instalado y listo para realizar las pruebas se detendrá el cómputo del plazo de entrega. </w:t>
      </w:r>
    </w:p>
    <w:p w14:paraId="68FCB425" w14:textId="16F71849" w:rsidR="000F0B9F"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Las partes tendrán un plazo de 2 días para realizar las pruebas de transmisión y conmutación y concluir la entrega del servicio. En caso de que dichas pruebas no sean realizables por causas imputables a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 xml:space="preserve">y se venza este plazo, Telmex iniciará la facturación correspondiente y se </w:t>
      </w:r>
      <w:proofErr w:type="spellStart"/>
      <w:r w:rsidRPr="008762D1">
        <w:rPr>
          <w:rFonts w:ascii="ITC Avant Garde" w:hAnsi="ITC Avant Garde" w:cs="Arial"/>
          <w:color w:val="000000" w:themeColor="text1"/>
        </w:rPr>
        <w:t>reagendará</w:t>
      </w:r>
      <w:proofErr w:type="spellEnd"/>
      <w:r w:rsidRPr="008762D1">
        <w:rPr>
          <w:rFonts w:ascii="ITC Avant Garde" w:hAnsi="ITC Avant Garde" w:cs="Arial"/>
          <w:color w:val="000000" w:themeColor="text1"/>
        </w:rPr>
        <w:t xml:space="preserve"> la entrega del servicio cuando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 xml:space="preserve">notifique que se encuentra listo para recibirlo, solo para el caso de que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 xml:space="preserve">contrate enlaces y/o </w:t>
      </w:r>
      <w:proofErr w:type="spellStart"/>
      <w:r w:rsidRPr="008762D1">
        <w:rPr>
          <w:rFonts w:ascii="ITC Avant Garde" w:hAnsi="ITC Avant Garde" w:cs="Arial"/>
          <w:color w:val="000000" w:themeColor="text1"/>
        </w:rPr>
        <w:t>coubicaciones</w:t>
      </w:r>
      <w:proofErr w:type="spellEnd"/>
      <w:r w:rsidRPr="008762D1">
        <w:rPr>
          <w:rFonts w:ascii="ITC Avant Garde" w:hAnsi="ITC Avant Garde" w:cs="Arial"/>
          <w:color w:val="000000" w:themeColor="text1"/>
        </w:rPr>
        <w:t xml:space="preserve"> a Telmex.</w:t>
      </w:r>
    </w:p>
    <w:p w14:paraId="7BFF880D" w14:textId="77777777" w:rsidR="000F0B9F" w:rsidRPr="008762D1" w:rsidRDefault="00526FE9" w:rsidP="000F0B9F">
      <w:pPr>
        <w:pStyle w:val="Textosinformato"/>
        <w:spacing w:before="240"/>
        <w:jc w:val="both"/>
        <w:rPr>
          <w:rFonts w:ascii="ITC Avant Garde" w:hAnsi="ITC Avant Garde" w:cs="Arial"/>
          <w:b/>
          <w:color w:val="000000" w:themeColor="text1"/>
          <w:sz w:val="22"/>
          <w:szCs w:val="22"/>
        </w:rPr>
      </w:pPr>
      <w:r w:rsidRPr="008762D1">
        <w:rPr>
          <w:rFonts w:ascii="ITC Avant Garde" w:hAnsi="ITC Avant Garde" w:cs="Arial"/>
          <w:b/>
          <w:color w:val="000000" w:themeColor="text1"/>
          <w:sz w:val="22"/>
          <w:szCs w:val="22"/>
        </w:rPr>
        <w:t>2. Parámetros de calidad de los servicios de interconexión.</w:t>
      </w:r>
    </w:p>
    <w:p w14:paraId="2199F306" w14:textId="54F991AC"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tramitará todas las llamadas que le sean entregadas por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en las mismas condiciones de calidad que ofrece a sus filiales, afiliadas o subsidiarias.</w:t>
      </w:r>
    </w:p>
    <w:p w14:paraId="4CFEE897"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14:paraId="7662718D"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Definiciones que serán aplicables a este numeral: </w:t>
      </w:r>
    </w:p>
    <w:p w14:paraId="76C201AF" w14:textId="77777777" w:rsidR="000F0B9F" w:rsidRPr="008762D1" w:rsidRDefault="00526FE9" w:rsidP="000F0B9F">
      <w:pPr>
        <w:pStyle w:val="Textosinformato"/>
        <w:numPr>
          <w:ilvl w:val="0"/>
          <w:numId w:val="72"/>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Indisponibilidad.- Periodo de tiempo durante el cual no se cumplen los parámetros mínimos de cada uno de los servicios de interconexión, este tiempo será considerado como tiempo no disponible. </w:t>
      </w:r>
    </w:p>
    <w:p w14:paraId="0257C8F9" w14:textId="77777777" w:rsidR="000F0B9F" w:rsidRPr="008762D1" w:rsidRDefault="00526FE9" w:rsidP="005574A0">
      <w:pPr>
        <w:pStyle w:val="Textosinformato"/>
        <w:numPr>
          <w:ilvl w:val="0"/>
          <w:numId w:val="72"/>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Disponibilidad.- Tiempo total de evaluación menos la suma de todos los tiempos indisponibles dentro del tiempo de evaluación. </w:t>
      </w:r>
    </w:p>
    <w:p w14:paraId="46A3DE86"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2.1 Telmex se obliga al cumplimiento de los siguientes parámetros de calidad: </w:t>
      </w:r>
    </w:p>
    <w:p w14:paraId="6DA6FC3A"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lastRenderedPageBreak/>
        <w:t xml:space="preserve">2.1.1 Parámetros de calidad en las llamadas. </w:t>
      </w:r>
    </w:p>
    <w:p w14:paraId="0BC5D671"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deberá cumplir con las siguientes normas y recomendaciones: </w:t>
      </w:r>
    </w:p>
    <w:p w14:paraId="14108FD2" w14:textId="3A272BBD" w:rsidR="00526FE9" w:rsidRPr="008762D1" w:rsidRDefault="00526FE9" w:rsidP="000F0B9F">
      <w:pPr>
        <w:pStyle w:val="Textosinformato"/>
        <w:numPr>
          <w:ilvl w:val="0"/>
          <w:numId w:val="73"/>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Índices de Sonoridad: recomendaciones G.111, G.121 de la Unión Internacional  de Telecomunicaciones (UIT) </w:t>
      </w:r>
    </w:p>
    <w:p w14:paraId="5A6A28A7"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Estabilidad: recomendaciones G.122, G131 de la UIT </w:t>
      </w:r>
    </w:p>
    <w:p w14:paraId="35A685CE"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Eco: recomendaciones G.122, G131, G.165 de la UIT </w:t>
      </w:r>
    </w:p>
    <w:p w14:paraId="50680255"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Ruido: recomendación G.120 de la UIT </w:t>
      </w:r>
    </w:p>
    <w:p w14:paraId="412E5032"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Degradación de la calidad debido a procesos digitales: recomendación G.113  de la UIT  </w:t>
      </w:r>
    </w:p>
    <w:p w14:paraId="28C7556C"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Comportamiento a Errores: recomendaciones G.921 y M.2100 de la UIT </w:t>
      </w:r>
    </w:p>
    <w:p w14:paraId="0224E01D"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Tasa de deslizamientos: la tasa media de deslizamientos deberá ser 5  deslizamientos en 24 horas, durante &gt; 98.9% del tiempo en un periodo de un  año.</w:t>
      </w:r>
    </w:p>
    <w:p w14:paraId="5BB65DC6"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Ley de Codificación: recomendación G.711 de la UIT. </w:t>
      </w:r>
    </w:p>
    <w:p w14:paraId="7E385955"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Fluctuación de fase: recomendación G.823 de la UIT  </w:t>
      </w:r>
    </w:p>
    <w:p w14:paraId="52C81201"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Retardos: recomendación G.114 de la UIT  </w:t>
      </w:r>
    </w:p>
    <w:p w14:paraId="6067A194"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Ofrecer de manera equitativa y no discriminatoria, el mismo tiempo de  establecimiento y tasa de </w:t>
      </w:r>
      <w:proofErr w:type="spellStart"/>
      <w:r w:rsidRPr="008762D1">
        <w:rPr>
          <w:rFonts w:ascii="ITC Avant Garde" w:hAnsi="ITC Avant Garde" w:cs="Arial"/>
          <w:color w:val="000000" w:themeColor="text1"/>
          <w:sz w:val="22"/>
          <w:szCs w:val="22"/>
        </w:rPr>
        <w:t>completación</w:t>
      </w:r>
      <w:proofErr w:type="spellEnd"/>
      <w:r w:rsidRPr="008762D1">
        <w:rPr>
          <w:rFonts w:ascii="ITC Avant Garde" w:hAnsi="ITC Avant Garde" w:cs="Arial"/>
          <w:color w:val="000000" w:themeColor="text1"/>
          <w:sz w:val="22"/>
          <w:szCs w:val="22"/>
        </w:rPr>
        <w:t xml:space="preserve"> de llamadas, en </w:t>
      </w:r>
      <w:proofErr w:type="spellStart"/>
      <w:r w:rsidRPr="008762D1">
        <w:rPr>
          <w:rFonts w:ascii="ITC Avant Garde" w:hAnsi="ITC Avant Garde" w:cs="Arial"/>
          <w:color w:val="000000" w:themeColor="text1"/>
          <w:sz w:val="22"/>
          <w:szCs w:val="22"/>
        </w:rPr>
        <w:t>originación</w:t>
      </w:r>
      <w:proofErr w:type="spellEnd"/>
      <w:r w:rsidRPr="008762D1">
        <w:rPr>
          <w:rFonts w:ascii="ITC Avant Garde" w:hAnsi="ITC Avant Garde" w:cs="Arial"/>
          <w:color w:val="000000" w:themeColor="text1"/>
          <w:sz w:val="22"/>
          <w:szCs w:val="22"/>
        </w:rPr>
        <w:t xml:space="preserve"> y  terminación, que se presta </w:t>
      </w:r>
      <w:proofErr w:type="spellStart"/>
      <w:r w:rsidRPr="008762D1">
        <w:rPr>
          <w:rFonts w:ascii="ITC Avant Garde" w:hAnsi="ITC Avant Garde" w:cs="Arial"/>
          <w:color w:val="000000" w:themeColor="text1"/>
          <w:sz w:val="22"/>
          <w:szCs w:val="22"/>
        </w:rPr>
        <w:t>así</w:t>
      </w:r>
      <w:proofErr w:type="spellEnd"/>
      <w:r w:rsidRPr="008762D1">
        <w:rPr>
          <w:rFonts w:ascii="ITC Avant Garde" w:hAnsi="ITC Avant Garde" w:cs="Arial"/>
          <w:color w:val="000000" w:themeColor="text1"/>
          <w:sz w:val="22"/>
          <w:szCs w:val="22"/>
        </w:rPr>
        <w:t xml:space="preserve"> mismo o a sus filiales </w:t>
      </w:r>
    </w:p>
    <w:p w14:paraId="54073869" w14:textId="77777777" w:rsidR="000F0B9F"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En los casos de Tránsito, el bloqueo interno deberá ser menor al 1%</w:t>
      </w:r>
    </w:p>
    <w:p w14:paraId="496AC612"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2.1.2 Parámetros de calidad en la transmisión. </w:t>
      </w:r>
    </w:p>
    <w:p w14:paraId="72D17E4B"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deberá cumplir con las siguientes normas y recomendaciones: </w:t>
      </w:r>
    </w:p>
    <w:p w14:paraId="05463807" w14:textId="203D82D9" w:rsidR="00526FE9" w:rsidRPr="008762D1" w:rsidRDefault="00526FE9" w:rsidP="000F0B9F">
      <w:pPr>
        <w:pStyle w:val="Textosinformato"/>
        <w:numPr>
          <w:ilvl w:val="0"/>
          <w:numId w:val="73"/>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Ley de Codificación: recomendación G.711-UIT.</w:t>
      </w:r>
    </w:p>
    <w:p w14:paraId="71E00DE7"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Fluctuación de fase: recomendación G.823-UIT.</w:t>
      </w:r>
    </w:p>
    <w:p w14:paraId="5D9ECE8E" w14:textId="77777777" w:rsidR="000F0B9F"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Retardos: recomendación G.114-UIT</w:t>
      </w:r>
      <w:r w:rsidRPr="008762D1">
        <w:rPr>
          <w:rFonts w:ascii="ITC Avant Garde" w:hAnsi="ITC Avant Garde" w:cs="Arial"/>
          <w:strike/>
          <w:color w:val="000000" w:themeColor="text1"/>
          <w:sz w:val="22"/>
          <w:szCs w:val="22"/>
        </w:rPr>
        <w:t xml:space="preserve"> </w:t>
      </w:r>
    </w:p>
    <w:p w14:paraId="7CC3D903"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2.1.3 Parámetros de calidad en la señalización. </w:t>
      </w:r>
    </w:p>
    <w:p w14:paraId="606C2969"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2.1.3.1 Parámetros de calidad en señalización PAUSI-MX </w:t>
      </w:r>
    </w:p>
    <w:p w14:paraId="5AE67E74"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deberá cumplir con lo siguiente: </w:t>
      </w:r>
    </w:p>
    <w:p w14:paraId="688E9719" w14:textId="307D8866" w:rsidR="00526FE9" w:rsidRPr="008762D1" w:rsidRDefault="00526FE9" w:rsidP="000F0B9F">
      <w:pPr>
        <w:pStyle w:val="Textosinformato"/>
        <w:numPr>
          <w:ilvl w:val="0"/>
          <w:numId w:val="73"/>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Disponer de un par de Puntos de Transferencia de Señalización que controlen todos y cada uno de los dispositivos de conmutación de su red, conectados en  cuadratura</w:t>
      </w:r>
    </w:p>
    <w:p w14:paraId="414786A7"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La Indisponibilidad para las rutas de señalización no deberá ser mayor a 10  minutos por año, según la recomendación Q.706 de la UIT-T. </w:t>
      </w:r>
    </w:p>
    <w:p w14:paraId="70059612" w14:textId="77777777" w:rsidR="00526FE9"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Garantizar la redundancia y diversidad en los enlaces a nivel 64 kbps entre los  Puntos de Señalización y los Puntos de Transferencia de Señalización. </w:t>
      </w:r>
    </w:p>
    <w:p w14:paraId="019501D4" w14:textId="77777777" w:rsidR="000F0B9F" w:rsidRPr="008762D1" w:rsidRDefault="00526FE9" w:rsidP="005574A0">
      <w:pPr>
        <w:pStyle w:val="Textosinformato"/>
        <w:numPr>
          <w:ilvl w:val="0"/>
          <w:numId w:val="73"/>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Cumplir con las disposiciones técnicas IFT-006-2016 e IFT-009-2015. </w:t>
      </w:r>
    </w:p>
    <w:p w14:paraId="13422F68"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2.1.3.2 Parámetros de calidad en señalización SIP </w:t>
      </w:r>
    </w:p>
    <w:p w14:paraId="346CDB2F"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lastRenderedPageBreak/>
        <w:t>Los parámetros de señalización SIP serán los que en su momento acuerden las partes.</w:t>
      </w:r>
    </w:p>
    <w:p w14:paraId="4F354307"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2.1.4 Parámetros de calidad de Puertos de Acceso. Telmex deberá cumplir con lo siguiente: </w:t>
      </w:r>
    </w:p>
    <w:p w14:paraId="7FD3E76D" w14:textId="5F116A96" w:rsidR="000F0B9F" w:rsidRPr="008762D1" w:rsidRDefault="00526FE9" w:rsidP="000F0B9F">
      <w:pPr>
        <w:pStyle w:val="Textosinformato"/>
        <w:numPr>
          <w:ilvl w:val="0"/>
          <w:numId w:val="74"/>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Los puertos de salida de Telmex hacia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deberán estar dimensionados para un  bloqueo menor al 0.5% en las 5 horas de mayor tráfico de cada mes. </w:t>
      </w:r>
    </w:p>
    <w:p w14:paraId="7534E30C"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b/>
          <w:color w:val="000000" w:themeColor="text1"/>
          <w:sz w:val="22"/>
          <w:szCs w:val="22"/>
        </w:rPr>
        <w:t>3. Fallas, mantenimiento y reparaciones</w:t>
      </w:r>
      <w:r w:rsidRPr="008762D1">
        <w:rPr>
          <w:rFonts w:ascii="ITC Avant Garde" w:hAnsi="ITC Avant Garde" w:cs="Arial"/>
          <w:color w:val="000000" w:themeColor="text1"/>
          <w:sz w:val="22"/>
          <w:szCs w:val="22"/>
        </w:rPr>
        <w:t xml:space="preserve">. </w:t>
      </w:r>
    </w:p>
    <w:p w14:paraId="0FBCCA83"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Se considerará como falla:</w:t>
      </w:r>
    </w:p>
    <w:p w14:paraId="493C88D8" w14:textId="08F73BC6" w:rsidR="00526FE9" w:rsidRPr="008762D1" w:rsidRDefault="00526FE9" w:rsidP="000F0B9F">
      <w:pPr>
        <w:pStyle w:val="Textosinformato"/>
        <w:numPr>
          <w:ilvl w:val="0"/>
          <w:numId w:val="75"/>
        </w:numPr>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Enlace o puerto de interconexión totalmente caído;</w:t>
      </w:r>
    </w:p>
    <w:p w14:paraId="325AB224" w14:textId="77777777" w:rsidR="00526FE9" w:rsidRPr="008762D1" w:rsidRDefault="00526FE9" w:rsidP="005574A0">
      <w:pPr>
        <w:pStyle w:val="Textosinformato"/>
        <w:numPr>
          <w:ilvl w:val="0"/>
          <w:numId w:val="75"/>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Pérdida total de llamadas en algún punto entre ambas redes o grave deterioro de la calidad de servicio;</w:t>
      </w:r>
    </w:p>
    <w:p w14:paraId="5C70E997" w14:textId="77777777" w:rsidR="00526FE9" w:rsidRPr="008762D1" w:rsidRDefault="00526FE9" w:rsidP="005574A0">
      <w:pPr>
        <w:pStyle w:val="Textosinformato"/>
        <w:numPr>
          <w:ilvl w:val="0"/>
          <w:numId w:val="75"/>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Corte permanente de circuito o puerto;</w:t>
      </w:r>
    </w:p>
    <w:p w14:paraId="72BE2FE0" w14:textId="77777777" w:rsidR="00526FE9" w:rsidRPr="008762D1" w:rsidRDefault="00526FE9" w:rsidP="005574A0">
      <w:pPr>
        <w:pStyle w:val="Textosinformato"/>
        <w:numPr>
          <w:ilvl w:val="0"/>
          <w:numId w:val="75"/>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Cortes intermitentes o errores en circuito o puerto;</w:t>
      </w:r>
    </w:p>
    <w:p w14:paraId="053FA568" w14:textId="77777777" w:rsidR="00526FE9" w:rsidRPr="008762D1" w:rsidRDefault="00526FE9" w:rsidP="005574A0">
      <w:pPr>
        <w:pStyle w:val="Textosinformato"/>
        <w:numPr>
          <w:ilvl w:val="0"/>
          <w:numId w:val="75"/>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Degradación total del servicio;</w:t>
      </w:r>
    </w:p>
    <w:p w14:paraId="75B93229" w14:textId="77777777" w:rsidR="00526FE9" w:rsidRPr="008762D1" w:rsidRDefault="00526FE9" w:rsidP="005574A0">
      <w:pPr>
        <w:pStyle w:val="Textosinformato"/>
        <w:numPr>
          <w:ilvl w:val="0"/>
          <w:numId w:val="75"/>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Cruces de llamadas en una ruta de interconexión;</w:t>
      </w:r>
    </w:p>
    <w:p w14:paraId="36BFE237" w14:textId="77777777" w:rsidR="000F0B9F" w:rsidRPr="008762D1" w:rsidRDefault="00526FE9" w:rsidP="005574A0">
      <w:pPr>
        <w:pStyle w:val="Textosinformato"/>
        <w:numPr>
          <w:ilvl w:val="0"/>
          <w:numId w:val="75"/>
        </w:numPr>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Corte parcial del servicio sin pérdida de tráfico;</w:t>
      </w:r>
    </w:p>
    <w:p w14:paraId="58D8EA6A"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Se considerará como falla recurrente aquélla que se presenta 3 o más veces sobre un mismo servicio dentro de un lapso de dos meses calendario y cuando éstas se deban a la misma causa. </w:t>
      </w:r>
    </w:p>
    <w:p w14:paraId="38CB883E"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3.1 Sistema de Atención de Fallas. </w:t>
      </w:r>
    </w:p>
    <w:p w14:paraId="0C85F68D"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implementó el SEG que contiene un subsistema de atención de fallas de servicios para el registro, control y seguimiento de los reportes de fallas de servicios de interconexión. Telmex garantizará que todos los reportes de fallas que le sean presentados, para cada tipo de falla, sean registrados en tiempo real en el SEG y atendidos en estricto orden de arribo, de conformidad con el procedimiento contenido en el presente numeral. </w:t>
      </w:r>
    </w:p>
    <w:p w14:paraId="40B8DA15" w14:textId="3E3AF66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A través del SEG el registro de los reportes de fallas se realizará en forma electrónica, con copia al responsable designado por Telmex para atender a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Para cada reporte debidamente registrado, el SEG enviará a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y al responsable, el número de folio consecutivo que le corresponda, para su debida identificación, así como la fecha y hora de recepción, por lo que se considerará para todos los efectos como una comunicación oficial entre Telmex y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w:t>
      </w:r>
    </w:p>
    <w:p w14:paraId="3CA77F41"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Telmex mantendrá en funcionamiento el SEG las 24 horas del día, los 365 días del año, por lo que deberá garantizar la continuidad del sistema y el respaldo de la información.</w:t>
      </w:r>
    </w:p>
    <w:p w14:paraId="545958F4" w14:textId="2011E420"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Telmex deberá habilitar un centro telefónico de atención, así como una dirección de correo electrónico, para que en el supuesto de alguna falla o caída del SEG que impida a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registrar sus reportes, éste lo reportará a Telmex mediante llamada telefónica al Centro de Atención a Operadores (018007134100) y/o al correo electrónico </w:t>
      </w:r>
      <w:r w:rsidRPr="008762D1">
        <w:rPr>
          <w:rFonts w:ascii="ITC Avant Garde" w:hAnsi="ITC Avant Garde" w:cs="Arial"/>
          <w:color w:val="000000" w:themeColor="text1"/>
          <w:sz w:val="22"/>
          <w:szCs w:val="22"/>
        </w:rPr>
        <w:lastRenderedPageBreak/>
        <w:t xml:space="preserve">previstamente habilitado 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telefónica, en el orden cronológico en que fuesen recibidos. Asimismo, enviará a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un correo electrónico con el número de folio correspondiente. </w:t>
      </w:r>
    </w:p>
    <w:p w14:paraId="0E7449FB" w14:textId="19BBDBC9" w:rsidR="00526FE9"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El SEG cuenta con facilidades de generar reportes del estado de los reportes de falla de </w:t>
      </w:r>
      <w:r w:rsidR="007B0A7C" w:rsidRPr="007B0A7C">
        <w:rPr>
          <w:rFonts w:ascii="ITC Avant Garde" w:hAnsi="ITC Avant Garde" w:cs="Arial"/>
          <w:b/>
          <w:color w:val="0000FF"/>
          <w:sz w:val="24"/>
          <w:szCs w:val="24"/>
        </w:rPr>
        <w:t>[…]</w:t>
      </w:r>
      <w:r w:rsidR="007B0A7C" w:rsidRPr="007B0A7C">
        <w:rPr>
          <w:rFonts w:ascii="ITC Avant Garde" w:hAnsi="ITC Avant Garde" w:cs="Arial"/>
          <w:color w:val="000000" w:themeColor="text1"/>
          <w:sz w:val="22"/>
          <w:szCs w:val="22"/>
        </w:rPr>
        <w:t xml:space="preserve">, </w:t>
      </w:r>
      <w:r w:rsidRPr="008762D1">
        <w:rPr>
          <w:rFonts w:ascii="ITC Avant Garde" w:hAnsi="ITC Avant Garde" w:cs="Arial"/>
          <w:color w:val="000000" w:themeColor="text1"/>
          <w:sz w:val="22"/>
          <w:szCs w:val="22"/>
        </w:rPr>
        <w:t>co</w:t>
      </w:r>
      <w:r w:rsidR="007B0A7C">
        <w:rPr>
          <w:rFonts w:ascii="ITC Avant Garde" w:hAnsi="ITC Avant Garde" w:cs="Arial"/>
          <w:color w:val="000000" w:themeColor="text1"/>
          <w:sz w:val="22"/>
          <w:szCs w:val="22"/>
        </w:rPr>
        <w:t>n el siguiente contenido:</w:t>
      </w:r>
    </w:p>
    <w:p w14:paraId="1E46DFC7" w14:textId="77777777" w:rsidR="00526FE9"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 Reportes pendientes de atender y estado en el que se encuentran, incluyendo la  hora y fecha estimada de solución. </w:t>
      </w:r>
    </w:p>
    <w:p w14:paraId="29462D52"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 Reportes solucionados, hora de inicio y hora de solución. </w:t>
      </w:r>
    </w:p>
    <w:p w14:paraId="78D97483" w14:textId="2102000D"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El SEG deberá asegurar la confidencialidad de los datos proporcionados por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permitiéndole el acceso exclusivamente a su propia información, por medio de una contraseña de acceso. La información contenida en el SEG  deberá conservarse cuando menos durante 1 (uno) año.</w:t>
      </w:r>
    </w:p>
    <w:p w14:paraId="48880044"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3.2 Plazos máximos para la solución de fallas. </w:t>
      </w:r>
    </w:p>
    <w:p w14:paraId="2C730BE4" w14:textId="4957CE09" w:rsidR="00526FE9" w:rsidRPr="008762D1" w:rsidRDefault="00526FE9" w:rsidP="000F0B9F">
      <w:pPr>
        <w:tabs>
          <w:tab w:val="center" w:pos="1814"/>
          <w:tab w:val="center" w:pos="5216"/>
          <w:tab w:val="center" w:pos="9214"/>
        </w:tabs>
        <w:spacing w:before="240" w:line="240" w:lineRule="atLeast"/>
        <w:jc w:val="both"/>
        <w:rPr>
          <w:rFonts w:ascii="ITC Avant Garde" w:hAnsi="ITC Avant Garde" w:cs="Arial"/>
          <w:color w:val="000000" w:themeColor="text1"/>
        </w:rPr>
      </w:pPr>
      <w:r w:rsidRPr="008762D1">
        <w:rPr>
          <w:rFonts w:ascii="ITC Avant Garde" w:hAnsi="ITC Avant Garde" w:cs="Arial"/>
          <w:color w:val="000000" w:themeColor="text1"/>
        </w:rPr>
        <w:t>Telmex debe solucionar las fallas reportadas en los plazos máximos de reparación siguientes:</w:t>
      </w:r>
    </w:p>
    <w:tbl>
      <w:tblPr>
        <w:tblStyle w:val="Cuadrculadetablaclara"/>
        <w:tblW w:w="0" w:type="auto"/>
        <w:jc w:val="center"/>
        <w:tblLayout w:type="fixed"/>
        <w:tblLook w:val="04A0" w:firstRow="1" w:lastRow="0" w:firstColumn="1" w:lastColumn="0" w:noHBand="0" w:noVBand="1"/>
        <w:tblCaption w:val="Tabla"/>
        <w:tblDescription w:val="Tipo de Servicio"/>
      </w:tblPr>
      <w:tblGrid>
        <w:gridCol w:w="1909"/>
        <w:gridCol w:w="1800"/>
        <w:gridCol w:w="2070"/>
        <w:gridCol w:w="2250"/>
      </w:tblGrid>
      <w:tr w:rsidR="008762D1" w:rsidRPr="008762D1" w14:paraId="5F18DAD7" w14:textId="77777777" w:rsidTr="007B0A7C">
        <w:trPr>
          <w:tblHeader/>
          <w:jc w:val="center"/>
        </w:trPr>
        <w:tc>
          <w:tcPr>
            <w:tcW w:w="1909" w:type="dxa"/>
            <w:vAlign w:val="center"/>
            <w:hideMark/>
          </w:tcPr>
          <w:p w14:paraId="7C7CD45F" w14:textId="77777777" w:rsidR="00526FE9" w:rsidRPr="008762D1" w:rsidRDefault="00526FE9" w:rsidP="007B0A7C">
            <w:pPr>
              <w:pStyle w:val="Textoindependiente3"/>
              <w:spacing w:after="0"/>
              <w:jc w:val="center"/>
              <w:rPr>
                <w:rStyle w:val="Textoennegrita"/>
                <w:rFonts w:ascii="ITC Avant Garde" w:hAnsi="ITC Avant Garde"/>
                <w:color w:val="000000" w:themeColor="text1"/>
                <w:lang w:val="es-ES"/>
              </w:rPr>
            </w:pPr>
            <w:r w:rsidRPr="008762D1">
              <w:rPr>
                <w:rStyle w:val="Textoennegrita"/>
                <w:rFonts w:ascii="ITC Avant Garde" w:hAnsi="ITC Avant Garde"/>
                <w:color w:val="000000" w:themeColor="text1"/>
                <w:sz w:val="22"/>
                <w:szCs w:val="22"/>
              </w:rPr>
              <w:t>Tipo de Servicio</w:t>
            </w:r>
          </w:p>
        </w:tc>
        <w:tc>
          <w:tcPr>
            <w:tcW w:w="1800" w:type="dxa"/>
            <w:vAlign w:val="center"/>
            <w:hideMark/>
          </w:tcPr>
          <w:p w14:paraId="5BEC47FB" w14:textId="77777777" w:rsidR="00526FE9" w:rsidRPr="008762D1" w:rsidRDefault="00526FE9" w:rsidP="007B0A7C">
            <w:pPr>
              <w:pStyle w:val="Textoindependiente3"/>
              <w:spacing w:after="0"/>
              <w:jc w:val="center"/>
              <w:rPr>
                <w:rStyle w:val="Textoennegrita"/>
                <w:rFonts w:ascii="ITC Avant Garde" w:hAnsi="ITC Avant Garde"/>
                <w:color w:val="000000" w:themeColor="text1"/>
                <w:sz w:val="22"/>
                <w:szCs w:val="22"/>
                <w:lang w:eastAsia="es-ES"/>
              </w:rPr>
            </w:pPr>
            <w:r w:rsidRPr="008762D1">
              <w:rPr>
                <w:rStyle w:val="Textoennegrita"/>
                <w:rFonts w:ascii="ITC Avant Garde" w:hAnsi="ITC Avant Garde"/>
                <w:color w:val="000000" w:themeColor="text1"/>
                <w:sz w:val="22"/>
                <w:szCs w:val="22"/>
              </w:rPr>
              <w:t>Prioridad 1</w:t>
            </w:r>
            <w:r w:rsidRPr="008762D1">
              <w:rPr>
                <w:rFonts w:ascii="ITC Avant Garde" w:hAnsi="ITC Avant Garde"/>
                <w:b/>
                <w:color w:val="000000" w:themeColor="text1"/>
                <w:sz w:val="22"/>
                <w:szCs w:val="22"/>
              </w:rPr>
              <w:br/>
            </w:r>
            <w:r w:rsidRPr="008762D1">
              <w:rPr>
                <w:rStyle w:val="Textoennegrita"/>
                <w:rFonts w:ascii="ITC Avant Garde" w:hAnsi="ITC Avant Garde"/>
                <w:color w:val="000000" w:themeColor="text1"/>
                <w:sz w:val="22"/>
                <w:szCs w:val="22"/>
              </w:rPr>
              <w:t>(Servicio Totalmente Afectado)</w:t>
            </w:r>
          </w:p>
        </w:tc>
        <w:tc>
          <w:tcPr>
            <w:tcW w:w="2070" w:type="dxa"/>
            <w:vAlign w:val="center"/>
            <w:hideMark/>
          </w:tcPr>
          <w:p w14:paraId="1292519C" w14:textId="77777777" w:rsidR="00526FE9" w:rsidRPr="008762D1" w:rsidRDefault="00526FE9" w:rsidP="007B0A7C">
            <w:pPr>
              <w:pStyle w:val="Textoindependiente3"/>
              <w:spacing w:after="0"/>
              <w:jc w:val="center"/>
              <w:rPr>
                <w:rStyle w:val="Textoennegrita"/>
                <w:rFonts w:ascii="ITC Avant Garde" w:hAnsi="ITC Avant Garde"/>
                <w:color w:val="000000" w:themeColor="text1"/>
                <w:sz w:val="22"/>
                <w:szCs w:val="22"/>
              </w:rPr>
            </w:pPr>
            <w:r w:rsidRPr="008762D1">
              <w:rPr>
                <w:rStyle w:val="Textoennegrita"/>
                <w:rFonts w:ascii="ITC Avant Garde" w:hAnsi="ITC Avant Garde"/>
                <w:color w:val="000000" w:themeColor="text1"/>
                <w:sz w:val="22"/>
                <w:szCs w:val="22"/>
              </w:rPr>
              <w:t>Prioridad 2 (Afectación Parcial)</w:t>
            </w:r>
          </w:p>
        </w:tc>
        <w:tc>
          <w:tcPr>
            <w:tcW w:w="2250" w:type="dxa"/>
            <w:vAlign w:val="center"/>
            <w:hideMark/>
          </w:tcPr>
          <w:p w14:paraId="125196F4" w14:textId="77777777" w:rsidR="00526FE9" w:rsidRPr="008762D1" w:rsidRDefault="00526FE9" w:rsidP="007B0A7C">
            <w:pPr>
              <w:pStyle w:val="Textoindependiente3"/>
              <w:spacing w:after="0"/>
              <w:jc w:val="center"/>
              <w:rPr>
                <w:rStyle w:val="Textoennegrita"/>
                <w:rFonts w:ascii="ITC Avant Garde" w:hAnsi="ITC Avant Garde"/>
                <w:color w:val="000000" w:themeColor="text1"/>
                <w:sz w:val="22"/>
                <w:szCs w:val="22"/>
              </w:rPr>
            </w:pPr>
            <w:r w:rsidRPr="008762D1">
              <w:rPr>
                <w:rStyle w:val="Textoennegrita"/>
                <w:rFonts w:ascii="ITC Avant Garde" w:hAnsi="ITC Avant Garde"/>
                <w:color w:val="000000" w:themeColor="text1"/>
                <w:sz w:val="22"/>
                <w:szCs w:val="22"/>
              </w:rPr>
              <w:t>Prioridad 3</w:t>
            </w:r>
          </w:p>
        </w:tc>
      </w:tr>
      <w:tr w:rsidR="00526FE9" w:rsidRPr="008762D1" w14:paraId="7D4C1025" w14:textId="77777777" w:rsidTr="00664EC0">
        <w:trPr>
          <w:jc w:val="center"/>
        </w:trPr>
        <w:tc>
          <w:tcPr>
            <w:tcW w:w="1909" w:type="dxa"/>
          </w:tcPr>
          <w:p w14:paraId="57905FE4" w14:textId="77777777" w:rsidR="00526FE9" w:rsidRPr="008762D1" w:rsidRDefault="00526FE9" w:rsidP="005574A0">
            <w:pPr>
              <w:pStyle w:val="Textoindependiente3"/>
              <w:spacing w:after="0"/>
              <w:rPr>
                <w:rStyle w:val="Textoennegrita"/>
                <w:rFonts w:ascii="ITC Avant Garde" w:hAnsi="ITC Avant Garde"/>
                <w:b w:val="0"/>
                <w:bCs/>
                <w:color w:val="000000" w:themeColor="text1"/>
                <w:sz w:val="22"/>
                <w:szCs w:val="22"/>
              </w:rPr>
            </w:pPr>
            <w:r w:rsidRPr="008762D1">
              <w:rPr>
                <w:rStyle w:val="Textoennegrita"/>
                <w:rFonts w:ascii="ITC Avant Garde" w:hAnsi="ITC Avant Garde"/>
                <w:color w:val="000000" w:themeColor="text1"/>
                <w:sz w:val="22"/>
                <w:szCs w:val="22"/>
              </w:rPr>
              <w:t>Interconexión</w:t>
            </w:r>
          </w:p>
          <w:p w14:paraId="58BB9C59" w14:textId="77777777" w:rsidR="00526FE9" w:rsidRPr="008762D1" w:rsidRDefault="00526FE9" w:rsidP="005574A0">
            <w:pPr>
              <w:pStyle w:val="Textoindependiente3"/>
              <w:spacing w:after="0"/>
              <w:rPr>
                <w:rStyle w:val="Textoennegrita"/>
                <w:rFonts w:ascii="ITC Avant Garde" w:hAnsi="ITC Avant Garde"/>
                <w:b w:val="0"/>
                <w:bCs/>
                <w:color w:val="000000" w:themeColor="text1"/>
                <w:sz w:val="22"/>
                <w:szCs w:val="22"/>
              </w:rPr>
            </w:pPr>
          </w:p>
        </w:tc>
        <w:tc>
          <w:tcPr>
            <w:tcW w:w="1800" w:type="dxa"/>
            <w:hideMark/>
          </w:tcPr>
          <w:p w14:paraId="3069D91A" w14:textId="77777777" w:rsidR="00526FE9" w:rsidRPr="008762D1" w:rsidRDefault="00526FE9" w:rsidP="005574A0">
            <w:pPr>
              <w:pStyle w:val="Textoindependiente3"/>
              <w:spacing w:after="0"/>
              <w:rPr>
                <w:rStyle w:val="Textoennegrita"/>
                <w:rFonts w:ascii="ITC Avant Garde" w:hAnsi="ITC Avant Garde"/>
                <w:b w:val="0"/>
                <w:bCs/>
                <w:color w:val="000000" w:themeColor="text1"/>
                <w:sz w:val="22"/>
                <w:szCs w:val="22"/>
              </w:rPr>
            </w:pPr>
            <w:r w:rsidRPr="008762D1">
              <w:rPr>
                <w:rStyle w:val="Textoennegrita"/>
                <w:rFonts w:ascii="ITC Avant Garde" w:hAnsi="ITC Avant Garde"/>
                <w:color w:val="000000" w:themeColor="text1"/>
                <w:sz w:val="22"/>
                <w:szCs w:val="22"/>
              </w:rPr>
              <w:t xml:space="preserve">1 </w:t>
            </w:r>
            <w:proofErr w:type="spellStart"/>
            <w:r w:rsidRPr="008762D1">
              <w:rPr>
                <w:rStyle w:val="Textoennegrita"/>
                <w:rFonts w:ascii="ITC Avant Garde" w:hAnsi="ITC Avant Garde"/>
                <w:color w:val="000000" w:themeColor="text1"/>
                <w:sz w:val="22"/>
                <w:szCs w:val="22"/>
              </w:rPr>
              <w:t>Hr</w:t>
            </w:r>
            <w:proofErr w:type="spellEnd"/>
          </w:p>
        </w:tc>
        <w:tc>
          <w:tcPr>
            <w:tcW w:w="2070" w:type="dxa"/>
            <w:hideMark/>
          </w:tcPr>
          <w:p w14:paraId="67BA7AF5" w14:textId="77777777" w:rsidR="00526FE9" w:rsidRPr="008762D1" w:rsidRDefault="00526FE9" w:rsidP="005574A0">
            <w:pPr>
              <w:pStyle w:val="Textoindependiente3"/>
              <w:spacing w:after="0"/>
              <w:rPr>
                <w:rStyle w:val="Textoennegrita"/>
                <w:rFonts w:ascii="ITC Avant Garde" w:hAnsi="ITC Avant Garde"/>
                <w:b w:val="0"/>
                <w:bCs/>
                <w:color w:val="000000" w:themeColor="text1"/>
                <w:sz w:val="22"/>
                <w:szCs w:val="22"/>
              </w:rPr>
            </w:pPr>
            <w:r w:rsidRPr="008762D1">
              <w:rPr>
                <w:rStyle w:val="Textoennegrita"/>
                <w:rFonts w:ascii="ITC Avant Garde" w:hAnsi="ITC Avant Garde"/>
                <w:color w:val="000000" w:themeColor="text1"/>
                <w:sz w:val="22"/>
                <w:szCs w:val="22"/>
              </w:rPr>
              <w:t xml:space="preserve">2 </w:t>
            </w:r>
            <w:proofErr w:type="spellStart"/>
            <w:r w:rsidRPr="008762D1">
              <w:rPr>
                <w:rStyle w:val="Textoennegrita"/>
                <w:rFonts w:ascii="ITC Avant Garde" w:hAnsi="ITC Avant Garde"/>
                <w:color w:val="000000" w:themeColor="text1"/>
                <w:sz w:val="22"/>
                <w:szCs w:val="22"/>
              </w:rPr>
              <w:t>Hrs</w:t>
            </w:r>
            <w:proofErr w:type="spellEnd"/>
            <w:r w:rsidRPr="008762D1">
              <w:rPr>
                <w:rStyle w:val="Textoennegrita"/>
                <w:rFonts w:ascii="ITC Avant Garde" w:hAnsi="ITC Avant Garde"/>
                <w:color w:val="000000" w:themeColor="text1"/>
                <w:sz w:val="22"/>
                <w:szCs w:val="22"/>
              </w:rPr>
              <w:t xml:space="preserve"> </w:t>
            </w:r>
          </w:p>
        </w:tc>
        <w:tc>
          <w:tcPr>
            <w:tcW w:w="2250" w:type="dxa"/>
            <w:hideMark/>
          </w:tcPr>
          <w:p w14:paraId="780BF1E7" w14:textId="77777777" w:rsidR="00526FE9" w:rsidRPr="008762D1" w:rsidRDefault="00526FE9" w:rsidP="005574A0">
            <w:pPr>
              <w:pStyle w:val="Textoindependiente3"/>
              <w:spacing w:after="0"/>
              <w:rPr>
                <w:rStyle w:val="Textoennegrita"/>
                <w:rFonts w:ascii="ITC Avant Garde" w:hAnsi="ITC Avant Garde"/>
                <w:b w:val="0"/>
                <w:bCs/>
                <w:color w:val="000000" w:themeColor="text1"/>
                <w:sz w:val="22"/>
                <w:szCs w:val="22"/>
              </w:rPr>
            </w:pPr>
            <w:r w:rsidRPr="008762D1">
              <w:rPr>
                <w:rStyle w:val="Textoennegrita"/>
                <w:rFonts w:ascii="ITC Avant Garde" w:hAnsi="ITC Avant Garde"/>
                <w:color w:val="000000" w:themeColor="text1"/>
                <w:sz w:val="22"/>
                <w:szCs w:val="22"/>
              </w:rPr>
              <w:t xml:space="preserve">5 </w:t>
            </w:r>
            <w:proofErr w:type="spellStart"/>
            <w:r w:rsidRPr="008762D1">
              <w:rPr>
                <w:rStyle w:val="Textoennegrita"/>
                <w:rFonts w:ascii="ITC Avant Garde" w:hAnsi="ITC Avant Garde"/>
                <w:color w:val="000000" w:themeColor="text1"/>
                <w:sz w:val="22"/>
                <w:szCs w:val="22"/>
              </w:rPr>
              <w:t>Hrs</w:t>
            </w:r>
            <w:proofErr w:type="spellEnd"/>
          </w:p>
        </w:tc>
      </w:tr>
    </w:tbl>
    <w:p w14:paraId="3ACC90C3" w14:textId="77777777" w:rsidR="000F0B9F"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Para los plazos de atención de fallas no se computará el tiempo de traslado al sitio de la falla fuera de las ciudades o los retrasos atribuibles a prestadores de servicios o terceros.</w:t>
      </w:r>
    </w:p>
    <w:p w14:paraId="566ABD04" w14:textId="77777777" w:rsidR="000F0B9F" w:rsidRPr="008762D1" w:rsidRDefault="00526FE9" w:rsidP="000F0B9F">
      <w:pPr>
        <w:tabs>
          <w:tab w:val="center" w:pos="1814"/>
          <w:tab w:val="center" w:pos="5216"/>
          <w:tab w:val="center" w:pos="9214"/>
        </w:tabs>
        <w:spacing w:before="240" w:line="240" w:lineRule="atLeast"/>
        <w:jc w:val="both"/>
        <w:rPr>
          <w:rFonts w:ascii="ITC Avant Garde" w:hAnsi="ITC Avant Garde" w:cs="Arial"/>
          <w:color w:val="000000" w:themeColor="text1"/>
        </w:rPr>
      </w:pPr>
      <w:r w:rsidRPr="008762D1">
        <w:rPr>
          <w:rFonts w:ascii="ITC Avant Garde" w:hAnsi="ITC Avant Garde" w:cs="Arial"/>
          <w:color w:val="000000" w:themeColor="text1"/>
        </w:rPr>
        <w:t>La medición del cumplimento de los plazos de reparación de incidencias, se comenzarán a computar a partir de que el concesionario levante el reporte y se genere el folio correspondiente en el Centro de Atención a Operadores o en el SEG.</w:t>
      </w:r>
    </w:p>
    <w:p w14:paraId="187E19C2" w14:textId="77777777" w:rsidR="000F0B9F" w:rsidRPr="008762D1" w:rsidRDefault="00526FE9" w:rsidP="000F0B9F">
      <w:pPr>
        <w:tabs>
          <w:tab w:val="center" w:pos="1814"/>
          <w:tab w:val="center" w:pos="5216"/>
          <w:tab w:val="center" w:pos="9214"/>
        </w:tabs>
        <w:spacing w:before="240" w:line="240" w:lineRule="atLeast"/>
        <w:jc w:val="both"/>
        <w:rPr>
          <w:rFonts w:ascii="ITC Avant Garde" w:hAnsi="ITC Avant Garde" w:cs="Arial"/>
          <w:color w:val="000000" w:themeColor="text1"/>
        </w:rPr>
      </w:pPr>
      <w:r w:rsidRPr="008762D1">
        <w:rPr>
          <w:rFonts w:ascii="ITC Avant Garde" w:hAnsi="ITC Avant Garde" w:cs="Arial"/>
          <w:color w:val="000000" w:themeColor="text1"/>
        </w:rPr>
        <w:t xml:space="preserve">No se computarán aquellos retrasos que deriven de una causa de fuerza mayor o caso fortuito 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w:t>
      </w:r>
      <w:r w:rsidRPr="008762D1">
        <w:rPr>
          <w:rFonts w:ascii="ITC Avant Garde" w:hAnsi="ITC Avant Garde" w:cs="Arial"/>
          <w:color w:val="000000" w:themeColor="text1"/>
        </w:rPr>
        <w:lastRenderedPageBreak/>
        <w:t xml:space="preserve">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8762D1">
        <w:rPr>
          <w:rFonts w:ascii="ITC Avant Garde" w:hAnsi="ITC Avant Garde" w:cs="Arial"/>
          <w:color w:val="000000" w:themeColor="text1"/>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273232E4" w14:textId="77777777" w:rsidR="000F0B9F" w:rsidRPr="008762D1" w:rsidRDefault="00526FE9" w:rsidP="000F0B9F">
      <w:pPr>
        <w:pStyle w:val="Textosinformato"/>
        <w:spacing w:before="240"/>
        <w:jc w:val="both"/>
        <w:rPr>
          <w:rFonts w:ascii="ITC Avant Garde" w:hAnsi="ITC Avant Garde" w:cs="Arial"/>
          <w:b/>
          <w:color w:val="000000" w:themeColor="text1"/>
          <w:sz w:val="22"/>
          <w:szCs w:val="22"/>
        </w:rPr>
      </w:pPr>
      <w:r w:rsidRPr="008762D1">
        <w:rPr>
          <w:rFonts w:ascii="ITC Avant Garde" w:hAnsi="ITC Avant Garde" w:cs="Arial"/>
          <w:b/>
          <w:color w:val="000000" w:themeColor="text1"/>
          <w:sz w:val="22"/>
          <w:szCs w:val="22"/>
        </w:rPr>
        <w:t xml:space="preserve">4. Contingencias. </w:t>
      </w:r>
    </w:p>
    <w:p w14:paraId="18099499" w14:textId="6145E455"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Cuando una falla afecte más del 50% del tráfico de un NIR o no pueda ser resuelta en el plazo máximo establecido en el numeral anterior, Telmex y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aplicarán las medidas siguientes: </w:t>
      </w:r>
    </w:p>
    <w:p w14:paraId="2244B8DE" w14:textId="4ED2A174"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4.1 En caso de que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no pueda terminar tráfico en la red de Telmex luego de haber reportado la falla de acuerdo al procedimiento establecido en el numeral 3 anterior y habiendo transcurrido el plazo máximo para su solución sin haberse restablecido el servicio,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podrá entregar a Telmex las llamadas en un punto  que Telmex defina que no afecte la operación de la red de Telmex y solamente mientras dure la falla y hasta 30 minutos posteriores a su cierre, pagando por dicha terminación las tarifas que hubieran correspondido en caso de no existir la falla. </w:t>
      </w:r>
    </w:p>
    <w:p w14:paraId="3D85DD93" w14:textId="73F6D4D2" w:rsidR="000F0B9F" w:rsidRPr="008762D1" w:rsidRDefault="00526FE9" w:rsidP="000F0B9F">
      <w:pPr>
        <w:autoSpaceDE w:val="0"/>
        <w:autoSpaceDN w:val="0"/>
        <w:adjustRightInd w:val="0"/>
        <w:spacing w:before="240"/>
        <w:jc w:val="both"/>
        <w:rPr>
          <w:rFonts w:ascii="ITC Avant Garde" w:hAnsi="ITC Avant Garde" w:cs="Arial"/>
          <w:color w:val="000000" w:themeColor="text1"/>
          <w:lang w:val="es-ES"/>
        </w:rPr>
      </w:pPr>
      <w:r w:rsidRPr="008762D1">
        <w:rPr>
          <w:rFonts w:ascii="ITC Avant Garde" w:hAnsi="ITC Avant Garde" w:cs="Arial"/>
          <w:color w:val="000000" w:themeColor="text1"/>
        </w:rPr>
        <w:t xml:space="preserve">En el caso de que los enlaces de interconexión sean unidireccionales, ambas redes procederán en dar </w:t>
      </w:r>
      <w:proofErr w:type="spellStart"/>
      <w:r w:rsidRPr="008762D1">
        <w:rPr>
          <w:rFonts w:ascii="ITC Avant Garde" w:hAnsi="ITC Avant Garde" w:cs="Arial"/>
          <w:color w:val="000000" w:themeColor="text1"/>
        </w:rPr>
        <w:t>bidireccionalidad</w:t>
      </w:r>
      <w:proofErr w:type="spellEnd"/>
      <w:r w:rsidRPr="008762D1">
        <w:rPr>
          <w:rFonts w:ascii="ITC Avant Garde" w:hAnsi="ITC Avant Garde" w:cs="Arial"/>
          <w:color w:val="000000" w:themeColor="text1"/>
        </w:rPr>
        <w:t xml:space="preserve"> a estos enlaces para que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rPr>
        <w:t>envíe el tráfico por la ruta bidireccional habilitada por Telmex.</w:t>
      </w:r>
    </w:p>
    <w:p w14:paraId="2B6DE70C" w14:textId="5FDF6C88"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4.2 En caso de que Telmex no pueda terminar tráfico en la red de </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luego de haber reportado la falla de acuerdo al procedimiento establecido en el numeral 3 anterior y habiendo transcurrido el plazo máximo para su solución sin haberse restablecido el servicio, Telmex podrá entregar a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las llamadas en un punto acordado mutuamente y solamente mientras dure la falla y hasta 30 minutos posteriores a su cierre. </w:t>
      </w:r>
    </w:p>
    <w:p w14:paraId="307E931C" w14:textId="3482417F"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En el supuesto del párrafo anterior, Telmex podrá solicitar a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el desborde del tráfico por las rutas unidireccionales que se encuentren disponibles convirtiéndolas en bidireccionales. </w:t>
      </w:r>
    </w:p>
    <w:p w14:paraId="102A9D9B" w14:textId="324587FC" w:rsidR="00526FE9"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Para los plazos de atención de fallas no se computará el tiempo de traslado al sitio de la falla fuera de las ciudades o los retrasos atribuibles a prestadores de servicios o terceros.</w:t>
      </w:r>
    </w:p>
    <w:p w14:paraId="265760A8" w14:textId="77777777" w:rsidR="000F0B9F" w:rsidRPr="008762D1" w:rsidRDefault="00526FE9" w:rsidP="000F0B9F">
      <w:pPr>
        <w:tabs>
          <w:tab w:val="center" w:pos="1814"/>
          <w:tab w:val="center" w:pos="5216"/>
          <w:tab w:val="center" w:pos="9214"/>
        </w:tabs>
        <w:spacing w:before="240" w:line="240" w:lineRule="atLeast"/>
        <w:jc w:val="both"/>
        <w:rPr>
          <w:rFonts w:ascii="ITC Avant Garde" w:hAnsi="ITC Avant Garde" w:cs="Arial"/>
          <w:color w:val="000000" w:themeColor="text1"/>
        </w:rPr>
      </w:pPr>
      <w:r w:rsidRPr="008762D1">
        <w:rPr>
          <w:rFonts w:ascii="ITC Avant Garde" w:hAnsi="ITC Avant Garde" w:cs="Arial"/>
          <w:color w:val="000000" w:themeColor="text1"/>
        </w:rPr>
        <w:t>La medición del cumplimento de los plazos de reparación de incidencias, se comenzarán a computar a partir de que el concesionario levante el reporte correspondiente en el SEG.</w:t>
      </w:r>
    </w:p>
    <w:p w14:paraId="58ECC6BB" w14:textId="77777777" w:rsidR="000F0B9F" w:rsidRPr="008762D1" w:rsidRDefault="00526FE9" w:rsidP="000F0B9F">
      <w:pPr>
        <w:tabs>
          <w:tab w:val="center" w:pos="1814"/>
          <w:tab w:val="center" w:pos="5216"/>
          <w:tab w:val="center" w:pos="9214"/>
        </w:tabs>
        <w:spacing w:before="240" w:line="240" w:lineRule="atLeast"/>
        <w:jc w:val="both"/>
        <w:rPr>
          <w:rFonts w:ascii="ITC Avant Garde" w:hAnsi="ITC Avant Garde" w:cs="Arial"/>
          <w:color w:val="000000" w:themeColor="text1"/>
        </w:rPr>
      </w:pPr>
      <w:r w:rsidRPr="008762D1">
        <w:rPr>
          <w:rFonts w:ascii="ITC Avant Garde" w:hAnsi="ITC Avant Garde" w:cs="Arial"/>
          <w:color w:val="000000" w:themeColor="text1"/>
        </w:rPr>
        <w:t xml:space="preserve">No se computarán aquellos retrasos que deriven de una causa de fuerza mayor o caso fortuito ni aquellos no imputables a Telmex, los que de manera enunciativa más no </w:t>
      </w:r>
      <w:r w:rsidRPr="008762D1">
        <w:rPr>
          <w:rFonts w:ascii="ITC Avant Garde" w:hAnsi="ITC Avant Garde" w:cs="Arial"/>
          <w:color w:val="000000" w:themeColor="text1"/>
        </w:rPr>
        <w:lastRenderedPageBreak/>
        <w:t xml:space="preserve">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8762D1">
        <w:rPr>
          <w:rFonts w:ascii="ITC Avant Garde" w:hAnsi="ITC Avant Garde" w:cs="Arial"/>
          <w:color w:val="000000" w:themeColor="text1"/>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63DCC5F2"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La condición anterior se mantendrá hasta media hora después de restablecerse totalmente el servicio. </w:t>
      </w:r>
    </w:p>
    <w:p w14:paraId="2719D3A8" w14:textId="73121F36"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El presente Anexo “E” se firma por triplicado, por los representantes debidamente facultados de las partes, en la Ciudad de México, el</w:t>
      </w:r>
      <w:r w:rsidR="007B0A7C">
        <w:rPr>
          <w:rFonts w:ascii="ITC Avant Garde" w:hAnsi="ITC Avant Garde" w:cs="Arial"/>
          <w:color w:val="000000" w:themeColor="text1"/>
          <w:sz w:val="22"/>
          <w:szCs w:val="22"/>
        </w:rPr>
        <w:t xml:space="preserve">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de </w:t>
      </w:r>
      <w:r w:rsidR="007B0A7C" w:rsidRPr="007B0A7C">
        <w:rPr>
          <w:rFonts w:ascii="ITC Avant Garde" w:hAnsi="ITC Avant Garde" w:cs="Arial"/>
          <w:b/>
          <w:color w:val="0000FF"/>
          <w:sz w:val="24"/>
          <w:szCs w:val="24"/>
        </w:rPr>
        <w:t xml:space="preserve">[…] </w:t>
      </w:r>
      <w:r w:rsidRPr="008762D1">
        <w:rPr>
          <w:rFonts w:ascii="ITC Avant Garde" w:hAnsi="ITC Avant Garde" w:cs="Arial"/>
          <w:color w:val="000000" w:themeColor="text1"/>
          <w:sz w:val="22"/>
          <w:szCs w:val="22"/>
        </w:rPr>
        <w:t xml:space="preserve"> de 20</w:t>
      </w:r>
      <w:r w:rsidR="007B0A7C" w:rsidRPr="007B0A7C">
        <w:rPr>
          <w:rFonts w:ascii="ITC Avant Garde" w:hAnsi="ITC Avant Garde" w:cs="Arial"/>
          <w:b/>
          <w:color w:val="0000FF"/>
          <w:sz w:val="24"/>
          <w:szCs w:val="24"/>
        </w:rPr>
        <w:t>[…]</w:t>
      </w:r>
      <w:r w:rsidRPr="008762D1">
        <w:rPr>
          <w:rFonts w:ascii="ITC Avant Garde" w:hAnsi="ITC Avant Garde" w:cs="Arial"/>
          <w:color w:val="000000" w:themeColor="text1"/>
          <w:sz w:val="22"/>
          <w:szCs w:val="22"/>
        </w:rPr>
        <w:t xml:space="preserve">. </w:t>
      </w:r>
    </w:p>
    <w:p w14:paraId="517551A8" w14:textId="27A2AED4" w:rsidR="00526FE9" w:rsidRPr="008762D1" w:rsidRDefault="00526FE9" w:rsidP="000F0B9F">
      <w:pPr>
        <w:pStyle w:val="Textosinformato"/>
        <w:spacing w:before="240"/>
        <w:jc w:val="both"/>
        <w:rPr>
          <w:rFonts w:ascii="ITC Avant Garde" w:hAnsi="ITC Avant Garde" w:cs="Arial"/>
          <w:color w:val="000000" w:themeColor="text1"/>
          <w:sz w:val="22"/>
          <w:szCs w:val="22"/>
          <w:lang w:val="es-ES"/>
        </w:rPr>
      </w:pPr>
    </w:p>
    <w:tbl>
      <w:tblPr>
        <w:tblStyle w:val="Cuadrculadetablaclara"/>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Firmas"/>
      </w:tblPr>
      <w:tblGrid>
        <w:gridCol w:w="4752"/>
        <w:gridCol w:w="4608"/>
      </w:tblGrid>
      <w:tr w:rsidR="008762D1" w:rsidRPr="008762D1" w14:paraId="4292F4E8" w14:textId="77777777" w:rsidTr="00D63C9C">
        <w:trPr>
          <w:tblHeader/>
          <w:jc w:val="center"/>
        </w:trPr>
        <w:tc>
          <w:tcPr>
            <w:tcW w:w="4752" w:type="dxa"/>
          </w:tcPr>
          <w:p w14:paraId="1CCA8BDA" w14:textId="77777777"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TELÉFONOS DE MÉXICO</w:t>
            </w:r>
          </w:p>
          <w:p w14:paraId="466640BA" w14:textId="77777777" w:rsidR="000F0B9F"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 S.A.B DE C.V.</w:t>
            </w:r>
          </w:p>
          <w:p w14:paraId="1246A085" w14:textId="70429BF7"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LIC. ALEJANDRO COCA SÁNCHEZ</w:t>
            </w:r>
          </w:p>
          <w:p w14:paraId="3A88BA73" w14:textId="77777777"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c>
          <w:tcPr>
            <w:tcW w:w="4608" w:type="dxa"/>
          </w:tcPr>
          <w:p w14:paraId="2D939D5C" w14:textId="77777777" w:rsidR="007B0A7C" w:rsidRDefault="007B0A7C" w:rsidP="000F0B9F">
            <w:pPr>
              <w:spacing w:before="240"/>
              <w:jc w:val="center"/>
              <w:rPr>
                <w:rFonts w:ascii="ITC Avant Garde" w:hAnsi="ITC Avant Garde" w:cs="Arial"/>
                <w:b/>
                <w:color w:val="0000FF"/>
                <w:sz w:val="24"/>
                <w:szCs w:val="24"/>
              </w:rPr>
            </w:pPr>
            <w:r w:rsidRPr="007B0A7C">
              <w:rPr>
                <w:rFonts w:ascii="ITC Avant Garde" w:hAnsi="ITC Avant Garde" w:cs="Arial"/>
                <w:b/>
                <w:color w:val="0000FF"/>
                <w:sz w:val="24"/>
                <w:szCs w:val="24"/>
              </w:rPr>
              <w:t>[…]</w:t>
            </w:r>
          </w:p>
          <w:p w14:paraId="07758599" w14:textId="13089230"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r>
      <w:tr w:rsidR="00526FE9" w:rsidRPr="008762D1" w14:paraId="2F7938CB" w14:textId="77777777" w:rsidTr="00D63C9C">
        <w:trPr>
          <w:tblHeader/>
          <w:jc w:val="center"/>
        </w:trPr>
        <w:tc>
          <w:tcPr>
            <w:tcW w:w="4752" w:type="dxa"/>
          </w:tcPr>
          <w:p w14:paraId="14847100" w14:textId="6F970C97" w:rsidR="000F0B9F" w:rsidRPr="008762D1" w:rsidRDefault="005574A0"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Testigo</w:t>
            </w:r>
          </w:p>
          <w:p w14:paraId="1C165288" w14:textId="19DA40EB" w:rsidR="007B0A7C" w:rsidRDefault="007B0A7C" w:rsidP="000F0B9F">
            <w:pPr>
              <w:spacing w:before="240"/>
              <w:jc w:val="center"/>
              <w:rPr>
                <w:rFonts w:ascii="ITC Avant Garde" w:hAnsi="ITC Avant Garde" w:cs="Arial"/>
                <w:b/>
                <w:color w:val="0000FF"/>
                <w:sz w:val="24"/>
                <w:szCs w:val="24"/>
              </w:rPr>
            </w:pPr>
            <w:r w:rsidRPr="007B0A7C">
              <w:rPr>
                <w:rFonts w:ascii="ITC Avant Garde" w:hAnsi="ITC Avant Garde" w:cs="Arial"/>
                <w:b/>
                <w:color w:val="0000FF"/>
                <w:sz w:val="24"/>
                <w:szCs w:val="24"/>
              </w:rPr>
              <w:t>[…]</w:t>
            </w:r>
          </w:p>
          <w:p w14:paraId="6F8065F1" w14:textId="1F68EA59"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Por: Teléfonos de México, S.A.B. de C.V.</w:t>
            </w:r>
          </w:p>
        </w:tc>
        <w:tc>
          <w:tcPr>
            <w:tcW w:w="4608" w:type="dxa"/>
          </w:tcPr>
          <w:p w14:paraId="37EFBE27" w14:textId="10CAE9E1" w:rsidR="000F0B9F" w:rsidRPr="008762D1" w:rsidRDefault="005574A0"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Testigo</w:t>
            </w:r>
          </w:p>
          <w:p w14:paraId="14F4507B" w14:textId="086BAF98" w:rsidR="00526FE9" w:rsidRPr="008762D1" w:rsidRDefault="007B0A7C" w:rsidP="000F0B9F">
            <w:pPr>
              <w:spacing w:before="240"/>
              <w:jc w:val="center"/>
              <w:rPr>
                <w:rFonts w:ascii="ITC Avant Garde" w:hAnsi="ITC Avant Garde" w:cs="Arial"/>
                <w:b/>
                <w:color w:val="000000" w:themeColor="text1"/>
                <w:lang w:val="es-ES_tradnl"/>
              </w:rPr>
            </w:pPr>
            <w:r w:rsidRPr="007B0A7C">
              <w:rPr>
                <w:rFonts w:ascii="ITC Avant Garde" w:hAnsi="ITC Avant Garde" w:cs="Arial"/>
                <w:b/>
                <w:color w:val="0000FF"/>
                <w:sz w:val="24"/>
                <w:szCs w:val="24"/>
              </w:rPr>
              <w:t>[…]</w:t>
            </w:r>
          </w:p>
          <w:p w14:paraId="1AF476AB" w14:textId="69FFEAA9" w:rsidR="00526FE9" w:rsidRPr="008762D1" w:rsidRDefault="00526FE9" w:rsidP="000F0B9F">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Por </w:t>
            </w:r>
            <w:r w:rsidR="007B0A7C" w:rsidRPr="007B0A7C">
              <w:rPr>
                <w:rFonts w:ascii="ITC Avant Garde" w:hAnsi="ITC Avant Garde" w:cs="Arial"/>
                <w:b/>
                <w:color w:val="0000FF"/>
                <w:sz w:val="24"/>
                <w:szCs w:val="24"/>
              </w:rPr>
              <w:t>[…]</w:t>
            </w:r>
          </w:p>
        </w:tc>
      </w:tr>
    </w:tbl>
    <w:p w14:paraId="035EBE01" w14:textId="77777777" w:rsidR="000F0B9F" w:rsidRPr="008762D1" w:rsidRDefault="000F0B9F" w:rsidP="000F0B9F">
      <w:pPr>
        <w:pStyle w:val="Textosinformato"/>
        <w:spacing w:before="240"/>
        <w:jc w:val="both"/>
        <w:rPr>
          <w:rFonts w:ascii="ITC Avant Garde" w:hAnsi="ITC Avant Garde" w:cs="Arial"/>
          <w:color w:val="000000" w:themeColor="text1"/>
          <w:sz w:val="22"/>
          <w:szCs w:val="22"/>
          <w:lang w:val="es-ES" w:eastAsia="en-US"/>
        </w:rPr>
      </w:pPr>
    </w:p>
    <w:p w14:paraId="792B1F07" w14:textId="77777777" w:rsidR="00526FE9" w:rsidRPr="008762D1" w:rsidRDefault="00526FE9" w:rsidP="000F0B9F">
      <w:pPr>
        <w:spacing w:before="240"/>
        <w:rPr>
          <w:rFonts w:ascii="ITC Avant Garde" w:hAnsi="ITC Avant Garde"/>
          <w:b/>
          <w:color w:val="000000" w:themeColor="text1"/>
        </w:rPr>
        <w:sectPr w:rsidR="00526FE9" w:rsidRPr="008762D1">
          <w:pgSz w:w="12240" w:h="15840"/>
          <w:pgMar w:top="1985" w:right="1183" w:bottom="567" w:left="1560" w:header="720" w:footer="720" w:gutter="0"/>
          <w:pgNumType w:start="1"/>
          <w:cols w:space="720"/>
        </w:sectPr>
      </w:pPr>
    </w:p>
    <w:p w14:paraId="065252AC" w14:textId="77777777" w:rsidR="00526FE9" w:rsidRPr="008762D1" w:rsidRDefault="00526FE9" w:rsidP="00DA0894">
      <w:pPr>
        <w:pStyle w:val="Ttulo2"/>
        <w:spacing w:before="240" w:after="0"/>
        <w:jc w:val="center"/>
        <w:rPr>
          <w:color w:val="000000" w:themeColor="text1"/>
        </w:rPr>
      </w:pPr>
      <w:r w:rsidRPr="008762D1">
        <w:rPr>
          <w:color w:val="000000" w:themeColor="text1"/>
        </w:rPr>
        <w:lastRenderedPageBreak/>
        <w:t>ANEXO “F”</w:t>
      </w:r>
    </w:p>
    <w:p w14:paraId="145A7309" w14:textId="77777777" w:rsidR="000F0B9F" w:rsidRPr="008762D1" w:rsidRDefault="00526FE9" w:rsidP="000F0B9F">
      <w:pPr>
        <w:pStyle w:val="c2"/>
        <w:spacing w:before="240"/>
        <w:ind w:right="-93"/>
        <w:rPr>
          <w:rFonts w:ascii="ITC Avant Garde" w:hAnsi="ITC Avant Garde"/>
          <w:b/>
          <w:color w:val="000000" w:themeColor="text1"/>
          <w:sz w:val="22"/>
          <w:lang w:val="es-ES"/>
        </w:rPr>
      </w:pPr>
      <w:r w:rsidRPr="008762D1">
        <w:rPr>
          <w:rFonts w:ascii="ITC Avant Garde" w:hAnsi="ITC Avant Garde"/>
          <w:b/>
          <w:color w:val="000000" w:themeColor="text1"/>
          <w:sz w:val="22"/>
          <w:lang w:val="es-ES"/>
        </w:rPr>
        <w:t xml:space="preserve">FORMATO DE </w:t>
      </w:r>
      <w:r w:rsidRPr="008762D1">
        <w:rPr>
          <w:rFonts w:ascii="ITC Avant Garde" w:hAnsi="ITC Avant Garde" w:cs="Arial"/>
          <w:b/>
          <w:bCs/>
          <w:noProof/>
          <w:color w:val="000000" w:themeColor="text1"/>
          <w:sz w:val="22"/>
          <w:szCs w:val="22"/>
          <w:lang w:val="es-ES"/>
        </w:rPr>
        <w:t>PRONÓSTICOS</w:t>
      </w:r>
      <w:r w:rsidRPr="008762D1">
        <w:rPr>
          <w:rFonts w:ascii="ITC Avant Garde" w:hAnsi="ITC Avant Garde"/>
          <w:b/>
          <w:color w:val="000000" w:themeColor="text1"/>
          <w:sz w:val="22"/>
          <w:lang w:val="es-ES"/>
        </w:rPr>
        <w:t xml:space="preserve"> DE PUERTOS, ENLACES DE SEÑALIZACIÓN Y COUBICACIONES.</w:t>
      </w:r>
    </w:p>
    <w:p w14:paraId="4FB00E05" w14:textId="463C8DC4" w:rsidR="00526FE9" w:rsidRPr="008762D1" w:rsidRDefault="00526FE9" w:rsidP="000F0B9F">
      <w:pPr>
        <w:spacing w:before="240"/>
        <w:jc w:val="both"/>
        <w:rPr>
          <w:rFonts w:ascii="ITC Avant Garde" w:hAnsi="ITC Avant Garde"/>
          <w:color w:val="000000" w:themeColor="text1"/>
          <w:lang w:val="es-ES"/>
        </w:rPr>
      </w:pPr>
      <w:r w:rsidRPr="008762D1">
        <w:rPr>
          <w:rFonts w:ascii="ITC Avant Garde" w:hAnsi="ITC Avant Garde"/>
          <w:color w:val="000000" w:themeColor="text1"/>
        </w:rPr>
        <w:t xml:space="preserve">El presente documento constituye un Anexo integrante del Convenio Marco de Prestación de Servicios de Interconexión </w:t>
      </w:r>
      <w:r w:rsidRPr="008762D1">
        <w:rPr>
          <w:rFonts w:ascii="ITC Avant Garde" w:hAnsi="ITC Avant Garde" w:cs="Arial"/>
          <w:color w:val="000000" w:themeColor="text1"/>
        </w:rPr>
        <w:t xml:space="preserve"> </w:t>
      </w:r>
      <w:r w:rsidRPr="008762D1">
        <w:rPr>
          <w:rFonts w:ascii="ITC Avant Garde" w:hAnsi="ITC Avant Garde"/>
          <w:color w:val="000000" w:themeColor="text1"/>
        </w:rPr>
        <w:t xml:space="preserve">celebrado entre TELMEX y </w:t>
      </w:r>
      <w:r w:rsidR="007B0A7C" w:rsidRPr="007B0A7C">
        <w:rPr>
          <w:rFonts w:ascii="ITC Avant Garde" w:hAnsi="ITC Avant Garde" w:cs="Arial"/>
          <w:b/>
          <w:color w:val="0000FF"/>
          <w:sz w:val="24"/>
          <w:szCs w:val="24"/>
        </w:rPr>
        <w:t>[…]</w:t>
      </w:r>
      <w:r w:rsidR="007B0A7C" w:rsidRPr="007B0A7C">
        <w:rPr>
          <w:rFonts w:ascii="ITC Avant Garde" w:hAnsi="ITC Avant Garde"/>
          <w:color w:val="000000" w:themeColor="text1"/>
        </w:rPr>
        <w:t xml:space="preserve">, </w:t>
      </w:r>
      <w:r w:rsidRPr="008762D1">
        <w:rPr>
          <w:rFonts w:ascii="ITC Avant Garde" w:hAnsi="ITC Avant Garde"/>
          <w:color w:val="000000" w:themeColor="text1"/>
        </w:rPr>
        <w:t>relativo a la interconexión de los siguientes Servicios:</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la"/>
        <w:tblDescription w:val="COUBICACIONES"/>
      </w:tblPr>
      <w:tblGrid>
        <w:gridCol w:w="1629"/>
        <w:gridCol w:w="1570"/>
        <w:gridCol w:w="1688"/>
        <w:gridCol w:w="1629"/>
        <w:gridCol w:w="1629"/>
      </w:tblGrid>
      <w:tr w:rsidR="008762D1" w:rsidRPr="008762D1" w14:paraId="1DD8CDBD" w14:textId="77777777" w:rsidTr="005574A0">
        <w:trPr>
          <w:tblHeader/>
          <w:jc w:val="center"/>
        </w:trPr>
        <w:tc>
          <w:tcPr>
            <w:tcW w:w="8145" w:type="dxa"/>
            <w:gridSpan w:val="5"/>
            <w:tcBorders>
              <w:top w:val="single" w:sz="4" w:space="0" w:color="auto"/>
              <w:left w:val="single" w:sz="4" w:space="0" w:color="auto"/>
              <w:bottom w:val="single" w:sz="4" w:space="0" w:color="auto"/>
              <w:right w:val="single" w:sz="4" w:space="0" w:color="auto"/>
            </w:tcBorders>
            <w:hideMark/>
          </w:tcPr>
          <w:p w14:paraId="71C7ECEA" w14:textId="77777777" w:rsidR="00526FE9" w:rsidRPr="008762D1" w:rsidRDefault="00526FE9" w:rsidP="005574A0">
            <w:pPr>
              <w:ind w:right="-93"/>
              <w:jc w:val="center"/>
              <w:rPr>
                <w:rFonts w:ascii="ITC Avant Garde" w:hAnsi="ITC Avant Garde"/>
                <w:color w:val="000000" w:themeColor="text1"/>
                <w:sz w:val="17"/>
                <w:szCs w:val="17"/>
              </w:rPr>
            </w:pPr>
            <w:bookmarkStart w:id="6" w:name="_GoBack" w:colFirst="0" w:colLast="1"/>
            <w:r w:rsidRPr="008762D1">
              <w:rPr>
                <w:rFonts w:ascii="ITC Avant Garde" w:hAnsi="ITC Avant Garde"/>
                <w:b/>
                <w:color w:val="000000" w:themeColor="text1"/>
                <w:sz w:val="17"/>
                <w:szCs w:val="17"/>
              </w:rPr>
              <w:t>COUBICACIONES</w:t>
            </w:r>
          </w:p>
        </w:tc>
      </w:tr>
      <w:tr w:rsidR="008762D1" w:rsidRPr="008762D1" w14:paraId="6E873228" w14:textId="77777777" w:rsidTr="005574A0">
        <w:trPr>
          <w:jc w:val="center"/>
        </w:trPr>
        <w:tc>
          <w:tcPr>
            <w:tcW w:w="3199"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AE072DA"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TELMEX</w:t>
            </w:r>
          </w:p>
        </w:tc>
        <w:tc>
          <w:tcPr>
            <w:tcW w:w="4946"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3FA315C6" w14:textId="77777777" w:rsidR="00526FE9" w:rsidRPr="008762D1" w:rsidRDefault="00526FE9" w:rsidP="005574A0">
            <w:pPr>
              <w:pStyle w:val="Ttulo4"/>
              <w:spacing w:before="0"/>
              <w:ind w:right="-93"/>
              <w:jc w:val="center"/>
              <w:rPr>
                <w:rFonts w:ascii="ITC Avant Garde" w:hAnsi="ITC Avant Garde"/>
                <w:b w:val="0"/>
                <w:color w:val="000000" w:themeColor="text1"/>
                <w:sz w:val="17"/>
                <w:szCs w:val="17"/>
              </w:rPr>
            </w:pPr>
            <w:r w:rsidRPr="008762D1">
              <w:rPr>
                <w:rFonts w:ascii="ITC Avant Garde" w:hAnsi="ITC Avant Garde"/>
                <w:b w:val="0"/>
                <w:color w:val="000000" w:themeColor="text1"/>
                <w:sz w:val="17"/>
                <w:szCs w:val="17"/>
              </w:rPr>
              <w:t>CONCESIONARIO SOLICITANTE</w:t>
            </w:r>
          </w:p>
        </w:tc>
      </w:tr>
      <w:tr w:rsidR="008762D1" w:rsidRPr="008762D1" w14:paraId="0872A7B4" w14:textId="77777777" w:rsidTr="005574A0">
        <w:trPr>
          <w:jc w:val="center"/>
        </w:trPr>
        <w:tc>
          <w:tcPr>
            <w:tcW w:w="1629" w:type="dxa"/>
            <w:tcBorders>
              <w:top w:val="single" w:sz="4" w:space="0" w:color="auto"/>
              <w:left w:val="single" w:sz="4" w:space="0" w:color="auto"/>
              <w:bottom w:val="single" w:sz="4" w:space="0" w:color="auto"/>
              <w:right w:val="single" w:sz="4" w:space="0" w:color="auto"/>
            </w:tcBorders>
            <w:shd w:val="clear" w:color="auto" w:fill="E6E6E6"/>
            <w:hideMark/>
          </w:tcPr>
          <w:p w14:paraId="539C1194"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Ciudad</w:t>
            </w:r>
          </w:p>
        </w:tc>
        <w:tc>
          <w:tcPr>
            <w:tcW w:w="1570" w:type="dxa"/>
            <w:tcBorders>
              <w:top w:val="single" w:sz="4" w:space="0" w:color="auto"/>
              <w:left w:val="single" w:sz="4" w:space="0" w:color="auto"/>
              <w:bottom w:val="single" w:sz="4" w:space="0" w:color="auto"/>
              <w:right w:val="single" w:sz="4" w:space="0" w:color="auto"/>
            </w:tcBorders>
            <w:shd w:val="clear" w:color="auto" w:fill="E6E6E6"/>
            <w:hideMark/>
          </w:tcPr>
          <w:p w14:paraId="255B4E15"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PDIC</w:t>
            </w:r>
          </w:p>
        </w:tc>
        <w:tc>
          <w:tcPr>
            <w:tcW w:w="1688" w:type="dxa"/>
            <w:tcBorders>
              <w:top w:val="single" w:sz="4" w:space="0" w:color="auto"/>
              <w:left w:val="single" w:sz="4" w:space="0" w:color="auto"/>
              <w:bottom w:val="single" w:sz="4" w:space="0" w:color="auto"/>
              <w:right w:val="single" w:sz="4" w:space="0" w:color="auto"/>
            </w:tcBorders>
            <w:shd w:val="clear" w:color="auto" w:fill="E6E6E6"/>
            <w:hideMark/>
          </w:tcPr>
          <w:p w14:paraId="3ACF4403"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Ciudad</w:t>
            </w:r>
          </w:p>
        </w:tc>
        <w:tc>
          <w:tcPr>
            <w:tcW w:w="1629" w:type="dxa"/>
            <w:tcBorders>
              <w:top w:val="single" w:sz="4" w:space="0" w:color="auto"/>
              <w:left w:val="single" w:sz="4" w:space="0" w:color="auto"/>
              <w:bottom w:val="single" w:sz="4" w:space="0" w:color="auto"/>
              <w:right w:val="single" w:sz="4" w:space="0" w:color="auto"/>
            </w:tcBorders>
            <w:shd w:val="clear" w:color="auto" w:fill="E6E6E6"/>
            <w:hideMark/>
          </w:tcPr>
          <w:p w14:paraId="3C70EC66"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Dirección</w:t>
            </w:r>
          </w:p>
        </w:tc>
        <w:tc>
          <w:tcPr>
            <w:tcW w:w="1629" w:type="dxa"/>
            <w:tcBorders>
              <w:top w:val="single" w:sz="4" w:space="0" w:color="auto"/>
              <w:left w:val="single" w:sz="4" w:space="0" w:color="auto"/>
              <w:bottom w:val="single" w:sz="4" w:space="0" w:color="auto"/>
              <w:right w:val="single" w:sz="4" w:space="0" w:color="auto"/>
            </w:tcBorders>
            <w:shd w:val="clear" w:color="auto" w:fill="E6E6E6"/>
            <w:hideMark/>
          </w:tcPr>
          <w:p w14:paraId="5329DF91"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Mes</w:t>
            </w:r>
          </w:p>
        </w:tc>
      </w:tr>
      <w:tr w:rsidR="008762D1" w:rsidRPr="008762D1" w14:paraId="3C8F4FE6" w14:textId="77777777" w:rsidTr="005574A0">
        <w:trPr>
          <w:trHeight w:val="355"/>
          <w:jc w:val="center"/>
        </w:trPr>
        <w:tc>
          <w:tcPr>
            <w:tcW w:w="8145" w:type="dxa"/>
            <w:gridSpan w:val="5"/>
            <w:tcBorders>
              <w:top w:val="single" w:sz="4" w:space="0" w:color="auto"/>
              <w:left w:val="single" w:sz="4" w:space="0" w:color="auto"/>
              <w:bottom w:val="single" w:sz="4" w:space="0" w:color="auto"/>
              <w:right w:val="single" w:sz="4" w:space="0" w:color="auto"/>
            </w:tcBorders>
            <w:vAlign w:val="center"/>
            <w:hideMark/>
          </w:tcPr>
          <w:p w14:paraId="319858B1"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SEMESTRE ____</w:t>
            </w:r>
          </w:p>
        </w:tc>
      </w:tr>
      <w:tr w:rsidR="008762D1" w:rsidRPr="008762D1" w14:paraId="253C32A5" w14:textId="77777777" w:rsidTr="005574A0">
        <w:trPr>
          <w:jc w:val="center"/>
        </w:trPr>
        <w:tc>
          <w:tcPr>
            <w:tcW w:w="1629" w:type="dxa"/>
            <w:tcBorders>
              <w:top w:val="single" w:sz="4" w:space="0" w:color="auto"/>
              <w:left w:val="single" w:sz="4" w:space="0" w:color="auto"/>
              <w:bottom w:val="single" w:sz="4" w:space="0" w:color="auto"/>
              <w:right w:val="single" w:sz="4" w:space="0" w:color="auto"/>
            </w:tcBorders>
          </w:tcPr>
          <w:p w14:paraId="60F8FCF9" w14:textId="77777777" w:rsidR="00526FE9" w:rsidRPr="008762D1" w:rsidRDefault="00526FE9" w:rsidP="005574A0">
            <w:pPr>
              <w:ind w:right="-93"/>
              <w:jc w:val="both"/>
              <w:rPr>
                <w:rFonts w:ascii="ITC Avant Garde" w:hAnsi="ITC Avant Garde"/>
                <w:color w:val="000000" w:themeColor="text1"/>
                <w:sz w:val="17"/>
                <w:szCs w:val="17"/>
              </w:rPr>
            </w:pPr>
          </w:p>
        </w:tc>
        <w:tc>
          <w:tcPr>
            <w:tcW w:w="1570" w:type="dxa"/>
            <w:tcBorders>
              <w:top w:val="single" w:sz="4" w:space="0" w:color="auto"/>
              <w:left w:val="single" w:sz="4" w:space="0" w:color="auto"/>
              <w:bottom w:val="single" w:sz="4" w:space="0" w:color="auto"/>
              <w:right w:val="single" w:sz="4" w:space="0" w:color="auto"/>
            </w:tcBorders>
          </w:tcPr>
          <w:p w14:paraId="4B0DD52B" w14:textId="77777777" w:rsidR="00526FE9" w:rsidRPr="008762D1" w:rsidRDefault="00526FE9" w:rsidP="005574A0">
            <w:pPr>
              <w:ind w:right="-93"/>
              <w:jc w:val="both"/>
              <w:rPr>
                <w:rFonts w:ascii="ITC Avant Garde" w:hAnsi="ITC Avant Garde"/>
                <w:color w:val="000000" w:themeColor="text1"/>
                <w:sz w:val="17"/>
                <w:szCs w:val="17"/>
              </w:rPr>
            </w:pPr>
          </w:p>
        </w:tc>
        <w:tc>
          <w:tcPr>
            <w:tcW w:w="1688" w:type="dxa"/>
            <w:tcBorders>
              <w:top w:val="single" w:sz="4" w:space="0" w:color="auto"/>
              <w:left w:val="single" w:sz="4" w:space="0" w:color="auto"/>
              <w:bottom w:val="single" w:sz="4" w:space="0" w:color="auto"/>
              <w:right w:val="single" w:sz="4" w:space="0" w:color="auto"/>
            </w:tcBorders>
          </w:tcPr>
          <w:p w14:paraId="6CB79DFF"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5B35357F"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23523EB4"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1F9297C3" w14:textId="77777777" w:rsidTr="005574A0">
        <w:trPr>
          <w:jc w:val="center"/>
        </w:trPr>
        <w:tc>
          <w:tcPr>
            <w:tcW w:w="1629" w:type="dxa"/>
            <w:tcBorders>
              <w:top w:val="single" w:sz="4" w:space="0" w:color="auto"/>
              <w:left w:val="single" w:sz="4" w:space="0" w:color="auto"/>
              <w:bottom w:val="single" w:sz="4" w:space="0" w:color="auto"/>
              <w:right w:val="single" w:sz="4" w:space="0" w:color="auto"/>
            </w:tcBorders>
          </w:tcPr>
          <w:p w14:paraId="116FA0B6" w14:textId="77777777" w:rsidR="00526FE9" w:rsidRPr="008762D1" w:rsidRDefault="00526FE9" w:rsidP="005574A0">
            <w:pPr>
              <w:ind w:right="-93"/>
              <w:jc w:val="both"/>
              <w:rPr>
                <w:rFonts w:ascii="ITC Avant Garde" w:hAnsi="ITC Avant Garde"/>
                <w:color w:val="000000" w:themeColor="text1"/>
                <w:sz w:val="17"/>
                <w:szCs w:val="17"/>
              </w:rPr>
            </w:pPr>
          </w:p>
        </w:tc>
        <w:tc>
          <w:tcPr>
            <w:tcW w:w="1570" w:type="dxa"/>
            <w:tcBorders>
              <w:top w:val="single" w:sz="4" w:space="0" w:color="auto"/>
              <w:left w:val="single" w:sz="4" w:space="0" w:color="auto"/>
              <w:bottom w:val="single" w:sz="4" w:space="0" w:color="auto"/>
              <w:right w:val="single" w:sz="4" w:space="0" w:color="auto"/>
            </w:tcBorders>
          </w:tcPr>
          <w:p w14:paraId="02752583" w14:textId="77777777" w:rsidR="00526FE9" w:rsidRPr="008762D1" w:rsidRDefault="00526FE9" w:rsidP="005574A0">
            <w:pPr>
              <w:ind w:right="-93"/>
              <w:jc w:val="both"/>
              <w:rPr>
                <w:rFonts w:ascii="ITC Avant Garde" w:hAnsi="ITC Avant Garde"/>
                <w:color w:val="000000" w:themeColor="text1"/>
                <w:sz w:val="17"/>
                <w:szCs w:val="17"/>
              </w:rPr>
            </w:pPr>
          </w:p>
        </w:tc>
        <w:tc>
          <w:tcPr>
            <w:tcW w:w="1688" w:type="dxa"/>
            <w:tcBorders>
              <w:top w:val="single" w:sz="4" w:space="0" w:color="auto"/>
              <w:left w:val="single" w:sz="4" w:space="0" w:color="auto"/>
              <w:bottom w:val="single" w:sz="4" w:space="0" w:color="auto"/>
              <w:right w:val="single" w:sz="4" w:space="0" w:color="auto"/>
            </w:tcBorders>
          </w:tcPr>
          <w:p w14:paraId="632CB953"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45CEA1D6"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232362D0"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3CE6B98D" w14:textId="77777777" w:rsidTr="005574A0">
        <w:trPr>
          <w:jc w:val="center"/>
        </w:trPr>
        <w:tc>
          <w:tcPr>
            <w:tcW w:w="1629" w:type="dxa"/>
            <w:tcBorders>
              <w:top w:val="single" w:sz="4" w:space="0" w:color="auto"/>
              <w:left w:val="single" w:sz="4" w:space="0" w:color="auto"/>
              <w:bottom w:val="single" w:sz="4" w:space="0" w:color="auto"/>
              <w:right w:val="single" w:sz="4" w:space="0" w:color="auto"/>
            </w:tcBorders>
          </w:tcPr>
          <w:p w14:paraId="55D4D148" w14:textId="77777777" w:rsidR="00526FE9" w:rsidRPr="008762D1" w:rsidRDefault="00526FE9" w:rsidP="005574A0">
            <w:pPr>
              <w:ind w:right="-93"/>
              <w:jc w:val="both"/>
              <w:rPr>
                <w:rFonts w:ascii="ITC Avant Garde" w:hAnsi="ITC Avant Garde"/>
                <w:color w:val="000000" w:themeColor="text1"/>
                <w:sz w:val="17"/>
                <w:szCs w:val="17"/>
              </w:rPr>
            </w:pPr>
          </w:p>
        </w:tc>
        <w:tc>
          <w:tcPr>
            <w:tcW w:w="1570" w:type="dxa"/>
            <w:tcBorders>
              <w:top w:val="single" w:sz="4" w:space="0" w:color="auto"/>
              <w:left w:val="single" w:sz="4" w:space="0" w:color="auto"/>
              <w:bottom w:val="single" w:sz="4" w:space="0" w:color="auto"/>
              <w:right w:val="single" w:sz="4" w:space="0" w:color="auto"/>
            </w:tcBorders>
          </w:tcPr>
          <w:p w14:paraId="606D8EE5" w14:textId="77777777" w:rsidR="00526FE9" w:rsidRPr="008762D1" w:rsidRDefault="00526FE9" w:rsidP="005574A0">
            <w:pPr>
              <w:ind w:right="-93"/>
              <w:jc w:val="both"/>
              <w:rPr>
                <w:rFonts w:ascii="ITC Avant Garde" w:hAnsi="ITC Avant Garde"/>
                <w:color w:val="000000" w:themeColor="text1"/>
                <w:sz w:val="17"/>
                <w:szCs w:val="17"/>
              </w:rPr>
            </w:pPr>
          </w:p>
        </w:tc>
        <w:tc>
          <w:tcPr>
            <w:tcW w:w="1688" w:type="dxa"/>
            <w:tcBorders>
              <w:top w:val="single" w:sz="4" w:space="0" w:color="auto"/>
              <w:left w:val="single" w:sz="4" w:space="0" w:color="auto"/>
              <w:bottom w:val="single" w:sz="4" w:space="0" w:color="auto"/>
              <w:right w:val="single" w:sz="4" w:space="0" w:color="auto"/>
            </w:tcBorders>
          </w:tcPr>
          <w:p w14:paraId="660FDBED"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09751327"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6B6C82E7"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4FFEF791" w14:textId="77777777" w:rsidTr="005574A0">
        <w:trPr>
          <w:jc w:val="center"/>
        </w:trPr>
        <w:tc>
          <w:tcPr>
            <w:tcW w:w="1629" w:type="dxa"/>
            <w:tcBorders>
              <w:top w:val="single" w:sz="4" w:space="0" w:color="auto"/>
              <w:left w:val="single" w:sz="4" w:space="0" w:color="auto"/>
              <w:bottom w:val="single" w:sz="4" w:space="0" w:color="auto"/>
              <w:right w:val="single" w:sz="4" w:space="0" w:color="auto"/>
            </w:tcBorders>
          </w:tcPr>
          <w:p w14:paraId="7A6923C5" w14:textId="77777777" w:rsidR="00526FE9" w:rsidRPr="008762D1" w:rsidRDefault="00526FE9" w:rsidP="005574A0">
            <w:pPr>
              <w:ind w:right="-93"/>
              <w:jc w:val="both"/>
              <w:rPr>
                <w:rFonts w:ascii="ITC Avant Garde" w:hAnsi="ITC Avant Garde"/>
                <w:color w:val="000000" w:themeColor="text1"/>
                <w:sz w:val="17"/>
                <w:szCs w:val="17"/>
              </w:rPr>
            </w:pPr>
          </w:p>
        </w:tc>
        <w:tc>
          <w:tcPr>
            <w:tcW w:w="1570" w:type="dxa"/>
            <w:tcBorders>
              <w:top w:val="single" w:sz="4" w:space="0" w:color="auto"/>
              <w:left w:val="single" w:sz="4" w:space="0" w:color="auto"/>
              <w:bottom w:val="single" w:sz="4" w:space="0" w:color="auto"/>
              <w:right w:val="single" w:sz="4" w:space="0" w:color="auto"/>
            </w:tcBorders>
          </w:tcPr>
          <w:p w14:paraId="2E8E3CB2" w14:textId="77777777" w:rsidR="00526FE9" w:rsidRPr="008762D1" w:rsidRDefault="00526FE9" w:rsidP="005574A0">
            <w:pPr>
              <w:ind w:right="-93"/>
              <w:jc w:val="both"/>
              <w:rPr>
                <w:rFonts w:ascii="ITC Avant Garde" w:hAnsi="ITC Avant Garde"/>
                <w:color w:val="000000" w:themeColor="text1"/>
                <w:sz w:val="17"/>
                <w:szCs w:val="17"/>
              </w:rPr>
            </w:pPr>
          </w:p>
        </w:tc>
        <w:tc>
          <w:tcPr>
            <w:tcW w:w="1688" w:type="dxa"/>
            <w:tcBorders>
              <w:top w:val="single" w:sz="4" w:space="0" w:color="auto"/>
              <w:left w:val="single" w:sz="4" w:space="0" w:color="auto"/>
              <w:bottom w:val="single" w:sz="4" w:space="0" w:color="auto"/>
              <w:right w:val="single" w:sz="4" w:space="0" w:color="auto"/>
            </w:tcBorders>
          </w:tcPr>
          <w:p w14:paraId="21BB4385"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281A0A67"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0A0DD708"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6F6BE078" w14:textId="77777777" w:rsidTr="005574A0">
        <w:trPr>
          <w:jc w:val="center"/>
        </w:trPr>
        <w:tc>
          <w:tcPr>
            <w:tcW w:w="1629" w:type="dxa"/>
            <w:tcBorders>
              <w:top w:val="single" w:sz="4" w:space="0" w:color="auto"/>
              <w:left w:val="single" w:sz="4" w:space="0" w:color="auto"/>
              <w:bottom w:val="single" w:sz="4" w:space="0" w:color="auto"/>
              <w:right w:val="single" w:sz="4" w:space="0" w:color="auto"/>
            </w:tcBorders>
          </w:tcPr>
          <w:p w14:paraId="036C4F38" w14:textId="77777777" w:rsidR="00526FE9" w:rsidRPr="008762D1" w:rsidRDefault="00526FE9" w:rsidP="005574A0">
            <w:pPr>
              <w:ind w:right="-93"/>
              <w:jc w:val="both"/>
              <w:rPr>
                <w:rFonts w:ascii="ITC Avant Garde" w:hAnsi="ITC Avant Garde"/>
                <w:color w:val="000000" w:themeColor="text1"/>
                <w:sz w:val="17"/>
                <w:szCs w:val="17"/>
              </w:rPr>
            </w:pPr>
          </w:p>
        </w:tc>
        <w:tc>
          <w:tcPr>
            <w:tcW w:w="1570" w:type="dxa"/>
            <w:tcBorders>
              <w:top w:val="single" w:sz="4" w:space="0" w:color="auto"/>
              <w:left w:val="single" w:sz="4" w:space="0" w:color="auto"/>
              <w:bottom w:val="single" w:sz="4" w:space="0" w:color="auto"/>
              <w:right w:val="single" w:sz="4" w:space="0" w:color="auto"/>
            </w:tcBorders>
          </w:tcPr>
          <w:p w14:paraId="6D27CD24" w14:textId="77777777" w:rsidR="00526FE9" w:rsidRPr="008762D1" w:rsidRDefault="00526FE9" w:rsidP="005574A0">
            <w:pPr>
              <w:ind w:right="-93"/>
              <w:jc w:val="both"/>
              <w:rPr>
                <w:rFonts w:ascii="ITC Avant Garde" w:hAnsi="ITC Avant Garde"/>
                <w:color w:val="000000" w:themeColor="text1"/>
                <w:sz w:val="17"/>
                <w:szCs w:val="17"/>
              </w:rPr>
            </w:pPr>
          </w:p>
        </w:tc>
        <w:tc>
          <w:tcPr>
            <w:tcW w:w="1688" w:type="dxa"/>
            <w:tcBorders>
              <w:top w:val="single" w:sz="4" w:space="0" w:color="auto"/>
              <w:left w:val="single" w:sz="4" w:space="0" w:color="auto"/>
              <w:bottom w:val="single" w:sz="4" w:space="0" w:color="auto"/>
              <w:right w:val="single" w:sz="4" w:space="0" w:color="auto"/>
            </w:tcBorders>
          </w:tcPr>
          <w:p w14:paraId="2AF5C7F4"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3204A871"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77BED7DB" w14:textId="77777777" w:rsidR="00526FE9" w:rsidRPr="008762D1" w:rsidRDefault="00526FE9" w:rsidP="005574A0">
            <w:pPr>
              <w:ind w:right="-93"/>
              <w:jc w:val="both"/>
              <w:rPr>
                <w:rFonts w:ascii="ITC Avant Garde" w:hAnsi="ITC Avant Garde"/>
                <w:color w:val="000000" w:themeColor="text1"/>
                <w:sz w:val="17"/>
                <w:szCs w:val="17"/>
              </w:rPr>
            </w:pPr>
          </w:p>
        </w:tc>
      </w:tr>
      <w:tr w:rsidR="00526FE9" w:rsidRPr="008762D1" w14:paraId="18C9782E" w14:textId="77777777" w:rsidTr="005574A0">
        <w:trPr>
          <w:jc w:val="center"/>
        </w:trPr>
        <w:tc>
          <w:tcPr>
            <w:tcW w:w="1629" w:type="dxa"/>
            <w:tcBorders>
              <w:top w:val="single" w:sz="4" w:space="0" w:color="auto"/>
              <w:left w:val="single" w:sz="4" w:space="0" w:color="auto"/>
              <w:bottom w:val="single" w:sz="4" w:space="0" w:color="auto"/>
              <w:right w:val="single" w:sz="4" w:space="0" w:color="auto"/>
            </w:tcBorders>
          </w:tcPr>
          <w:p w14:paraId="188F5BCC" w14:textId="77777777" w:rsidR="00526FE9" w:rsidRPr="008762D1" w:rsidRDefault="00526FE9" w:rsidP="005574A0">
            <w:pPr>
              <w:ind w:right="-93"/>
              <w:jc w:val="both"/>
              <w:rPr>
                <w:rFonts w:ascii="ITC Avant Garde" w:hAnsi="ITC Avant Garde"/>
                <w:color w:val="000000" w:themeColor="text1"/>
                <w:sz w:val="17"/>
                <w:szCs w:val="17"/>
              </w:rPr>
            </w:pPr>
          </w:p>
        </w:tc>
        <w:tc>
          <w:tcPr>
            <w:tcW w:w="1570" w:type="dxa"/>
            <w:tcBorders>
              <w:top w:val="single" w:sz="4" w:space="0" w:color="auto"/>
              <w:left w:val="single" w:sz="4" w:space="0" w:color="auto"/>
              <w:bottom w:val="single" w:sz="4" w:space="0" w:color="auto"/>
              <w:right w:val="single" w:sz="4" w:space="0" w:color="auto"/>
            </w:tcBorders>
          </w:tcPr>
          <w:p w14:paraId="4EC172DB" w14:textId="77777777" w:rsidR="00526FE9" w:rsidRPr="008762D1" w:rsidRDefault="00526FE9" w:rsidP="005574A0">
            <w:pPr>
              <w:ind w:right="-93"/>
              <w:jc w:val="both"/>
              <w:rPr>
                <w:rFonts w:ascii="ITC Avant Garde" w:hAnsi="ITC Avant Garde"/>
                <w:color w:val="000000" w:themeColor="text1"/>
                <w:sz w:val="17"/>
                <w:szCs w:val="17"/>
              </w:rPr>
            </w:pPr>
          </w:p>
        </w:tc>
        <w:tc>
          <w:tcPr>
            <w:tcW w:w="1688" w:type="dxa"/>
            <w:tcBorders>
              <w:top w:val="single" w:sz="4" w:space="0" w:color="auto"/>
              <w:left w:val="single" w:sz="4" w:space="0" w:color="auto"/>
              <w:bottom w:val="single" w:sz="4" w:space="0" w:color="auto"/>
              <w:right w:val="single" w:sz="4" w:space="0" w:color="auto"/>
            </w:tcBorders>
          </w:tcPr>
          <w:p w14:paraId="6E601BEA"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781BD079" w14:textId="77777777" w:rsidR="00526FE9" w:rsidRPr="008762D1" w:rsidRDefault="00526FE9" w:rsidP="005574A0">
            <w:pPr>
              <w:ind w:right="-93"/>
              <w:jc w:val="both"/>
              <w:rPr>
                <w:rFonts w:ascii="ITC Avant Garde" w:hAnsi="ITC Avant Garde"/>
                <w:color w:val="000000" w:themeColor="text1"/>
                <w:sz w:val="17"/>
                <w:szCs w:val="17"/>
              </w:rPr>
            </w:pPr>
          </w:p>
        </w:tc>
        <w:tc>
          <w:tcPr>
            <w:tcW w:w="1629" w:type="dxa"/>
            <w:tcBorders>
              <w:top w:val="single" w:sz="4" w:space="0" w:color="auto"/>
              <w:left w:val="single" w:sz="4" w:space="0" w:color="auto"/>
              <w:bottom w:val="single" w:sz="4" w:space="0" w:color="auto"/>
              <w:right w:val="single" w:sz="4" w:space="0" w:color="auto"/>
            </w:tcBorders>
          </w:tcPr>
          <w:p w14:paraId="5E19A485" w14:textId="77777777" w:rsidR="00526FE9" w:rsidRPr="008762D1" w:rsidRDefault="00526FE9" w:rsidP="005574A0">
            <w:pPr>
              <w:ind w:right="-93"/>
              <w:jc w:val="both"/>
              <w:rPr>
                <w:rFonts w:ascii="ITC Avant Garde" w:hAnsi="ITC Avant Garde"/>
                <w:color w:val="000000" w:themeColor="text1"/>
                <w:sz w:val="17"/>
                <w:szCs w:val="17"/>
              </w:rPr>
            </w:pPr>
          </w:p>
        </w:tc>
      </w:tr>
      <w:bookmarkEnd w:id="6"/>
    </w:tbl>
    <w:p w14:paraId="04144BD7" w14:textId="77777777" w:rsidR="00526FE9" w:rsidRPr="008762D1" w:rsidRDefault="00526FE9" w:rsidP="005574A0">
      <w:pPr>
        <w:spacing w:after="0"/>
        <w:rPr>
          <w:rFonts w:ascii="ITC Avant Garde" w:hAnsi="ITC Avant Garde"/>
          <w:vanish/>
          <w:color w:val="000000" w:themeColor="text1"/>
          <w:sz w:val="16"/>
          <w:szCs w:val="24"/>
          <w:lang w:val="es-ES" w:eastAsia="es-ES"/>
        </w:rPr>
      </w:pPr>
    </w:p>
    <w:tbl>
      <w:tblPr>
        <w:tblpPr w:leftFromText="141" w:rightFromText="141" w:vertAnchor="text" w:horzAnchor="margin" w:tblpXSpec="center" w:tblpY="256"/>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la"/>
        <w:tblDescription w:val="PUERTOS"/>
      </w:tblPr>
      <w:tblGrid>
        <w:gridCol w:w="44"/>
        <w:gridCol w:w="789"/>
        <w:gridCol w:w="799"/>
        <w:gridCol w:w="863"/>
        <w:gridCol w:w="337"/>
        <w:gridCol w:w="938"/>
        <w:gridCol w:w="1417"/>
        <w:gridCol w:w="1188"/>
        <w:gridCol w:w="88"/>
        <w:gridCol w:w="1276"/>
        <w:gridCol w:w="1276"/>
        <w:gridCol w:w="528"/>
        <w:gridCol w:w="27"/>
      </w:tblGrid>
      <w:tr w:rsidR="008762D1" w:rsidRPr="008762D1" w14:paraId="48907437" w14:textId="77777777" w:rsidTr="005574A0">
        <w:trPr>
          <w:tblHeader/>
        </w:trPr>
        <w:tc>
          <w:tcPr>
            <w:tcW w:w="9570" w:type="dxa"/>
            <w:gridSpan w:val="13"/>
            <w:tcBorders>
              <w:top w:val="single" w:sz="4" w:space="0" w:color="auto"/>
              <w:left w:val="single" w:sz="4" w:space="0" w:color="auto"/>
              <w:bottom w:val="single" w:sz="4" w:space="0" w:color="auto"/>
              <w:right w:val="single" w:sz="4" w:space="0" w:color="auto"/>
            </w:tcBorders>
            <w:hideMark/>
          </w:tcPr>
          <w:p w14:paraId="19AE2364"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PUERTOS</w:t>
            </w:r>
          </w:p>
        </w:tc>
      </w:tr>
      <w:tr w:rsidR="008762D1" w:rsidRPr="008762D1" w14:paraId="35FCCE03" w14:textId="77777777" w:rsidTr="005574A0">
        <w:trPr>
          <w:gridBefore w:val="1"/>
          <w:gridAfter w:val="1"/>
          <w:wBefore w:w="44" w:type="dxa"/>
          <w:wAfter w:w="27" w:type="dxa"/>
          <w:trHeight w:val="355"/>
        </w:trPr>
        <w:tc>
          <w:tcPr>
            <w:tcW w:w="2788"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437641EB"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TELMEX</w:t>
            </w:r>
          </w:p>
        </w:tc>
        <w:tc>
          <w:tcPr>
            <w:tcW w:w="3543"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2ACBB5EE"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CONCESIONARIO SOLICITANTE</w:t>
            </w:r>
          </w:p>
        </w:tc>
        <w:tc>
          <w:tcPr>
            <w:tcW w:w="3168"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40F31F7"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REQUERIMIENTOS</w:t>
            </w:r>
          </w:p>
        </w:tc>
      </w:tr>
      <w:tr w:rsidR="008762D1" w:rsidRPr="008762D1" w14:paraId="69BD4A9F" w14:textId="77777777" w:rsidTr="005574A0">
        <w:tc>
          <w:tcPr>
            <w:tcW w:w="833"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E78178A"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Ciudad</w:t>
            </w:r>
          </w:p>
        </w:tc>
        <w:tc>
          <w:tcPr>
            <w:tcW w:w="799" w:type="dxa"/>
            <w:tcBorders>
              <w:top w:val="single" w:sz="4" w:space="0" w:color="auto"/>
              <w:left w:val="single" w:sz="4" w:space="0" w:color="auto"/>
              <w:bottom w:val="single" w:sz="4" w:space="0" w:color="auto"/>
              <w:right w:val="single" w:sz="4" w:space="0" w:color="auto"/>
            </w:tcBorders>
            <w:shd w:val="clear" w:color="auto" w:fill="E6E6E6"/>
            <w:hideMark/>
          </w:tcPr>
          <w:p w14:paraId="202BE9CB"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PDIC</w:t>
            </w:r>
          </w:p>
        </w:tc>
        <w:tc>
          <w:tcPr>
            <w:tcW w:w="863" w:type="dxa"/>
            <w:tcBorders>
              <w:top w:val="single" w:sz="4" w:space="0" w:color="auto"/>
              <w:left w:val="single" w:sz="4" w:space="0" w:color="auto"/>
              <w:bottom w:val="single" w:sz="4" w:space="0" w:color="auto"/>
              <w:right w:val="single" w:sz="4" w:space="0" w:color="auto"/>
            </w:tcBorders>
            <w:shd w:val="clear" w:color="auto" w:fill="E6E6E6"/>
            <w:hideMark/>
          </w:tcPr>
          <w:p w14:paraId="4FB4D05C"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Ciudad</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AA3B6D"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Central</w:t>
            </w:r>
          </w:p>
        </w:tc>
        <w:tc>
          <w:tcPr>
            <w:tcW w:w="1417" w:type="dxa"/>
            <w:tcBorders>
              <w:top w:val="single" w:sz="4" w:space="0" w:color="auto"/>
              <w:left w:val="single" w:sz="4" w:space="0" w:color="auto"/>
              <w:bottom w:val="single" w:sz="4" w:space="0" w:color="auto"/>
              <w:right w:val="single" w:sz="4" w:space="0" w:color="auto"/>
            </w:tcBorders>
            <w:shd w:val="clear" w:color="auto" w:fill="E6E6E6"/>
            <w:hideMark/>
          </w:tcPr>
          <w:p w14:paraId="2BB6B4EB"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Dirección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B475990"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Puertos de Acceso TDM</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14:paraId="1B43BA03"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Puertos de Acceso IP</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14:paraId="1043D09F"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 xml:space="preserve">Puertos de </w:t>
            </w:r>
            <w:proofErr w:type="spellStart"/>
            <w:r w:rsidRPr="008762D1">
              <w:rPr>
                <w:rFonts w:ascii="ITC Avant Garde" w:hAnsi="ITC Avant Garde"/>
                <w:b/>
                <w:color w:val="000000" w:themeColor="text1"/>
                <w:sz w:val="17"/>
                <w:szCs w:val="17"/>
              </w:rPr>
              <w:t>Señalizacion</w:t>
            </w:r>
            <w:proofErr w:type="spellEnd"/>
            <w:r w:rsidRPr="008762D1">
              <w:rPr>
                <w:rFonts w:ascii="ITC Avant Garde" w:hAnsi="ITC Avant Garde"/>
                <w:b/>
                <w:color w:val="000000" w:themeColor="text1"/>
                <w:sz w:val="17"/>
                <w:szCs w:val="17"/>
              </w:rPr>
              <w:t xml:space="preserve"> TDM</w:t>
            </w:r>
          </w:p>
        </w:tc>
        <w:tc>
          <w:tcPr>
            <w:tcW w:w="555"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4A71AD6"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Mes</w:t>
            </w:r>
          </w:p>
        </w:tc>
      </w:tr>
      <w:tr w:rsidR="008762D1" w:rsidRPr="008762D1" w14:paraId="692E6186" w14:textId="77777777" w:rsidTr="005574A0">
        <w:tc>
          <w:tcPr>
            <w:tcW w:w="9570" w:type="dxa"/>
            <w:gridSpan w:val="13"/>
            <w:tcBorders>
              <w:top w:val="single" w:sz="4" w:space="0" w:color="auto"/>
              <w:left w:val="single" w:sz="4" w:space="0" w:color="auto"/>
              <w:bottom w:val="single" w:sz="4" w:space="0" w:color="auto"/>
              <w:right w:val="single" w:sz="4" w:space="0" w:color="auto"/>
            </w:tcBorders>
            <w:hideMark/>
          </w:tcPr>
          <w:p w14:paraId="1DE4AF86" w14:textId="2F3846C0" w:rsidR="00526FE9" w:rsidRPr="008762D1" w:rsidRDefault="00AE2337" w:rsidP="00AE2337">
            <w:pPr>
              <w:ind w:right="-93"/>
              <w:jc w:val="center"/>
              <w:rPr>
                <w:rFonts w:ascii="ITC Avant Garde" w:hAnsi="ITC Avant Garde"/>
                <w:b/>
                <w:color w:val="000000" w:themeColor="text1"/>
                <w:sz w:val="17"/>
                <w:szCs w:val="17"/>
              </w:rPr>
            </w:pPr>
            <w:r>
              <w:rPr>
                <w:rFonts w:ascii="ITC Avant Garde" w:hAnsi="ITC Avant Garde"/>
                <w:b/>
                <w:color w:val="000000" w:themeColor="text1"/>
                <w:sz w:val="17"/>
                <w:szCs w:val="17"/>
              </w:rPr>
              <w:t>SEMESTRE</w:t>
            </w:r>
            <w:r w:rsidRPr="00AE2337">
              <w:rPr>
                <w:rFonts w:ascii="ITC Avant Garde" w:hAnsi="ITC Avant Garde"/>
                <w:b/>
                <w:color w:val="0000FF"/>
              </w:rPr>
              <w:t xml:space="preserve"> (</w:t>
            </w:r>
            <w:r>
              <w:rPr>
                <w:rFonts w:ascii="ITC Avant Garde" w:hAnsi="ITC Avant Garde"/>
                <w:b/>
                <w:color w:val="0000FF"/>
              </w:rPr>
              <w:t>…</w:t>
            </w:r>
            <w:r w:rsidRPr="00AE2337">
              <w:rPr>
                <w:rFonts w:ascii="ITC Avant Garde" w:hAnsi="ITC Avant Garde"/>
                <w:b/>
                <w:color w:val="0000FF"/>
              </w:rPr>
              <w:t>)</w:t>
            </w:r>
          </w:p>
        </w:tc>
      </w:tr>
      <w:tr w:rsidR="008762D1" w:rsidRPr="008762D1" w14:paraId="4392D42C" w14:textId="77777777" w:rsidTr="005574A0">
        <w:tc>
          <w:tcPr>
            <w:tcW w:w="833" w:type="dxa"/>
            <w:gridSpan w:val="2"/>
            <w:tcBorders>
              <w:top w:val="single" w:sz="4" w:space="0" w:color="auto"/>
              <w:left w:val="single" w:sz="4" w:space="0" w:color="auto"/>
              <w:bottom w:val="single" w:sz="4" w:space="0" w:color="auto"/>
              <w:right w:val="single" w:sz="4" w:space="0" w:color="auto"/>
            </w:tcBorders>
          </w:tcPr>
          <w:p w14:paraId="33603436" w14:textId="77777777" w:rsidR="00526FE9" w:rsidRPr="008762D1" w:rsidRDefault="00526FE9" w:rsidP="005574A0">
            <w:pPr>
              <w:ind w:right="-93"/>
              <w:jc w:val="both"/>
              <w:rPr>
                <w:rFonts w:ascii="ITC Avant Garde" w:hAnsi="ITC Avant Garde"/>
                <w:color w:val="000000" w:themeColor="text1"/>
                <w:sz w:val="17"/>
                <w:szCs w:val="17"/>
              </w:rPr>
            </w:pPr>
          </w:p>
        </w:tc>
        <w:tc>
          <w:tcPr>
            <w:tcW w:w="799" w:type="dxa"/>
            <w:tcBorders>
              <w:top w:val="single" w:sz="4" w:space="0" w:color="auto"/>
              <w:left w:val="single" w:sz="4" w:space="0" w:color="auto"/>
              <w:bottom w:val="single" w:sz="4" w:space="0" w:color="auto"/>
              <w:right w:val="single" w:sz="4" w:space="0" w:color="auto"/>
            </w:tcBorders>
          </w:tcPr>
          <w:p w14:paraId="0CBFCFFD" w14:textId="77777777" w:rsidR="00526FE9" w:rsidRPr="008762D1" w:rsidRDefault="00526FE9" w:rsidP="005574A0">
            <w:pPr>
              <w:ind w:right="-93"/>
              <w:jc w:val="both"/>
              <w:rPr>
                <w:rFonts w:ascii="ITC Avant Garde" w:hAnsi="ITC Avant Garde"/>
                <w:color w:val="000000" w:themeColor="text1"/>
                <w:sz w:val="17"/>
                <w:szCs w:val="17"/>
              </w:rPr>
            </w:pPr>
          </w:p>
        </w:tc>
        <w:tc>
          <w:tcPr>
            <w:tcW w:w="863" w:type="dxa"/>
            <w:tcBorders>
              <w:top w:val="single" w:sz="4" w:space="0" w:color="auto"/>
              <w:left w:val="single" w:sz="4" w:space="0" w:color="auto"/>
              <w:bottom w:val="single" w:sz="4" w:space="0" w:color="auto"/>
              <w:right w:val="single" w:sz="4" w:space="0" w:color="auto"/>
            </w:tcBorders>
          </w:tcPr>
          <w:p w14:paraId="359AE49E" w14:textId="77777777" w:rsidR="00526FE9" w:rsidRPr="008762D1" w:rsidRDefault="00526FE9" w:rsidP="005574A0">
            <w:pPr>
              <w:ind w:right="-93"/>
              <w:jc w:val="both"/>
              <w:rPr>
                <w:rFonts w:ascii="ITC Avant Garde" w:hAnsi="ITC Avant Garde"/>
                <w:color w:val="000000" w:themeColor="text1"/>
                <w:sz w:val="17"/>
                <w:szCs w:val="17"/>
              </w:rPr>
            </w:pPr>
          </w:p>
        </w:tc>
        <w:tc>
          <w:tcPr>
            <w:tcW w:w="1275" w:type="dxa"/>
            <w:gridSpan w:val="2"/>
            <w:tcBorders>
              <w:top w:val="single" w:sz="4" w:space="0" w:color="auto"/>
              <w:left w:val="single" w:sz="4" w:space="0" w:color="auto"/>
              <w:bottom w:val="single" w:sz="4" w:space="0" w:color="auto"/>
              <w:right w:val="single" w:sz="4" w:space="0" w:color="auto"/>
            </w:tcBorders>
          </w:tcPr>
          <w:p w14:paraId="124154B9" w14:textId="77777777" w:rsidR="00526FE9" w:rsidRPr="008762D1" w:rsidRDefault="00526FE9" w:rsidP="005574A0">
            <w:pPr>
              <w:ind w:right="-93"/>
              <w:jc w:val="both"/>
              <w:rPr>
                <w:rFonts w:ascii="ITC Avant Garde" w:hAnsi="ITC Avant Garde"/>
                <w:color w:val="000000" w:themeColor="text1"/>
                <w:sz w:val="17"/>
                <w:szCs w:val="17"/>
              </w:rPr>
            </w:pPr>
          </w:p>
        </w:tc>
        <w:tc>
          <w:tcPr>
            <w:tcW w:w="1417" w:type="dxa"/>
            <w:tcBorders>
              <w:top w:val="single" w:sz="4" w:space="0" w:color="auto"/>
              <w:left w:val="single" w:sz="4" w:space="0" w:color="auto"/>
              <w:bottom w:val="single" w:sz="4" w:space="0" w:color="auto"/>
              <w:right w:val="single" w:sz="4" w:space="0" w:color="auto"/>
            </w:tcBorders>
          </w:tcPr>
          <w:p w14:paraId="6F5BF015"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gridSpan w:val="2"/>
            <w:tcBorders>
              <w:top w:val="single" w:sz="4" w:space="0" w:color="auto"/>
              <w:left w:val="single" w:sz="4" w:space="0" w:color="auto"/>
              <w:bottom w:val="single" w:sz="4" w:space="0" w:color="auto"/>
              <w:right w:val="single" w:sz="4" w:space="0" w:color="auto"/>
            </w:tcBorders>
          </w:tcPr>
          <w:p w14:paraId="35163C48"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31136A4D"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50E1E523" w14:textId="77777777" w:rsidR="00526FE9" w:rsidRPr="008762D1" w:rsidRDefault="00526FE9" w:rsidP="005574A0">
            <w:pPr>
              <w:ind w:right="-93"/>
              <w:jc w:val="both"/>
              <w:rPr>
                <w:rFonts w:ascii="ITC Avant Garde" w:hAnsi="ITC Avant Garde"/>
                <w:color w:val="000000" w:themeColor="text1"/>
                <w:sz w:val="17"/>
                <w:szCs w:val="17"/>
              </w:rPr>
            </w:pPr>
          </w:p>
        </w:tc>
        <w:tc>
          <w:tcPr>
            <w:tcW w:w="555" w:type="dxa"/>
            <w:gridSpan w:val="2"/>
            <w:tcBorders>
              <w:top w:val="single" w:sz="4" w:space="0" w:color="auto"/>
              <w:left w:val="single" w:sz="4" w:space="0" w:color="auto"/>
              <w:bottom w:val="single" w:sz="4" w:space="0" w:color="auto"/>
              <w:right w:val="single" w:sz="4" w:space="0" w:color="auto"/>
            </w:tcBorders>
          </w:tcPr>
          <w:p w14:paraId="05204F67"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40B62E5C" w14:textId="77777777" w:rsidTr="005574A0">
        <w:tc>
          <w:tcPr>
            <w:tcW w:w="833" w:type="dxa"/>
            <w:gridSpan w:val="2"/>
            <w:tcBorders>
              <w:top w:val="single" w:sz="4" w:space="0" w:color="auto"/>
              <w:left w:val="single" w:sz="4" w:space="0" w:color="auto"/>
              <w:bottom w:val="single" w:sz="4" w:space="0" w:color="auto"/>
              <w:right w:val="single" w:sz="4" w:space="0" w:color="auto"/>
            </w:tcBorders>
          </w:tcPr>
          <w:p w14:paraId="72E266D6" w14:textId="77777777" w:rsidR="00526FE9" w:rsidRPr="008762D1" w:rsidRDefault="00526FE9" w:rsidP="005574A0">
            <w:pPr>
              <w:ind w:right="-93"/>
              <w:jc w:val="both"/>
              <w:rPr>
                <w:rFonts w:ascii="ITC Avant Garde" w:hAnsi="ITC Avant Garde"/>
                <w:color w:val="000000" w:themeColor="text1"/>
                <w:sz w:val="17"/>
                <w:szCs w:val="17"/>
              </w:rPr>
            </w:pPr>
          </w:p>
        </w:tc>
        <w:tc>
          <w:tcPr>
            <w:tcW w:w="799" w:type="dxa"/>
            <w:tcBorders>
              <w:top w:val="single" w:sz="4" w:space="0" w:color="auto"/>
              <w:left w:val="single" w:sz="4" w:space="0" w:color="auto"/>
              <w:bottom w:val="single" w:sz="4" w:space="0" w:color="auto"/>
              <w:right w:val="single" w:sz="4" w:space="0" w:color="auto"/>
            </w:tcBorders>
          </w:tcPr>
          <w:p w14:paraId="72900B30" w14:textId="77777777" w:rsidR="00526FE9" w:rsidRPr="008762D1" w:rsidRDefault="00526FE9" w:rsidP="005574A0">
            <w:pPr>
              <w:ind w:right="-93"/>
              <w:jc w:val="both"/>
              <w:rPr>
                <w:rFonts w:ascii="ITC Avant Garde" w:hAnsi="ITC Avant Garde"/>
                <w:color w:val="000000" w:themeColor="text1"/>
                <w:sz w:val="17"/>
                <w:szCs w:val="17"/>
              </w:rPr>
            </w:pPr>
          </w:p>
        </w:tc>
        <w:tc>
          <w:tcPr>
            <w:tcW w:w="863" w:type="dxa"/>
            <w:tcBorders>
              <w:top w:val="single" w:sz="4" w:space="0" w:color="auto"/>
              <w:left w:val="single" w:sz="4" w:space="0" w:color="auto"/>
              <w:bottom w:val="single" w:sz="4" w:space="0" w:color="auto"/>
              <w:right w:val="single" w:sz="4" w:space="0" w:color="auto"/>
            </w:tcBorders>
          </w:tcPr>
          <w:p w14:paraId="1B0A1C90" w14:textId="77777777" w:rsidR="00526FE9" w:rsidRPr="008762D1" w:rsidRDefault="00526FE9" w:rsidP="005574A0">
            <w:pPr>
              <w:ind w:right="-93"/>
              <w:jc w:val="both"/>
              <w:rPr>
                <w:rFonts w:ascii="ITC Avant Garde" w:hAnsi="ITC Avant Garde"/>
                <w:color w:val="000000" w:themeColor="text1"/>
                <w:sz w:val="17"/>
                <w:szCs w:val="17"/>
              </w:rPr>
            </w:pPr>
          </w:p>
        </w:tc>
        <w:tc>
          <w:tcPr>
            <w:tcW w:w="1275" w:type="dxa"/>
            <w:gridSpan w:val="2"/>
            <w:tcBorders>
              <w:top w:val="single" w:sz="4" w:space="0" w:color="auto"/>
              <w:left w:val="single" w:sz="4" w:space="0" w:color="auto"/>
              <w:bottom w:val="single" w:sz="4" w:space="0" w:color="auto"/>
              <w:right w:val="single" w:sz="4" w:space="0" w:color="auto"/>
            </w:tcBorders>
          </w:tcPr>
          <w:p w14:paraId="6DF677FB" w14:textId="77777777" w:rsidR="00526FE9" w:rsidRPr="008762D1" w:rsidRDefault="00526FE9" w:rsidP="005574A0">
            <w:pPr>
              <w:ind w:right="-93"/>
              <w:jc w:val="both"/>
              <w:rPr>
                <w:rFonts w:ascii="ITC Avant Garde" w:hAnsi="ITC Avant Garde"/>
                <w:color w:val="000000" w:themeColor="text1"/>
                <w:sz w:val="17"/>
                <w:szCs w:val="17"/>
              </w:rPr>
            </w:pPr>
          </w:p>
        </w:tc>
        <w:tc>
          <w:tcPr>
            <w:tcW w:w="1417" w:type="dxa"/>
            <w:tcBorders>
              <w:top w:val="single" w:sz="4" w:space="0" w:color="auto"/>
              <w:left w:val="single" w:sz="4" w:space="0" w:color="auto"/>
              <w:bottom w:val="single" w:sz="4" w:space="0" w:color="auto"/>
              <w:right w:val="single" w:sz="4" w:space="0" w:color="auto"/>
            </w:tcBorders>
          </w:tcPr>
          <w:p w14:paraId="2365D6D1"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gridSpan w:val="2"/>
            <w:tcBorders>
              <w:top w:val="single" w:sz="4" w:space="0" w:color="auto"/>
              <w:left w:val="single" w:sz="4" w:space="0" w:color="auto"/>
              <w:bottom w:val="single" w:sz="4" w:space="0" w:color="auto"/>
              <w:right w:val="single" w:sz="4" w:space="0" w:color="auto"/>
            </w:tcBorders>
          </w:tcPr>
          <w:p w14:paraId="14EEC281"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26A899A5"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2D1B0D0F" w14:textId="77777777" w:rsidR="00526FE9" w:rsidRPr="008762D1" w:rsidRDefault="00526FE9" w:rsidP="005574A0">
            <w:pPr>
              <w:ind w:right="-93"/>
              <w:jc w:val="both"/>
              <w:rPr>
                <w:rFonts w:ascii="ITC Avant Garde" w:hAnsi="ITC Avant Garde"/>
                <w:color w:val="000000" w:themeColor="text1"/>
                <w:sz w:val="17"/>
                <w:szCs w:val="17"/>
              </w:rPr>
            </w:pPr>
          </w:p>
        </w:tc>
        <w:tc>
          <w:tcPr>
            <w:tcW w:w="555" w:type="dxa"/>
            <w:gridSpan w:val="2"/>
            <w:tcBorders>
              <w:top w:val="single" w:sz="4" w:space="0" w:color="auto"/>
              <w:left w:val="single" w:sz="4" w:space="0" w:color="auto"/>
              <w:bottom w:val="single" w:sz="4" w:space="0" w:color="auto"/>
              <w:right w:val="single" w:sz="4" w:space="0" w:color="auto"/>
            </w:tcBorders>
          </w:tcPr>
          <w:p w14:paraId="01D0C22F"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32B32495" w14:textId="77777777" w:rsidTr="005574A0">
        <w:tc>
          <w:tcPr>
            <w:tcW w:w="833" w:type="dxa"/>
            <w:gridSpan w:val="2"/>
            <w:tcBorders>
              <w:top w:val="single" w:sz="4" w:space="0" w:color="auto"/>
              <w:left w:val="single" w:sz="4" w:space="0" w:color="auto"/>
              <w:bottom w:val="single" w:sz="4" w:space="0" w:color="auto"/>
              <w:right w:val="single" w:sz="4" w:space="0" w:color="auto"/>
            </w:tcBorders>
          </w:tcPr>
          <w:p w14:paraId="281D5C7D" w14:textId="77777777" w:rsidR="00526FE9" w:rsidRPr="008762D1" w:rsidRDefault="00526FE9" w:rsidP="005574A0">
            <w:pPr>
              <w:ind w:right="-93"/>
              <w:jc w:val="both"/>
              <w:rPr>
                <w:rFonts w:ascii="ITC Avant Garde" w:hAnsi="ITC Avant Garde"/>
                <w:color w:val="000000" w:themeColor="text1"/>
                <w:sz w:val="17"/>
                <w:szCs w:val="17"/>
              </w:rPr>
            </w:pPr>
          </w:p>
        </w:tc>
        <w:tc>
          <w:tcPr>
            <w:tcW w:w="799" w:type="dxa"/>
            <w:tcBorders>
              <w:top w:val="single" w:sz="4" w:space="0" w:color="auto"/>
              <w:left w:val="single" w:sz="4" w:space="0" w:color="auto"/>
              <w:bottom w:val="single" w:sz="4" w:space="0" w:color="auto"/>
              <w:right w:val="single" w:sz="4" w:space="0" w:color="auto"/>
            </w:tcBorders>
          </w:tcPr>
          <w:p w14:paraId="0971E275" w14:textId="77777777" w:rsidR="00526FE9" w:rsidRPr="008762D1" w:rsidRDefault="00526FE9" w:rsidP="005574A0">
            <w:pPr>
              <w:ind w:right="-93"/>
              <w:jc w:val="both"/>
              <w:rPr>
                <w:rFonts w:ascii="ITC Avant Garde" w:hAnsi="ITC Avant Garde"/>
                <w:color w:val="000000" w:themeColor="text1"/>
                <w:sz w:val="17"/>
                <w:szCs w:val="17"/>
              </w:rPr>
            </w:pPr>
          </w:p>
        </w:tc>
        <w:tc>
          <w:tcPr>
            <w:tcW w:w="863" w:type="dxa"/>
            <w:tcBorders>
              <w:top w:val="single" w:sz="4" w:space="0" w:color="auto"/>
              <w:left w:val="single" w:sz="4" w:space="0" w:color="auto"/>
              <w:bottom w:val="single" w:sz="4" w:space="0" w:color="auto"/>
              <w:right w:val="single" w:sz="4" w:space="0" w:color="auto"/>
            </w:tcBorders>
          </w:tcPr>
          <w:p w14:paraId="71095B12" w14:textId="77777777" w:rsidR="00526FE9" w:rsidRPr="008762D1" w:rsidRDefault="00526FE9" w:rsidP="005574A0">
            <w:pPr>
              <w:ind w:right="-93"/>
              <w:jc w:val="both"/>
              <w:rPr>
                <w:rFonts w:ascii="ITC Avant Garde" w:hAnsi="ITC Avant Garde"/>
                <w:color w:val="000000" w:themeColor="text1"/>
                <w:sz w:val="17"/>
                <w:szCs w:val="17"/>
              </w:rPr>
            </w:pPr>
          </w:p>
        </w:tc>
        <w:tc>
          <w:tcPr>
            <w:tcW w:w="1275" w:type="dxa"/>
            <w:gridSpan w:val="2"/>
            <w:tcBorders>
              <w:top w:val="single" w:sz="4" w:space="0" w:color="auto"/>
              <w:left w:val="single" w:sz="4" w:space="0" w:color="auto"/>
              <w:bottom w:val="single" w:sz="4" w:space="0" w:color="auto"/>
              <w:right w:val="single" w:sz="4" w:space="0" w:color="auto"/>
            </w:tcBorders>
          </w:tcPr>
          <w:p w14:paraId="0EF7C711" w14:textId="77777777" w:rsidR="00526FE9" w:rsidRPr="008762D1" w:rsidRDefault="00526FE9" w:rsidP="005574A0">
            <w:pPr>
              <w:ind w:right="-93"/>
              <w:jc w:val="both"/>
              <w:rPr>
                <w:rFonts w:ascii="ITC Avant Garde" w:hAnsi="ITC Avant Garde"/>
                <w:color w:val="000000" w:themeColor="text1"/>
                <w:sz w:val="17"/>
                <w:szCs w:val="17"/>
              </w:rPr>
            </w:pPr>
          </w:p>
        </w:tc>
        <w:tc>
          <w:tcPr>
            <w:tcW w:w="1417" w:type="dxa"/>
            <w:tcBorders>
              <w:top w:val="single" w:sz="4" w:space="0" w:color="auto"/>
              <w:left w:val="single" w:sz="4" w:space="0" w:color="auto"/>
              <w:bottom w:val="single" w:sz="4" w:space="0" w:color="auto"/>
              <w:right w:val="single" w:sz="4" w:space="0" w:color="auto"/>
            </w:tcBorders>
          </w:tcPr>
          <w:p w14:paraId="529C7EAA"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gridSpan w:val="2"/>
            <w:tcBorders>
              <w:top w:val="single" w:sz="4" w:space="0" w:color="auto"/>
              <w:left w:val="single" w:sz="4" w:space="0" w:color="auto"/>
              <w:bottom w:val="single" w:sz="4" w:space="0" w:color="auto"/>
              <w:right w:val="single" w:sz="4" w:space="0" w:color="auto"/>
            </w:tcBorders>
          </w:tcPr>
          <w:p w14:paraId="58B40F08"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0EB1867E"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4B81486B" w14:textId="77777777" w:rsidR="00526FE9" w:rsidRPr="008762D1" w:rsidRDefault="00526FE9" w:rsidP="005574A0">
            <w:pPr>
              <w:ind w:right="-93"/>
              <w:jc w:val="both"/>
              <w:rPr>
                <w:rFonts w:ascii="ITC Avant Garde" w:hAnsi="ITC Avant Garde"/>
                <w:color w:val="000000" w:themeColor="text1"/>
                <w:sz w:val="17"/>
                <w:szCs w:val="17"/>
              </w:rPr>
            </w:pPr>
          </w:p>
        </w:tc>
        <w:tc>
          <w:tcPr>
            <w:tcW w:w="555" w:type="dxa"/>
            <w:gridSpan w:val="2"/>
            <w:tcBorders>
              <w:top w:val="single" w:sz="4" w:space="0" w:color="auto"/>
              <w:left w:val="single" w:sz="4" w:space="0" w:color="auto"/>
              <w:bottom w:val="single" w:sz="4" w:space="0" w:color="auto"/>
              <w:right w:val="single" w:sz="4" w:space="0" w:color="auto"/>
            </w:tcBorders>
          </w:tcPr>
          <w:p w14:paraId="39C41700"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196D99B1" w14:textId="77777777" w:rsidTr="005574A0">
        <w:tc>
          <w:tcPr>
            <w:tcW w:w="833" w:type="dxa"/>
            <w:gridSpan w:val="2"/>
            <w:tcBorders>
              <w:top w:val="single" w:sz="4" w:space="0" w:color="auto"/>
              <w:left w:val="single" w:sz="4" w:space="0" w:color="auto"/>
              <w:bottom w:val="single" w:sz="4" w:space="0" w:color="auto"/>
              <w:right w:val="single" w:sz="4" w:space="0" w:color="auto"/>
            </w:tcBorders>
          </w:tcPr>
          <w:p w14:paraId="1D8F29D8" w14:textId="77777777" w:rsidR="00526FE9" w:rsidRPr="008762D1" w:rsidRDefault="00526FE9" w:rsidP="005574A0">
            <w:pPr>
              <w:ind w:right="-93"/>
              <w:jc w:val="both"/>
              <w:rPr>
                <w:rFonts w:ascii="ITC Avant Garde" w:hAnsi="ITC Avant Garde"/>
                <w:color w:val="000000" w:themeColor="text1"/>
                <w:sz w:val="17"/>
                <w:szCs w:val="17"/>
              </w:rPr>
            </w:pPr>
          </w:p>
        </w:tc>
        <w:tc>
          <w:tcPr>
            <w:tcW w:w="799" w:type="dxa"/>
            <w:tcBorders>
              <w:top w:val="single" w:sz="4" w:space="0" w:color="auto"/>
              <w:left w:val="single" w:sz="4" w:space="0" w:color="auto"/>
              <w:bottom w:val="single" w:sz="4" w:space="0" w:color="auto"/>
              <w:right w:val="single" w:sz="4" w:space="0" w:color="auto"/>
            </w:tcBorders>
          </w:tcPr>
          <w:p w14:paraId="18450269" w14:textId="77777777" w:rsidR="00526FE9" w:rsidRPr="008762D1" w:rsidRDefault="00526FE9" w:rsidP="005574A0">
            <w:pPr>
              <w:ind w:right="-93"/>
              <w:jc w:val="both"/>
              <w:rPr>
                <w:rFonts w:ascii="ITC Avant Garde" w:hAnsi="ITC Avant Garde"/>
                <w:color w:val="000000" w:themeColor="text1"/>
                <w:sz w:val="17"/>
                <w:szCs w:val="17"/>
              </w:rPr>
            </w:pPr>
          </w:p>
        </w:tc>
        <w:tc>
          <w:tcPr>
            <w:tcW w:w="863" w:type="dxa"/>
            <w:tcBorders>
              <w:top w:val="single" w:sz="4" w:space="0" w:color="auto"/>
              <w:left w:val="single" w:sz="4" w:space="0" w:color="auto"/>
              <w:bottom w:val="single" w:sz="4" w:space="0" w:color="auto"/>
              <w:right w:val="single" w:sz="4" w:space="0" w:color="auto"/>
            </w:tcBorders>
          </w:tcPr>
          <w:p w14:paraId="2A7A3FCD" w14:textId="77777777" w:rsidR="00526FE9" w:rsidRPr="008762D1" w:rsidRDefault="00526FE9" w:rsidP="005574A0">
            <w:pPr>
              <w:ind w:right="-93"/>
              <w:jc w:val="both"/>
              <w:rPr>
                <w:rFonts w:ascii="ITC Avant Garde" w:hAnsi="ITC Avant Garde"/>
                <w:color w:val="000000" w:themeColor="text1"/>
                <w:sz w:val="17"/>
                <w:szCs w:val="17"/>
              </w:rPr>
            </w:pPr>
          </w:p>
        </w:tc>
        <w:tc>
          <w:tcPr>
            <w:tcW w:w="1275" w:type="dxa"/>
            <w:gridSpan w:val="2"/>
            <w:tcBorders>
              <w:top w:val="single" w:sz="4" w:space="0" w:color="auto"/>
              <w:left w:val="single" w:sz="4" w:space="0" w:color="auto"/>
              <w:bottom w:val="single" w:sz="4" w:space="0" w:color="auto"/>
              <w:right w:val="single" w:sz="4" w:space="0" w:color="auto"/>
            </w:tcBorders>
          </w:tcPr>
          <w:p w14:paraId="2EEE6428" w14:textId="77777777" w:rsidR="00526FE9" w:rsidRPr="008762D1" w:rsidRDefault="00526FE9" w:rsidP="005574A0">
            <w:pPr>
              <w:ind w:right="-93"/>
              <w:jc w:val="both"/>
              <w:rPr>
                <w:rFonts w:ascii="ITC Avant Garde" w:hAnsi="ITC Avant Garde"/>
                <w:color w:val="000000" w:themeColor="text1"/>
                <w:sz w:val="17"/>
                <w:szCs w:val="17"/>
              </w:rPr>
            </w:pPr>
          </w:p>
        </w:tc>
        <w:tc>
          <w:tcPr>
            <w:tcW w:w="1417" w:type="dxa"/>
            <w:tcBorders>
              <w:top w:val="single" w:sz="4" w:space="0" w:color="auto"/>
              <w:left w:val="single" w:sz="4" w:space="0" w:color="auto"/>
              <w:bottom w:val="single" w:sz="4" w:space="0" w:color="auto"/>
              <w:right w:val="single" w:sz="4" w:space="0" w:color="auto"/>
            </w:tcBorders>
          </w:tcPr>
          <w:p w14:paraId="0A850D5B"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gridSpan w:val="2"/>
            <w:tcBorders>
              <w:top w:val="single" w:sz="4" w:space="0" w:color="auto"/>
              <w:left w:val="single" w:sz="4" w:space="0" w:color="auto"/>
              <w:bottom w:val="single" w:sz="4" w:space="0" w:color="auto"/>
              <w:right w:val="single" w:sz="4" w:space="0" w:color="auto"/>
            </w:tcBorders>
          </w:tcPr>
          <w:p w14:paraId="2D5DFFBA"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0A2847BC"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46549D83" w14:textId="77777777" w:rsidR="00526FE9" w:rsidRPr="008762D1" w:rsidRDefault="00526FE9" w:rsidP="005574A0">
            <w:pPr>
              <w:ind w:right="-93"/>
              <w:jc w:val="both"/>
              <w:rPr>
                <w:rFonts w:ascii="ITC Avant Garde" w:hAnsi="ITC Avant Garde"/>
                <w:color w:val="000000" w:themeColor="text1"/>
                <w:sz w:val="17"/>
                <w:szCs w:val="17"/>
              </w:rPr>
            </w:pPr>
          </w:p>
        </w:tc>
        <w:tc>
          <w:tcPr>
            <w:tcW w:w="555" w:type="dxa"/>
            <w:gridSpan w:val="2"/>
            <w:tcBorders>
              <w:top w:val="single" w:sz="4" w:space="0" w:color="auto"/>
              <w:left w:val="single" w:sz="4" w:space="0" w:color="auto"/>
              <w:bottom w:val="single" w:sz="4" w:space="0" w:color="auto"/>
              <w:right w:val="single" w:sz="4" w:space="0" w:color="auto"/>
            </w:tcBorders>
          </w:tcPr>
          <w:p w14:paraId="372B767E"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716B581B" w14:textId="77777777" w:rsidTr="005574A0">
        <w:tc>
          <w:tcPr>
            <w:tcW w:w="833" w:type="dxa"/>
            <w:gridSpan w:val="2"/>
            <w:tcBorders>
              <w:top w:val="single" w:sz="4" w:space="0" w:color="auto"/>
              <w:left w:val="single" w:sz="4" w:space="0" w:color="auto"/>
              <w:bottom w:val="single" w:sz="4" w:space="0" w:color="auto"/>
              <w:right w:val="single" w:sz="4" w:space="0" w:color="auto"/>
            </w:tcBorders>
          </w:tcPr>
          <w:p w14:paraId="1CADCD95" w14:textId="77777777" w:rsidR="00526FE9" w:rsidRPr="008762D1" w:rsidRDefault="00526FE9" w:rsidP="005574A0">
            <w:pPr>
              <w:ind w:right="-93"/>
              <w:jc w:val="both"/>
              <w:rPr>
                <w:rFonts w:ascii="ITC Avant Garde" w:hAnsi="ITC Avant Garde"/>
                <w:color w:val="000000" w:themeColor="text1"/>
                <w:sz w:val="17"/>
                <w:szCs w:val="17"/>
              </w:rPr>
            </w:pPr>
          </w:p>
        </w:tc>
        <w:tc>
          <w:tcPr>
            <w:tcW w:w="799" w:type="dxa"/>
            <w:tcBorders>
              <w:top w:val="single" w:sz="4" w:space="0" w:color="auto"/>
              <w:left w:val="single" w:sz="4" w:space="0" w:color="auto"/>
              <w:bottom w:val="single" w:sz="4" w:space="0" w:color="auto"/>
              <w:right w:val="single" w:sz="4" w:space="0" w:color="auto"/>
            </w:tcBorders>
          </w:tcPr>
          <w:p w14:paraId="52B47C09" w14:textId="77777777" w:rsidR="00526FE9" w:rsidRPr="008762D1" w:rsidRDefault="00526FE9" w:rsidP="005574A0">
            <w:pPr>
              <w:ind w:right="-93"/>
              <w:jc w:val="both"/>
              <w:rPr>
                <w:rFonts w:ascii="ITC Avant Garde" w:hAnsi="ITC Avant Garde"/>
                <w:color w:val="000000" w:themeColor="text1"/>
                <w:sz w:val="17"/>
                <w:szCs w:val="17"/>
              </w:rPr>
            </w:pPr>
          </w:p>
        </w:tc>
        <w:tc>
          <w:tcPr>
            <w:tcW w:w="863" w:type="dxa"/>
            <w:tcBorders>
              <w:top w:val="single" w:sz="4" w:space="0" w:color="auto"/>
              <w:left w:val="single" w:sz="4" w:space="0" w:color="auto"/>
              <w:bottom w:val="single" w:sz="4" w:space="0" w:color="auto"/>
              <w:right w:val="single" w:sz="4" w:space="0" w:color="auto"/>
            </w:tcBorders>
          </w:tcPr>
          <w:p w14:paraId="710733DE" w14:textId="77777777" w:rsidR="00526FE9" w:rsidRPr="008762D1" w:rsidRDefault="00526FE9" w:rsidP="005574A0">
            <w:pPr>
              <w:ind w:right="-93"/>
              <w:jc w:val="both"/>
              <w:rPr>
                <w:rFonts w:ascii="ITC Avant Garde" w:hAnsi="ITC Avant Garde"/>
                <w:color w:val="000000" w:themeColor="text1"/>
                <w:sz w:val="17"/>
                <w:szCs w:val="17"/>
              </w:rPr>
            </w:pPr>
          </w:p>
        </w:tc>
        <w:tc>
          <w:tcPr>
            <w:tcW w:w="1275" w:type="dxa"/>
            <w:gridSpan w:val="2"/>
            <w:tcBorders>
              <w:top w:val="single" w:sz="4" w:space="0" w:color="auto"/>
              <w:left w:val="single" w:sz="4" w:space="0" w:color="auto"/>
              <w:bottom w:val="single" w:sz="4" w:space="0" w:color="auto"/>
              <w:right w:val="single" w:sz="4" w:space="0" w:color="auto"/>
            </w:tcBorders>
          </w:tcPr>
          <w:p w14:paraId="3C5DBA3E" w14:textId="77777777" w:rsidR="00526FE9" w:rsidRPr="008762D1" w:rsidRDefault="00526FE9" w:rsidP="005574A0">
            <w:pPr>
              <w:ind w:right="-93"/>
              <w:jc w:val="both"/>
              <w:rPr>
                <w:rFonts w:ascii="ITC Avant Garde" w:hAnsi="ITC Avant Garde"/>
                <w:color w:val="000000" w:themeColor="text1"/>
                <w:sz w:val="17"/>
                <w:szCs w:val="17"/>
              </w:rPr>
            </w:pPr>
          </w:p>
        </w:tc>
        <w:tc>
          <w:tcPr>
            <w:tcW w:w="1417" w:type="dxa"/>
            <w:tcBorders>
              <w:top w:val="single" w:sz="4" w:space="0" w:color="auto"/>
              <w:left w:val="single" w:sz="4" w:space="0" w:color="auto"/>
              <w:bottom w:val="single" w:sz="4" w:space="0" w:color="auto"/>
              <w:right w:val="single" w:sz="4" w:space="0" w:color="auto"/>
            </w:tcBorders>
          </w:tcPr>
          <w:p w14:paraId="72BEBA42"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gridSpan w:val="2"/>
            <w:tcBorders>
              <w:top w:val="single" w:sz="4" w:space="0" w:color="auto"/>
              <w:left w:val="single" w:sz="4" w:space="0" w:color="auto"/>
              <w:bottom w:val="single" w:sz="4" w:space="0" w:color="auto"/>
              <w:right w:val="single" w:sz="4" w:space="0" w:color="auto"/>
            </w:tcBorders>
          </w:tcPr>
          <w:p w14:paraId="19FC58BC"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00E4E75D"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688C7DB3" w14:textId="77777777" w:rsidR="00526FE9" w:rsidRPr="008762D1" w:rsidRDefault="00526FE9" w:rsidP="005574A0">
            <w:pPr>
              <w:ind w:right="-93"/>
              <w:jc w:val="both"/>
              <w:rPr>
                <w:rFonts w:ascii="ITC Avant Garde" w:hAnsi="ITC Avant Garde"/>
                <w:color w:val="000000" w:themeColor="text1"/>
                <w:sz w:val="17"/>
                <w:szCs w:val="17"/>
              </w:rPr>
            </w:pPr>
          </w:p>
        </w:tc>
        <w:tc>
          <w:tcPr>
            <w:tcW w:w="555" w:type="dxa"/>
            <w:gridSpan w:val="2"/>
            <w:tcBorders>
              <w:top w:val="single" w:sz="4" w:space="0" w:color="auto"/>
              <w:left w:val="single" w:sz="4" w:space="0" w:color="auto"/>
              <w:bottom w:val="single" w:sz="4" w:space="0" w:color="auto"/>
              <w:right w:val="single" w:sz="4" w:space="0" w:color="auto"/>
            </w:tcBorders>
          </w:tcPr>
          <w:p w14:paraId="70BF2E97"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58A3273F" w14:textId="77777777" w:rsidTr="005574A0">
        <w:tc>
          <w:tcPr>
            <w:tcW w:w="833" w:type="dxa"/>
            <w:gridSpan w:val="2"/>
            <w:tcBorders>
              <w:top w:val="single" w:sz="4" w:space="0" w:color="auto"/>
              <w:left w:val="single" w:sz="4" w:space="0" w:color="auto"/>
              <w:bottom w:val="single" w:sz="4" w:space="0" w:color="auto"/>
              <w:right w:val="single" w:sz="4" w:space="0" w:color="auto"/>
            </w:tcBorders>
          </w:tcPr>
          <w:p w14:paraId="3E1FEA63" w14:textId="77777777" w:rsidR="00526FE9" w:rsidRPr="008762D1" w:rsidRDefault="00526FE9" w:rsidP="005574A0">
            <w:pPr>
              <w:ind w:right="-93"/>
              <w:jc w:val="both"/>
              <w:rPr>
                <w:rFonts w:ascii="ITC Avant Garde" w:hAnsi="ITC Avant Garde"/>
                <w:color w:val="000000" w:themeColor="text1"/>
                <w:sz w:val="17"/>
                <w:szCs w:val="17"/>
              </w:rPr>
            </w:pPr>
          </w:p>
        </w:tc>
        <w:tc>
          <w:tcPr>
            <w:tcW w:w="799" w:type="dxa"/>
            <w:tcBorders>
              <w:top w:val="single" w:sz="4" w:space="0" w:color="auto"/>
              <w:left w:val="single" w:sz="4" w:space="0" w:color="auto"/>
              <w:bottom w:val="single" w:sz="4" w:space="0" w:color="auto"/>
              <w:right w:val="single" w:sz="4" w:space="0" w:color="auto"/>
            </w:tcBorders>
          </w:tcPr>
          <w:p w14:paraId="696FA510" w14:textId="77777777" w:rsidR="00526FE9" w:rsidRPr="008762D1" w:rsidRDefault="00526FE9" w:rsidP="005574A0">
            <w:pPr>
              <w:ind w:right="-93"/>
              <w:jc w:val="both"/>
              <w:rPr>
                <w:rFonts w:ascii="ITC Avant Garde" w:hAnsi="ITC Avant Garde"/>
                <w:color w:val="000000" w:themeColor="text1"/>
                <w:sz w:val="17"/>
                <w:szCs w:val="17"/>
              </w:rPr>
            </w:pPr>
          </w:p>
        </w:tc>
        <w:tc>
          <w:tcPr>
            <w:tcW w:w="863" w:type="dxa"/>
            <w:tcBorders>
              <w:top w:val="single" w:sz="4" w:space="0" w:color="auto"/>
              <w:left w:val="single" w:sz="4" w:space="0" w:color="auto"/>
              <w:bottom w:val="single" w:sz="4" w:space="0" w:color="auto"/>
              <w:right w:val="single" w:sz="4" w:space="0" w:color="auto"/>
            </w:tcBorders>
          </w:tcPr>
          <w:p w14:paraId="7B1C537D" w14:textId="77777777" w:rsidR="00526FE9" w:rsidRPr="008762D1" w:rsidRDefault="00526FE9" w:rsidP="005574A0">
            <w:pPr>
              <w:ind w:right="-93"/>
              <w:jc w:val="both"/>
              <w:rPr>
                <w:rFonts w:ascii="ITC Avant Garde" w:hAnsi="ITC Avant Garde"/>
                <w:color w:val="000000" w:themeColor="text1"/>
                <w:sz w:val="17"/>
                <w:szCs w:val="17"/>
              </w:rPr>
            </w:pPr>
          </w:p>
        </w:tc>
        <w:tc>
          <w:tcPr>
            <w:tcW w:w="1275" w:type="dxa"/>
            <w:gridSpan w:val="2"/>
            <w:tcBorders>
              <w:top w:val="single" w:sz="4" w:space="0" w:color="auto"/>
              <w:left w:val="single" w:sz="4" w:space="0" w:color="auto"/>
              <w:bottom w:val="single" w:sz="4" w:space="0" w:color="auto"/>
              <w:right w:val="single" w:sz="4" w:space="0" w:color="auto"/>
            </w:tcBorders>
          </w:tcPr>
          <w:p w14:paraId="08BBEC35" w14:textId="77777777" w:rsidR="00526FE9" w:rsidRPr="008762D1" w:rsidRDefault="00526FE9" w:rsidP="005574A0">
            <w:pPr>
              <w:ind w:right="-93"/>
              <w:jc w:val="both"/>
              <w:rPr>
                <w:rFonts w:ascii="ITC Avant Garde" w:hAnsi="ITC Avant Garde"/>
                <w:color w:val="000000" w:themeColor="text1"/>
                <w:sz w:val="17"/>
                <w:szCs w:val="17"/>
              </w:rPr>
            </w:pPr>
          </w:p>
        </w:tc>
        <w:tc>
          <w:tcPr>
            <w:tcW w:w="1417" w:type="dxa"/>
            <w:tcBorders>
              <w:top w:val="single" w:sz="4" w:space="0" w:color="auto"/>
              <w:left w:val="single" w:sz="4" w:space="0" w:color="auto"/>
              <w:bottom w:val="single" w:sz="4" w:space="0" w:color="auto"/>
              <w:right w:val="single" w:sz="4" w:space="0" w:color="auto"/>
            </w:tcBorders>
          </w:tcPr>
          <w:p w14:paraId="2C61623B"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gridSpan w:val="2"/>
            <w:tcBorders>
              <w:top w:val="single" w:sz="4" w:space="0" w:color="auto"/>
              <w:left w:val="single" w:sz="4" w:space="0" w:color="auto"/>
              <w:bottom w:val="single" w:sz="4" w:space="0" w:color="auto"/>
              <w:right w:val="single" w:sz="4" w:space="0" w:color="auto"/>
            </w:tcBorders>
          </w:tcPr>
          <w:p w14:paraId="2F023505"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02B8D484" w14:textId="77777777" w:rsidR="00526FE9" w:rsidRPr="008762D1" w:rsidRDefault="00526FE9" w:rsidP="005574A0">
            <w:pPr>
              <w:ind w:right="-93"/>
              <w:jc w:val="both"/>
              <w:rPr>
                <w:rFonts w:ascii="ITC Avant Garde" w:hAnsi="ITC Avant Garde"/>
                <w:color w:val="000000" w:themeColor="text1"/>
                <w:sz w:val="17"/>
                <w:szCs w:val="17"/>
              </w:rPr>
            </w:pPr>
          </w:p>
        </w:tc>
        <w:tc>
          <w:tcPr>
            <w:tcW w:w="1276" w:type="dxa"/>
            <w:tcBorders>
              <w:top w:val="single" w:sz="4" w:space="0" w:color="auto"/>
              <w:left w:val="single" w:sz="4" w:space="0" w:color="auto"/>
              <w:bottom w:val="single" w:sz="4" w:space="0" w:color="auto"/>
              <w:right w:val="single" w:sz="4" w:space="0" w:color="auto"/>
            </w:tcBorders>
          </w:tcPr>
          <w:p w14:paraId="07BD7B50" w14:textId="77777777" w:rsidR="00526FE9" w:rsidRPr="008762D1" w:rsidRDefault="00526FE9" w:rsidP="005574A0">
            <w:pPr>
              <w:ind w:right="-93"/>
              <w:jc w:val="both"/>
              <w:rPr>
                <w:rFonts w:ascii="ITC Avant Garde" w:hAnsi="ITC Avant Garde"/>
                <w:color w:val="000000" w:themeColor="text1"/>
                <w:sz w:val="17"/>
                <w:szCs w:val="17"/>
              </w:rPr>
            </w:pPr>
          </w:p>
        </w:tc>
        <w:tc>
          <w:tcPr>
            <w:tcW w:w="555" w:type="dxa"/>
            <w:gridSpan w:val="2"/>
            <w:tcBorders>
              <w:top w:val="single" w:sz="4" w:space="0" w:color="auto"/>
              <w:left w:val="single" w:sz="4" w:space="0" w:color="auto"/>
              <w:bottom w:val="single" w:sz="4" w:space="0" w:color="auto"/>
              <w:right w:val="single" w:sz="4" w:space="0" w:color="auto"/>
            </w:tcBorders>
          </w:tcPr>
          <w:p w14:paraId="0B3057C0" w14:textId="77777777" w:rsidR="00526FE9" w:rsidRPr="008762D1" w:rsidRDefault="00526FE9" w:rsidP="005574A0">
            <w:pPr>
              <w:ind w:right="-93"/>
              <w:jc w:val="both"/>
              <w:rPr>
                <w:rFonts w:ascii="ITC Avant Garde" w:hAnsi="ITC Avant Garde"/>
                <w:color w:val="000000" w:themeColor="text1"/>
                <w:sz w:val="17"/>
                <w:szCs w:val="17"/>
              </w:rPr>
            </w:pPr>
          </w:p>
        </w:tc>
      </w:tr>
    </w:tbl>
    <w:p w14:paraId="6928836A" w14:textId="6610C8CF" w:rsidR="00526FE9" w:rsidRPr="007B0A7C" w:rsidRDefault="00526FE9" w:rsidP="000F0B9F">
      <w:pPr>
        <w:spacing w:before="240"/>
        <w:ind w:right="473"/>
        <w:jc w:val="both"/>
        <w:rPr>
          <w:rFonts w:ascii="ITC Avant Garde" w:hAnsi="ITC Avant Garde"/>
          <w:color w:val="000000" w:themeColor="text1"/>
          <w:szCs w:val="24"/>
          <w:lang w:eastAsia="es-ES"/>
        </w:rPr>
      </w:pPr>
      <w:r w:rsidRPr="008762D1">
        <w:rPr>
          <w:rFonts w:ascii="ITC Avant Garde" w:hAnsi="ITC Avant Garde"/>
          <w:color w:val="000000" w:themeColor="text1"/>
          <w:sz w:val="21"/>
          <w:szCs w:val="21"/>
        </w:rPr>
        <w:t>NOTA</w:t>
      </w:r>
      <w:r w:rsidRPr="008762D1">
        <w:rPr>
          <w:rFonts w:ascii="ITC Avant Garde" w:hAnsi="ITC Avant Garde"/>
          <w:color w:val="000000" w:themeColor="text1"/>
        </w:rPr>
        <w:t xml:space="preserve">: </w:t>
      </w:r>
      <w:r w:rsidRPr="008762D1">
        <w:rPr>
          <w:rFonts w:ascii="ITC Avant Garde" w:hAnsi="ITC Avant Garde"/>
          <w:color w:val="000000" w:themeColor="text1"/>
          <w:sz w:val="21"/>
          <w:szCs w:val="21"/>
        </w:rPr>
        <w:t xml:space="preserve">Puertos de Acceso IP corresponden a un enlace de 1 </w:t>
      </w:r>
      <w:proofErr w:type="spellStart"/>
      <w:r w:rsidRPr="008762D1">
        <w:rPr>
          <w:rFonts w:ascii="ITC Avant Garde" w:hAnsi="ITC Avant Garde"/>
          <w:color w:val="000000" w:themeColor="text1"/>
          <w:sz w:val="21"/>
          <w:szCs w:val="21"/>
        </w:rPr>
        <w:t>Gbps</w:t>
      </w:r>
      <w:proofErr w:type="spellEnd"/>
      <w:r w:rsidRPr="008762D1">
        <w:rPr>
          <w:rFonts w:ascii="ITC Avant Garde" w:hAnsi="ITC Avant Garde"/>
          <w:color w:val="000000" w:themeColor="text1"/>
          <w:sz w:val="21"/>
          <w:szCs w:val="21"/>
        </w:rPr>
        <w:t xml:space="preserve"> y se activará en bloques incrementales</w:t>
      </w:r>
      <w:r w:rsidRPr="008762D1">
        <w:rPr>
          <w:rFonts w:ascii="ITC Avant Garde" w:hAnsi="ITC Avant Garde"/>
          <w:color w:val="000000" w:themeColor="text1"/>
        </w:rPr>
        <w:t xml:space="preserve"> de </w:t>
      </w:r>
      <w:r w:rsidRPr="008762D1">
        <w:rPr>
          <w:rFonts w:ascii="ITC Avant Garde" w:hAnsi="ITC Avant Garde"/>
          <w:color w:val="000000" w:themeColor="text1"/>
          <w:sz w:val="21"/>
          <w:szCs w:val="21"/>
        </w:rPr>
        <w:t>10 Mbps o 100 Mbps</w:t>
      </w:r>
      <w:r w:rsidRPr="008762D1">
        <w:rPr>
          <w:rFonts w:ascii="ITC Avant Garde" w:hAnsi="ITC Avant Garde" w:cs="Arial"/>
          <w:noProof/>
          <w:color w:val="000000" w:themeColor="text1"/>
          <w:sz w:val="21"/>
          <w:szCs w:val="21"/>
        </w:rPr>
        <w:t>,</w:t>
      </w:r>
      <w:r w:rsidRPr="008762D1">
        <w:rPr>
          <w:rFonts w:ascii="ITC Avant Garde" w:hAnsi="ITC Avant Garde"/>
          <w:color w:val="000000" w:themeColor="text1"/>
        </w:rPr>
        <w:t xml:space="preserve"> en la columna se indicará la capacidad a activar.</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la"/>
        <w:tblDescription w:val="Enlaces de señalización"/>
      </w:tblPr>
      <w:tblGrid>
        <w:gridCol w:w="1448"/>
        <w:gridCol w:w="841"/>
        <w:gridCol w:w="2280"/>
        <w:gridCol w:w="1135"/>
        <w:gridCol w:w="3971"/>
      </w:tblGrid>
      <w:tr w:rsidR="008762D1" w:rsidRPr="008762D1" w14:paraId="6F658A16" w14:textId="77777777" w:rsidTr="005574A0">
        <w:trPr>
          <w:tblHeader/>
          <w:jc w:val="center"/>
        </w:trPr>
        <w:tc>
          <w:tcPr>
            <w:tcW w:w="9675" w:type="dxa"/>
            <w:gridSpan w:val="5"/>
            <w:tcBorders>
              <w:top w:val="single" w:sz="4" w:space="0" w:color="auto"/>
              <w:left w:val="single" w:sz="4" w:space="0" w:color="auto"/>
              <w:bottom w:val="single" w:sz="4" w:space="0" w:color="auto"/>
              <w:right w:val="single" w:sz="4" w:space="0" w:color="auto"/>
            </w:tcBorders>
            <w:hideMark/>
          </w:tcPr>
          <w:p w14:paraId="52465631" w14:textId="77777777" w:rsidR="00526FE9" w:rsidRPr="008762D1" w:rsidRDefault="00526FE9" w:rsidP="005574A0">
            <w:pPr>
              <w:ind w:right="-93"/>
              <w:jc w:val="center"/>
              <w:rPr>
                <w:rFonts w:ascii="ITC Avant Garde" w:hAnsi="ITC Avant Garde"/>
                <w:b/>
                <w:color w:val="000000" w:themeColor="text1"/>
                <w:sz w:val="17"/>
                <w:szCs w:val="17"/>
                <w:lang w:val="es-ES"/>
              </w:rPr>
            </w:pPr>
            <w:r w:rsidRPr="008762D1">
              <w:rPr>
                <w:rFonts w:ascii="ITC Avant Garde" w:hAnsi="ITC Avant Garde"/>
                <w:b/>
                <w:color w:val="000000" w:themeColor="text1"/>
                <w:sz w:val="17"/>
                <w:szCs w:val="17"/>
              </w:rPr>
              <w:lastRenderedPageBreak/>
              <w:t>ENLACES DE SEÑALIZACIÓN</w:t>
            </w:r>
          </w:p>
        </w:tc>
      </w:tr>
      <w:tr w:rsidR="008762D1" w:rsidRPr="008762D1" w14:paraId="65E21428" w14:textId="77777777" w:rsidTr="005574A0">
        <w:trPr>
          <w:jc w:val="center"/>
        </w:trPr>
        <w:tc>
          <w:tcPr>
            <w:tcW w:w="228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2CA0141"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TELMEX</w:t>
            </w:r>
          </w:p>
        </w:tc>
        <w:tc>
          <w:tcPr>
            <w:tcW w:w="341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A9ED2BD"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CONCESIONARIO SOLICITANTE</w:t>
            </w:r>
          </w:p>
        </w:tc>
        <w:tc>
          <w:tcPr>
            <w:tcW w:w="3971" w:type="dxa"/>
            <w:tcBorders>
              <w:top w:val="single" w:sz="4" w:space="0" w:color="auto"/>
              <w:left w:val="single" w:sz="4" w:space="0" w:color="auto"/>
              <w:bottom w:val="single" w:sz="4" w:space="0" w:color="auto"/>
              <w:right w:val="single" w:sz="4" w:space="0" w:color="auto"/>
            </w:tcBorders>
            <w:shd w:val="clear" w:color="auto" w:fill="D9D9D9"/>
            <w:hideMark/>
          </w:tcPr>
          <w:p w14:paraId="5A075203"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REQUERIMIENTOS</w:t>
            </w:r>
          </w:p>
        </w:tc>
      </w:tr>
      <w:tr w:rsidR="008762D1" w:rsidRPr="008762D1" w14:paraId="192EDFDA" w14:textId="77777777" w:rsidTr="005574A0">
        <w:trPr>
          <w:jc w:val="center"/>
        </w:trPr>
        <w:tc>
          <w:tcPr>
            <w:tcW w:w="1448" w:type="dxa"/>
            <w:tcBorders>
              <w:top w:val="single" w:sz="4" w:space="0" w:color="auto"/>
              <w:left w:val="single" w:sz="4" w:space="0" w:color="auto"/>
              <w:bottom w:val="single" w:sz="4" w:space="0" w:color="auto"/>
              <w:right w:val="single" w:sz="4" w:space="0" w:color="auto"/>
            </w:tcBorders>
            <w:shd w:val="clear" w:color="auto" w:fill="D9D9D9"/>
            <w:hideMark/>
          </w:tcPr>
          <w:p w14:paraId="2D2C1EEB"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Ciudad</w:t>
            </w:r>
          </w:p>
        </w:tc>
        <w:tc>
          <w:tcPr>
            <w:tcW w:w="841" w:type="dxa"/>
            <w:tcBorders>
              <w:top w:val="single" w:sz="4" w:space="0" w:color="auto"/>
              <w:left w:val="single" w:sz="4" w:space="0" w:color="auto"/>
              <w:bottom w:val="single" w:sz="4" w:space="0" w:color="auto"/>
              <w:right w:val="single" w:sz="4" w:space="0" w:color="auto"/>
            </w:tcBorders>
            <w:shd w:val="clear" w:color="auto" w:fill="D9D9D9"/>
            <w:hideMark/>
          </w:tcPr>
          <w:p w14:paraId="10AAF5CA"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PDIC</w:t>
            </w:r>
          </w:p>
        </w:tc>
        <w:tc>
          <w:tcPr>
            <w:tcW w:w="2280" w:type="dxa"/>
            <w:tcBorders>
              <w:top w:val="single" w:sz="4" w:space="0" w:color="auto"/>
              <w:left w:val="single" w:sz="4" w:space="0" w:color="auto"/>
              <w:bottom w:val="single" w:sz="4" w:space="0" w:color="auto"/>
              <w:right w:val="single" w:sz="4" w:space="0" w:color="auto"/>
            </w:tcBorders>
            <w:shd w:val="clear" w:color="auto" w:fill="D9D9D9"/>
            <w:hideMark/>
          </w:tcPr>
          <w:p w14:paraId="09A406C0"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Ciudad</w:t>
            </w:r>
          </w:p>
        </w:tc>
        <w:tc>
          <w:tcPr>
            <w:tcW w:w="1135" w:type="dxa"/>
            <w:tcBorders>
              <w:top w:val="single" w:sz="4" w:space="0" w:color="auto"/>
              <w:left w:val="single" w:sz="4" w:space="0" w:color="auto"/>
              <w:bottom w:val="single" w:sz="4" w:space="0" w:color="auto"/>
              <w:right w:val="single" w:sz="4" w:space="0" w:color="auto"/>
            </w:tcBorders>
            <w:shd w:val="clear" w:color="auto" w:fill="D9D9D9"/>
            <w:hideMark/>
          </w:tcPr>
          <w:p w14:paraId="74A3A859"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b/>
                <w:color w:val="000000" w:themeColor="text1"/>
                <w:sz w:val="17"/>
                <w:szCs w:val="17"/>
              </w:rPr>
              <w:t>Dirección</w:t>
            </w:r>
          </w:p>
        </w:tc>
        <w:tc>
          <w:tcPr>
            <w:tcW w:w="3971" w:type="dxa"/>
            <w:tcBorders>
              <w:top w:val="single" w:sz="4" w:space="0" w:color="auto"/>
              <w:left w:val="single" w:sz="4" w:space="0" w:color="auto"/>
              <w:bottom w:val="single" w:sz="4" w:space="0" w:color="auto"/>
              <w:right w:val="single" w:sz="4" w:space="0" w:color="auto"/>
            </w:tcBorders>
            <w:shd w:val="clear" w:color="auto" w:fill="D9D9D9"/>
            <w:hideMark/>
          </w:tcPr>
          <w:p w14:paraId="457E4BCD" w14:textId="77777777" w:rsidR="00526FE9" w:rsidRPr="008762D1" w:rsidRDefault="00526FE9" w:rsidP="005574A0">
            <w:pPr>
              <w:ind w:right="-93"/>
              <w:jc w:val="center"/>
              <w:rPr>
                <w:rFonts w:ascii="ITC Avant Garde" w:hAnsi="ITC Avant Garde"/>
                <w:b/>
                <w:color w:val="000000" w:themeColor="text1"/>
                <w:sz w:val="17"/>
                <w:szCs w:val="17"/>
              </w:rPr>
            </w:pPr>
            <w:r w:rsidRPr="008762D1">
              <w:rPr>
                <w:rFonts w:ascii="ITC Avant Garde" w:hAnsi="ITC Avant Garde" w:cs="Arial"/>
                <w:b/>
                <w:noProof/>
                <w:color w:val="000000" w:themeColor="text1"/>
                <w:sz w:val="17"/>
                <w:szCs w:val="17"/>
              </w:rPr>
              <w:t>E1s</w:t>
            </w:r>
          </w:p>
        </w:tc>
      </w:tr>
      <w:tr w:rsidR="008762D1" w:rsidRPr="008762D1" w14:paraId="782B3379" w14:textId="77777777" w:rsidTr="005574A0">
        <w:trPr>
          <w:jc w:val="center"/>
        </w:trPr>
        <w:tc>
          <w:tcPr>
            <w:tcW w:w="9675" w:type="dxa"/>
            <w:gridSpan w:val="5"/>
            <w:tcBorders>
              <w:top w:val="single" w:sz="4" w:space="0" w:color="auto"/>
              <w:left w:val="single" w:sz="4" w:space="0" w:color="auto"/>
              <w:bottom w:val="single" w:sz="4" w:space="0" w:color="auto"/>
              <w:right w:val="single" w:sz="4" w:space="0" w:color="auto"/>
            </w:tcBorders>
            <w:hideMark/>
          </w:tcPr>
          <w:p w14:paraId="364E62A5" w14:textId="77777777" w:rsidR="00526FE9" w:rsidRPr="008762D1" w:rsidRDefault="00526FE9" w:rsidP="005574A0">
            <w:pPr>
              <w:ind w:right="-93"/>
              <w:jc w:val="center"/>
              <w:rPr>
                <w:rFonts w:ascii="ITC Avant Garde" w:hAnsi="ITC Avant Garde"/>
                <w:color w:val="000000" w:themeColor="text1"/>
                <w:sz w:val="17"/>
                <w:szCs w:val="17"/>
              </w:rPr>
            </w:pPr>
            <w:r w:rsidRPr="008762D1">
              <w:rPr>
                <w:rFonts w:ascii="ITC Avant Garde" w:hAnsi="ITC Avant Garde"/>
                <w:b/>
                <w:color w:val="000000" w:themeColor="text1"/>
                <w:sz w:val="17"/>
                <w:szCs w:val="17"/>
              </w:rPr>
              <w:t>SEMESTRE____</w:t>
            </w:r>
          </w:p>
        </w:tc>
      </w:tr>
      <w:tr w:rsidR="008762D1" w:rsidRPr="008762D1" w14:paraId="3D8FC6B8" w14:textId="77777777" w:rsidTr="005574A0">
        <w:trPr>
          <w:jc w:val="center"/>
        </w:trPr>
        <w:tc>
          <w:tcPr>
            <w:tcW w:w="1448" w:type="dxa"/>
            <w:tcBorders>
              <w:top w:val="single" w:sz="4" w:space="0" w:color="auto"/>
              <w:left w:val="single" w:sz="4" w:space="0" w:color="auto"/>
              <w:bottom w:val="single" w:sz="4" w:space="0" w:color="auto"/>
              <w:right w:val="single" w:sz="4" w:space="0" w:color="auto"/>
            </w:tcBorders>
          </w:tcPr>
          <w:p w14:paraId="2C629980" w14:textId="77777777" w:rsidR="00526FE9" w:rsidRPr="008762D1" w:rsidRDefault="00526FE9" w:rsidP="005574A0">
            <w:pPr>
              <w:ind w:right="-93"/>
              <w:jc w:val="both"/>
              <w:rPr>
                <w:rFonts w:ascii="ITC Avant Garde" w:hAnsi="ITC Avant Garde"/>
                <w:color w:val="000000" w:themeColor="text1"/>
                <w:sz w:val="17"/>
                <w:szCs w:val="17"/>
              </w:rPr>
            </w:pPr>
          </w:p>
        </w:tc>
        <w:tc>
          <w:tcPr>
            <w:tcW w:w="841" w:type="dxa"/>
            <w:tcBorders>
              <w:top w:val="single" w:sz="4" w:space="0" w:color="auto"/>
              <w:left w:val="single" w:sz="4" w:space="0" w:color="auto"/>
              <w:bottom w:val="single" w:sz="4" w:space="0" w:color="auto"/>
              <w:right w:val="single" w:sz="4" w:space="0" w:color="auto"/>
            </w:tcBorders>
          </w:tcPr>
          <w:p w14:paraId="5DA796BE" w14:textId="77777777" w:rsidR="00526FE9" w:rsidRPr="008762D1" w:rsidRDefault="00526FE9" w:rsidP="005574A0">
            <w:pPr>
              <w:ind w:right="-93"/>
              <w:jc w:val="both"/>
              <w:rPr>
                <w:rFonts w:ascii="ITC Avant Garde" w:hAnsi="ITC Avant Garde"/>
                <w:color w:val="000000" w:themeColor="text1"/>
                <w:sz w:val="17"/>
                <w:szCs w:val="17"/>
              </w:rPr>
            </w:pPr>
          </w:p>
        </w:tc>
        <w:tc>
          <w:tcPr>
            <w:tcW w:w="2280" w:type="dxa"/>
            <w:tcBorders>
              <w:top w:val="single" w:sz="4" w:space="0" w:color="auto"/>
              <w:left w:val="single" w:sz="4" w:space="0" w:color="auto"/>
              <w:bottom w:val="single" w:sz="4" w:space="0" w:color="auto"/>
              <w:right w:val="single" w:sz="4" w:space="0" w:color="auto"/>
            </w:tcBorders>
          </w:tcPr>
          <w:p w14:paraId="014EEFAA" w14:textId="77777777" w:rsidR="00526FE9" w:rsidRPr="008762D1" w:rsidRDefault="00526FE9" w:rsidP="005574A0">
            <w:pPr>
              <w:ind w:right="-93"/>
              <w:jc w:val="both"/>
              <w:rPr>
                <w:rFonts w:ascii="ITC Avant Garde" w:hAnsi="ITC Avant Garde"/>
                <w:color w:val="000000" w:themeColor="text1"/>
                <w:sz w:val="17"/>
                <w:szCs w:val="17"/>
              </w:rPr>
            </w:pPr>
          </w:p>
        </w:tc>
        <w:tc>
          <w:tcPr>
            <w:tcW w:w="1135" w:type="dxa"/>
            <w:tcBorders>
              <w:top w:val="single" w:sz="4" w:space="0" w:color="auto"/>
              <w:left w:val="single" w:sz="4" w:space="0" w:color="auto"/>
              <w:bottom w:val="single" w:sz="4" w:space="0" w:color="auto"/>
              <w:right w:val="single" w:sz="4" w:space="0" w:color="auto"/>
            </w:tcBorders>
          </w:tcPr>
          <w:p w14:paraId="4C4CEACE" w14:textId="77777777" w:rsidR="00526FE9" w:rsidRPr="008762D1" w:rsidRDefault="00526FE9" w:rsidP="005574A0">
            <w:pPr>
              <w:ind w:right="-93"/>
              <w:jc w:val="both"/>
              <w:rPr>
                <w:rFonts w:ascii="ITC Avant Garde" w:hAnsi="ITC Avant Garde"/>
                <w:color w:val="000000" w:themeColor="text1"/>
                <w:sz w:val="17"/>
                <w:szCs w:val="17"/>
              </w:rPr>
            </w:pPr>
          </w:p>
        </w:tc>
        <w:tc>
          <w:tcPr>
            <w:tcW w:w="3971" w:type="dxa"/>
            <w:tcBorders>
              <w:top w:val="single" w:sz="4" w:space="0" w:color="auto"/>
              <w:left w:val="single" w:sz="4" w:space="0" w:color="auto"/>
              <w:bottom w:val="single" w:sz="4" w:space="0" w:color="auto"/>
              <w:right w:val="single" w:sz="4" w:space="0" w:color="auto"/>
            </w:tcBorders>
          </w:tcPr>
          <w:p w14:paraId="3DD8B475"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1324A79D" w14:textId="77777777" w:rsidTr="005574A0">
        <w:trPr>
          <w:jc w:val="center"/>
        </w:trPr>
        <w:tc>
          <w:tcPr>
            <w:tcW w:w="1448" w:type="dxa"/>
            <w:tcBorders>
              <w:top w:val="single" w:sz="4" w:space="0" w:color="auto"/>
              <w:left w:val="single" w:sz="4" w:space="0" w:color="auto"/>
              <w:bottom w:val="single" w:sz="4" w:space="0" w:color="auto"/>
              <w:right w:val="single" w:sz="4" w:space="0" w:color="auto"/>
            </w:tcBorders>
          </w:tcPr>
          <w:p w14:paraId="4FC74EFE" w14:textId="77777777" w:rsidR="00526FE9" w:rsidRPr="008762D1" w:rsidRDefault="00526FE9" w:rsidP="005574A0">
            <w:pPr>
              <w:ind w:right="-93"/>
              <w:jc w:val="both"/>
              <w:rPr>
                <w:rFonts w:ascii="ITC Avant Garde" w:hAnsi="ITC Avant Garde"/>
                <w:color w:val="000000" w:themeColor="text1"/>
                <w:sz w:val="17"/>
                <w:szCs w:val="17"/>
              </w:rPr>
            </w:pPr>
          </w:p>
        </w:tc>
        <w:tc>
          <w:tcPr>
            <w:tcW w:w="841" w:type="dxa"/>
            <w:tcBorders>
              <w:top w:val="single" w:sz="4" w:space="0" w:color="auto"/>
              <w:left w:val="single" w:sz="4" w:space="0" w:color="auto"/>
              <w:bottom w:val="single" w:sz="4" w:space="0" w:color="auto"/>
              <w:right w:val="single" w:sz="4" w:space="0" w:color="auto"/>
            </w:tcBorders>
          </w:tcPr>
          <w:p w14:paraId="2C2E516C" w14:textId="77777777" w:rsidR="00526FE9" w:rsidRPr="008762D1" w:rsidRDefault="00526FE9" w:rsidP="005574A0">
            <w:pPr>
              <w:ind w:right="-93"/>
              <w:jc w:val="both"/>
              <w:rPr>
                <w:rFonts w:ascii="ITC Avant Garde" w:hAnsi="ITC Avant Garde"/>
                <w:color w:val="000000" w:themeColor="text1"/>
                <w:sz w:val="17"/>
                <w:szCs w:val="17"/>
              </w:rPr>
            </w:pPr>
          </w:p>
        </w:tc>
        <w:tc>
          <w:tcPr>
            <w:tcW w:w="2280" w:type="dxa"/>
            <w:tcBorders>
              <w:top w:val="single" w:sz="4" w:space="0" w:color="auto"/>
              <w:left w:val="single" w:sz="4" w:space="0" w:color="auto"/>
              <w:bottom w:val="single" w:sz="4" w:space="0" w:color="auto"/>
              <w:right w:val="single" w:sz="4" w:space="0" w:color="auto"/>
            </w:tcBorders>
          </w:tcPr>
          <w:p w14:paraId="07F66C56" w14:textId="77777777" w:rsidR="00526FE9" w:rsidRPr="008762D1" w:rsidRDefault="00526FE9" w:rsidP="005574A0">
            <w:pPr>
              <w:ind w:right="-93"/>
              <w:jc w:val="both"/>
              <w:rPr>
                <w:rFonts w:ascii="ITC Avant Garde" w:hAnsi="ITC Avant Garde"/>
                <w:color w:val="000000" w:themeColor="text1"/>
                <w:sz w:val="17"/>
                <w:szCs w:val="17"/>
              </w:rPr>
            </w:pPr>
          </w:p>
        </w:tc>
        <w:tc>
          <w:tcPr>
            <w:tcW w:w="1135" w:type="dxa"/>
            <w:tcBorders>
              <w:top w:val="single" w:sz="4" w:space="0" w:color="auto"/>
              <w:left w:val="single" w:sz="4" w:space="0" w:color="auto"/>
              <w:bottom w:val="single" w:sz="4" w:space="0" w:color="auto"/>
              <w:right w:val="single" w:sz="4" w:space="0" w:color="auto"/>
            </w:tcBorders>
          </w:tcPr>
          <w:p w14:paraId="13A6D964" w14:textId="77777777" w:rsidR="00526FE9" w:rsidRPr="008762D1" w:rsidRDefault="00526FE9" w:rsidP="005574A0">
            <w:pPr>
              <w:ind w:right="-93"/>
              <w:jc w:val="both"/>
              <w:rPr>
                <w:rFonts w:ascii="ITC Avant Garde" w:hAnsi="ITC Avant Garde"/>
                <w:color w:val="000000" w:themeColor="text1"/>
                <w:sz w:val="17"/>
                <w:szCs w:val="17"/>
              </w:rPr>
            </w:pPr>
          </w:p>
        </w:tc>
        <w:tc>
          <w:tcPr>
            <w:tcW w:w="3971" w:type="dxa"/>
            <w:tcBorders>
              <w:top w:val="single" w:sz="4" w:space="0" w:color="auto"/>
              <w:left w:val="single" w:sz="4" w:space="0" w:color="auto"/>
              <w:bottom w:val="single" w:sz="4" w:space="0" w:color="auto"/>
              <w:right w:val="single" w:sz="4" w:space="0" w:color="auto"/>
            </w:tcBorders>
          </w:tcPr>
          <w:p w14:paraId="02EE8302"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27EDAE3A" w14:textId="77777777" w:rsidTr="005574A0">
        <w:trPr>
          <w:jc w:val="center"/>
        </w:trPr>
        <w:tc>
          <w:tcPr>
            <w:tcW w:w="1448" w:type="dxa"/>
            <w:tcBorders>
              <w:top w:val="single" w:sz="4" w:space="0" w:color="auto"/>
              <w:left w:val="single" w:sz="4" w:space="0" w:color="auto"/>
              <w:bottom w:val="single" w:sz="4" w:space="0" w:color="auto"/>
              <w:right w:val="single" w:sz="4" w:space="0" w:color="auto"/>
            </w:tcBorders>
          </w:tcPr>
          <w:p w14:paraId="003EFB3F" w14:textId="77777777" w:rsidR="00526FE9" w:rsidRPr="008762D1" w:rsidRDefault="00526FE9" w:rsidP="005574A0">
            <w:pPr>
              <w:ind w:right="-93"/>
              <w:jc w:val="both"/>
              <w:rPr>
                <w:rFonts w:ascii="ITC Avant Garde" w:hAnsi="ITC Avant Garde"/>
                <w:color w:val="000000" w:themeColor="text1"/>
                <w:sz w:val="17"/>
                <w:szCs w:val="17"/>
              </w:rPr>
            </w:pPr>
          </w:p>
        </w:tc>
        <w:tc>
          <w:tcPr>
            <w:tcW w:w="841" w:type="dxa"/>
            <w:tcBorders>
              <w:top w:val="single" w:sz="4" w:space="0" w:color="auto"/>
              <w:left w:val="single" w:sz="4" w:space="0" w:color="auto"/>
              <w:bottom w:val="single" w:sz="4" w:space="0" w:color="auto"/>
              <w:right w:val="single" w:sz="4" w:space="0" w:color="auto"/>
            </w:tcBorders>
          </w:tcPr>
          <w:p w14:paraId="0B3955C4" w14:textId="77777777" w:rsidR="00526FE9" w:rsidRPr="008762D1" w:rsidRDefault="00526FE9" w:rsidP="005574A0">
            <w:pPr>
              <w:ind w:right="-93"/>
              <w:jc w:val="both"/>
              <w:rPr>
                <w:rFonts w:ascii="ITC Avant Garde" w:hAnsi="ITC Avant Garde"/>
                <w:color w:val="000000" w:themeColor="text1"/>
                <w:sz w:val="17"/>
                <w:szCs w:val="17"/>
              </w:rPr>
            </w:pPr>
          </w:p>
        </w:tc>
        <w:tc>
          <w:tcPr>
            <w:tcW w:w="2280" w:type="dxa"/>
            <w:tcBorders>
              <w:top w:val="single" w:sz="4" w:space="0" w:color="auto"/>
              <w:left w:val="single" w:sz="4" w:space="0" w:color="auto"/>
              <w:bottom w:val="single" w:sz="4" w:space="0" w:color="auto"/>
              <w:right w:val="single" w:sz="4" w:space="0" w:color="auto"/>
            </w:tcBorders>
          </w:tcPr>
          <w:p w14:paraId="319BE452" w14:textId="77777777" w:rsidR="00526FE9" w:rsidRPr="008762D1" w:rsidRDefault="00526FE9" w:rsidP="005574A0">
            <w:pPr>
              <w:ind w:right="-93"/>
              <w:jc w:val="both"/>
              <w:rPr>
                <w:rFonts w:ascii="ITC Avant Garde" w:hAnsi="ITC Avant Garde"/>
                <w:color w:val="000000" w:themeColor="text1"/>
                <w:sz w:val="17"/>
                <w:szCs w:val="17"/>
              </w:rPr>
            </w:pPr>
          </w:p>
        </w:tc>
        <w:tc>
          <w:tcPr>
            <w:tcW w:w="1135" w:type="dxa"/>
            <w:tcBorders>
              <w:top w:val="single" w:sz="4" w:space="0" w:color="auto"/>
              <w:left w:val="single" w:sz="4" w:space="0" w:color="auto"/>
              <w:bottom w:val="single" w:sz="4" w:space="0" w:color="auto"/>
              <w:right w:val="single" w:sz="4" w:space="0" w:color="auto"/>
            </w:tcBorders>
          </w:tcPr>
          <w:p w14:paraId="4492F4C6" w14:textId="77777777" w:rsidR="00526FE9" w:rsidRPr="008762D1" w:rsidRDefault="00526FE9" w:rsidP="005574A0">
            <w:pPr>
              <w:ind w:right="-93"/>
              <w:jc w:val="both"/>
              <w:rPr>
                <w:rFonts w:ascii="ITC Avant Garde" w:hAnsi="ITC Avant Garde"/>
                <w:color w:val="000000" w:themeColor="text1"/>
                <w:sz w:val="17"/>
                <w:szCs w:val="17"/>
              </w:rPr>
            </w:pPr>
          </w:p>
        </w:tc>
        <w:tc>
          <w:tcPr>
            <w:tcW w:w="3971" w:type="dxa"/>
            <w:tcBorders>
              <w:top w:val="single" w:sz="4" w:space="0" w:color="auto"/>
              <w:left w:val="single" w:sz="4" w:space="0" w:color="auto"/>
              <w:bottom w:val="single" w:sz="4" w:space="0" w:color="auto"/>
              <w:right w:val="single" w:sz="4" w:space="0" w:color="auto"/>
            </w:tcBorders>
          </w:tcPr>
          <w:p w14:paraId="54C51619"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1B77F555" w14:textId="77777777" w:rsidTr="005574A0">
        <w:trPr>
          <w:jc w:val="center"/>
        </w:trPr>
        <w:tc>
          <w:tcPr>
            <w:tcW w:w="1448" w:type="dxa"/>
            <w:tcBorders>
              <w:top w:val="single" w:sz="4" w:space="0" w:color="auto"/>
              <w:left w:val="single" w:sz="4" w:space="0" w:color="auto"/>
              <w:bottom w:val="single" w:sz="4" w:space="0" w:color="auto"/>
              <w:right w:val="single" w:sz="4" w:space="0" w:color="auto"/>
            </w:tcBorders>
          </w:tcPr>
          <w:p w14:paraId="6441A52F" w14:textId="77777777" w:rsidR="00526FE9" w:rsidRPr="008762D1" w:rsidRDefault="00526FE9" w:rsidP="005574A0">
            <w:pPr>
              <w:ind w:right="-93"/>
              <w:jc w:val="both"/>
              <w:rPr>
                <w:rFonts w:ascii="ITC Avant Garde" w:hAnsi="ITC Avant Garde"/>
                <w:color w:val="000000" w:themeColor="text1"/>
                <w:sz w:val="17"/>
                <w:szCs w:val="17"/>
              </w:rPr>
            </w:pPr>
          </w:p>
        </w:tc>
        <w:tc>
          <w:tcPr>
            <w:tcW w:w="841" w:type="dxa"/>
            <w:tcBorders>
              <w:top w:val="single" w:sz="4" w:space="0" w:color="auto"/>
              <w:left w:val="single" w:sz="4" w:space="0" w:color="auto"/>
              <w:bottom w:val="single" w:sz="4" w:space="0" w:color="auto"/>
              <w:right w:val="single" w:sz="4" w:space="0" w:color="auto"/>
            </w:tcBorders>
          </w:tcPr>
          <w:p w14:paraId="456AEC2B" w14:textId="77777777" w:rsidR="00526FE9" w:rsidRPr="008762D1" w:rsidRDefault="00526FE9" w:rsidP="005574A0">
            <w:pPr>
              <w:ind w:right="-93"/>
              <w:jc w:val="both"/>
              <w:rPr>
                <w:rFonts w:ascii="ITC Avant Garde" w:hAnsi="ITC Avant Garde"/>
                <w:color w:val="000000" w:themeColor="text1"/>
                <w:sz w:val="17"/>
                <w:szCs w:val="17"/>
              </w:rPr>
            </w:pPr>
          </w:p>
        </w:tc>
        <w:tc>
          <w:tcPr>
            <w:tcW w:w="2280" w:type="dxa"/>
            <w:tcBorders>
              <w:top w:val="single" w:sz="4" w:space="0" w:color="auto"/>
              <w:left w:val="single" w:sz="4" w:space="0" w:color="auto"/>
              <w:bottom w:val="single" w:sz="4" w:space="0" w:color="auto"/>
              <w:right w:val="single" w:sz="4" w:space="0" w:color="auto"/>
            </w:tcBorders>
          </w:tcPr>
          <w:p w14:paraId="31F2FD45" w14:textId="77777777" w:rsidR="00526FE9" w:rsidRPr="008762D1" w:rsidRDefault="00526FE9" w:rsidP="005574A0">
            <w:pPr>
              <w:ind w:right="-93"/>
              <w:jc w:val="both"/>
              <w:rPr>
                <w:rFonts w:ascii="ITC Avant Garde" w:hAnsi="ITC Avant Garde"/>
                <w:color w:val="000000" w:themeColor="text1"/>
                <w:sz w:val="17"/>
                <w:szCs w:val="17"/>
              </w:rPr>
            </w:pPr>
          </w:p>
        </w:tc>
        <w:tc>
          <w:tcPr>
            <w:tcW w:w="1135" w:type="dxa"/>
            <w:tcBorders>
              <w:top w:val="single" w:sz="4" w:space="0" w:color="auto"/>
              <w:left w:val="single" w:sz="4" w:space="0" w:color="auto"/>
              <w:bottom w:val="single" w:sz="4" w:space="0" w:color="auto"/>
              <w:right w:val="single" w:sz="4" w:space="0" w:color="auto"/>
            </w:tcBorders>
          </w:tcPr>
          <w:p w14:paraId="51EB1D20" w14:textId="77777777" w:rsidR="00526FE9" w:rsidRPr="008762D1" w:rsidRDefault="00526FE9" w:rsidP="005574A0">
            <w:pPr>
              <w:ind w:right="-93"/>
              <w:jc w:val="both"/>
              <w:rPr>
                <w:rFonts w:ascii="ITC Avant Garde" w:hAnsi="ITC Avant Garde"/>
                <w:color w:val="000000" w:themeColor="text1"/>
                <w:sz w:val="17"/>
                <w:szCs w:val="17"/>
              </w:rPr>
            </w:pPr>
          </w:p>
        </w:tc>
        <w:tc>
          <w:tcPr>
            <w:tcW w:w="3971" w:type="dxa"/>
            <w:tcBorders>
              <w:top w:val="single" w:sz="4" w:space="0" w:color="auto"/>
              <w:left w:val="single" w:sz="4" w:space="0" w:color="auto"/>
              <w:bottom w:val="single" w:sz="4" w:space="0" w:color="auto"/>
              <w:right w:val="single" w:sz="4" w:space="0" w:color="auto"/>
            </w:tcBorders>
          </w:tcPr>
          <w:p w14:paraId="43C94564" w14:textId="77777777" w:rsidR="00526FE9" w:rsidRPr="008762D1" w:rsidRDefault="00526FE9" w:rsidP="005574A0">
            <w:pPr>
              <w:ind w:right="-93"/>
              <w:jc w:val="both"/>
              <w:rPr>
                <w:rFonts w:ascii="ITC Avant Garde" w:hAnsi="ITC Avant Garde"/>
                <w:color w:val="000000" w:themeColor="text1"/>
                <w:sz w:val="17"/>
                <w:szCs w:val="17"/>
              </w:rPr>
            </w:pPr>
          </w:p>
        </w:tc>
      </w:tr>
      <w:tr w:rsidR="008762D1" w:rsidRPr="008762D1" w14:paraId="020468A4" w14:textId="77777777" w:rsidTr="005574A0">
        <w:trPr>
          <w:jc w:val="center"/>
        </w:trPr>
        <w:tc>
          <w:tcPr>
            <w:tcW w:w="1448" w:type="dxa"/>
            <w:tcBorders>
              <w:top w:val="single" w:sz="4" w:space="0" w:color="auto"/>
              <w:left w:val="single" w:sz="4" w:space="0" w:color="auto"/>
              <w:bottom w:val="single" w:sz="4" w:space="0" w:color="auto"/>
              <w:right w:val="single" w:sz="4" w:space="0" w:color="auto"/>
            </w:tcBorders>
          </w:tcPr>
          <w:p w14:paraId="640B75D9" w14:textId="77777777" w:rsidR="00526FE9" w:rsidRPr="008762D1" w:rsidRDefault="00526FE9" w:rsidP="005574A0">
            <w:pPr>
              <w:ind w:right="-93"/>
              <w:jc w:val="both"/>
              <w:rPr>
                <w:rFonts w:ascii="ITC Avant Garde" w:hAnsi="ITC Avant Garde"/>
                <w:color w:val="000000" w:themeColor="text1"/>
                <w:sz w:val="17"/>
                <w:szCs w:val="17"/>
              </w:rPr>
            </w:pPr>
          </w:p>
        </w:tc>
        <w:tc>
          <w:tcPr>
            <w:tcW w:w="841" w:type="dxa"/>
            <w:tcBorders>
              <w:top w:val="single" w:sz="4" w:space="0" w:color="auto"/>
              <w:left w:val="single" w:sz="4" w:space="0" w:color="auto"/>
              <w:bottom w:val="single" w:sz="4" w:space="0" w:color="auto"/>
              <w:right w:val="single" w:sz="4" w:space="0" w:color="auto"/>
            </w:tcBorders>
          </w:tcPr>
          <w:p w14:paraId="26B4F9F9" w14:textId="77777777" w:rsidR="00526FE9" w:rsidRPr="008762D1" w:rsidRDefault="00526FE9" w:rsidP="005574A0">
            <w:pPr>
              <w:ind w:right="-93"/>
              <w:jc w:val="both"/>
              <w:rPr>
                <w:rFonts w:ascii="ITC Avant Garde" w:hAnsi="ITC Avant Garde"/>
                <w:color w:val="000000" w:themeColor="text1"/>
                <w:sz w:val="17"/>
                <w:szCs w:val="17"/>
              </w:rPr>
            </w:pPr>
          </w:p>
        </w:tc>
        <w:tc>
          <w:tcPr>
            <w:tcW w:w="2280" w:type="dxa"/>
            <w:tcBorders>
              <w:top w:val="single" w:sz="4" w:space="0" w:color="auto"/>
              <w:left w:val="single" w:sz="4" w:space="0" w:color="auto"/>
              <w:bottom w:val="single" w:sz="4" w:space="0" w:color="auto"/>
              <w:right w:val="single" w:sz="4" w:space="0" w:color="auto"/>
            </w:tcBorders>
          </w:tcPr>
          <w:p w14:paraId="07E68DC4" w14:textId="77777777" w:rsidR="00526FE9" w:rsidRPr="008762D1" w:rsidRDefault="00526FE9" w:rsidP="005574A0">
            <w:pPr>
              <w:ind w:right="-93"/>
              <w:jc w:val="both"/>
              <w:rPr>
                <w:rFonts w:ascii="ITC Avant Garde" w:hAnsi="ITC Avant Garde"/>
                <w:color w:val="000000" w:themeColor="text1"/>
                <w:sz w:val="17"/>
                <w:szCs w:val="17"/>
              </w:rPr>
            </w:pPr>
          </w:p>
        </w:tc>
        <w:tc>
          <w:tcPr>
            <w:tcW w:w="1135" w:type="dxa"/>
            <w:tcBorders>
              <w:top w:val="single" w:sz="4" w:space="0" w:color="auto"/>
              <w:left w:val="single" w:sz="4" w:space="0" w:color="auto"/>
              <w:bottom w:val="single" w:sz="4" w:space="0" w:color="auto"/>
              <w:right w:val="single" w:sz="4" w:space="0" w:color="auto"/>
            </w:tcBorders>
          </w:tcPr>
          <w:p w14:paraId="32D9568B" w14:textId="77777777" w:rsidR="00526FE9" w:rsidRPr="008762D1" w:rsidRDefault="00526FE9" w:rsidP="005574A0">
            <w:pPr>
              <w:ind w:right="-93"/>
              <w:jc w:val="both"/>
              <w:rPr>
                <w:rFonts w:ascii="ITC Avant Garde" w:hAnsi="ITC Avant Garde"/>
                <w:color w:val="000000" w:themeColor="text1"/>
                <w:sz w:val="17"/>
                <w:szCs w:val="17"/>
              </w:rPr>
            </w:pPr>
          </w:p>
        </w:tc>
        <w:tc>
          <w:tcPr>
            <w:tcW w:w="3971" w:type="dxa"/>
            <w:tcBorders>
              <w:top w:val="single" w:sz="4" w:space="0" w:color="auto"/>
              <w:left w:val="single" w:sz="4" w:space="0" w:color="auto"/>
              <w:bottom w:val="single" w:sz="4" w:space="0" w:color="auto"/>
              <w:right w:val="single" w:sz="4" w:space="0" w:color="auto"/>
            </w:tcBorders>
          </w:tcPr>
          <w:p w14:paraId="56D9F121" w14:textId="77777777" w:rsidR="00526FE9" w:rsidRPr="008762D1" w:rsidRDefault="00526FE9" w:rsidP="005574A0">
            <w:pPr>
              <w:ind w:right="-93"/>
              <w:jc w:val="both"/>
              <w:rPr>
                <w:rFonts w:ascii="ITC Avant Garde" w:hAnsi="ITC Avant Garde"/>
                <w:color w:val="000000" w:themeColor="text1"/>
                <w:sz w:val="17"/>
                <w:szCs w:val="17"/>
              </w:rPr>
            </w:pPr>
          </w:p>
        </w:tc>
      </w:tr>
    </w:tbl>
    <w:p w14:paraId="6F081642" w14:textId="2CF49952" w:rsidR="00526FE9" w:rsidRPr="007B0A7C" w:rsidRDefault="00526FE9" w:rsidP="000F0B9F">
      <w:pPr>
        <w:spacing w:before="240"/>
        <w:ind w:right="-93"/>
        <w:jc w:val="both"/>
        <w:rPr>
          <w:rFonts w:ascii="ITC Avant Garde" w:hAnsi="ITC Avant Garde" w:cs="Arial"/>
          <w:noProof/>
          <w:color w:val="000000" w:themeColor="text1"/>
          <w:lang w:eastAsia="es-ES"/>
        </w:rPr>
      </w:pPr>
      <w:r w:rsidRPr="007B0A7C">
        <w:rPr>
          <w:rFonts w:ascii="ITC Avant Garde" w:hAnsi="ITC Avant Garde" w:cs="Arial"/>
          <w:b/>
          <w:noProof/>
          <w:color w:val="000000" w:themeColor="text1"/>
        </w:rPr>
        <w:t>NOTA:</w:t>
      </w:r>
      <w:r w:rsidRPr="008762D1">
        <w:rPr>
          <w:rFonts w:ascii="ITC Avant Garde" w:hAnsi="ITC Avant Garde" w:cs="Arial"/>
          <w:noProof/>
          <w:color w:val="000000" w:themeColor="text1"/>
        </w:rPr>
        <w:t xml:space="preserve"> Los enlaces Ethernet serán de cualquier capacidad.</w:t>
      </w:r>
    </w:p>
    <w:tbl>
      <w:tblPr>
        <w:tblStyle w:val="Cuadrculadetablaclara"/>
        <w:tblW w:w="9891" w:type="dxa"/>
        <w:jc w:val="center"/>
        <w:tblLook w:val="01E0" w:firstRow="1" w:lastRow="1" w:firstColumn="1" w:lastColumn="1" w:noHBand="0" w:noVBand="0"/>
        <w:tblCaption w:val="Tabla"/>
        <w:tblDescription w:val="Tabla de firmas"/>
      </w:tblPr>
      <w:tblGrid>
        <w:gridCol w:w="4946"/>
        <w:gridCol w:w="4945"/>
      </w:tblGrid>
      <w:tr w:rsidR="008762D1" w:rsidRPr="008762D1" w14:paraId="79B94CB9" w14:textId="77777777" w:rsidTr="000703A0">
        <w:trPr>
          <w:trHeight w:val="175"/>
          <w:tblHeader/>
          <w:jc w:val="center"/>
        </w:trPr>
        <w:tc>
          <w:tcPr>
            <w:tcW w:w="4946" w:type="dxa"/>
            <w:hideMark/>
          </w:tcPr>
          <w:p w14:paraId="244AC99B" w14:textId="3717E30C" w:rsidR="00526FE9" w:rsidRPr="008762D1" w:rsidRDefault="007B0A7C" w:rsidP="000F0B9F">
            <w:pPr>
              <w:spacing w:before="240"/>
              <w:jc w:val="center"/>
              <w:rPr>
                <w:rFonts w:ascii="ITC Avant Garde" w:hAnsi="ITC Avant Garde" w:cs="Arial"/>
                <w:color w:val="000000" w:themeColor="text1"/>
                <w:sz w:val="20"/>
                <w:szCs w:val="20"/>
              </w:rPr>
            </w:pPr>
            <w:r w:rsidRPr="007B0A7C">
              <w:rPr>
                <w:rFonts w:ascii="ITC Avant Garde" w:hAnsi="ITC Avant Garde" w:cs="Arial"/>
                <w:b/>
                <w:color w:val="0000FF"/>
                <w:sz w:val="24"/>
                <w:szCs w:val="24"/>
              </w:rPr>
              <w:t>[…]</w:t>
            </w:r>
          </w:p>
        </w:tc>
        <w:tc>
          <w:tcPr>
            <w:tcW w:w="4945" w:type="dxa"/>
            <w:hideMark/>
          </w:tcPr>
          <w:p w14:paraId="6424FAE0" w14:textId="15AF8D7C" w:rsidR="00526FE9" w:rsidRPr="008762D1" w:rsidRDefault="00AE2337" w:rsidP="000F0B9F">
            <w:pPr>
              <w:spacing w:before="240"/>
              <w:jc w:val="center"/>
              <w:rPr>
                <w:rFonts w:ascii="ITC Avant Garde" w:hAnsi="ITC Avant Garde" w:cs="Arial"/>
                <w:color w:val="000000" w:themeColor="text1"/>
                <w:sz w:val="20"/>
                <w:szCs w:val="20"/>
              </w:rPr>
            </w:pPr>
            <w:r w:rsidRPr="007B0A7C">
              <w:rPr>
                <w:rFonts w:ascii="ITC Avant Garde" w:hAnsi="ITC Avant Garde" w:cs="Arial"/>
                <w:b/>
                <w:color w:val="0000FF"/>
                <w:sz w:val="24"/>
                <w:szCs w:val="24"/>
              </w:rPr>
              <w:t>[…]</w:t>
            </w:r>
          </w:p>
        </w:tc>
      </w:tr>
      <w:tr w:rsidR="00526FE9" w:rsidRPr="008762D1" w14:paraId="649941E8" w14:textId="77777777" w:rsidTr="000703A0">
        <w:trPr>
          <w:trHeight w:val="537"/>
          <w:tblHeader/>
          <w:jc w:val="center"/>
        </w:trPr>
        <w:tc>
          <w:tcPr>
            <w:tcW w:w="4946" w:type="dxa"/>
            <w:hideMark/>
          </w:tcPr>
          <w:p w14:paraId="54C13DE2" w14:textId="77777777" w:rsidR="00526FE9" w:rsidRPr="008762D1" w:rsidRDefault="00526FE9" w:rsidP="000F0B9F">
            <w:pPr>
              <w:spacing w:before="240"/>
              <w:jc w:val="center"/>
              <w:rPr>
                <w:rFonts w:ascii="ITC Avant Garde" w:hAnsi="ITC Avant Garde" w:cs="Arial"/>
                <w:b/>
                <w:color w:val="000000" w:themeColor="text1"/>
                <w:sz w:val="20"/>
                <w:szCs w:val="20"/>
                <w:lang w:val="es-ES_tradnl"/>
              </w:rPr>
            </w:pPr>
            <w:r w:rsidRPr="008762D1">
              <w:rPr>
                <w:rFonts w:ascii="ITC Avant Garde" w:hAnsi="ITC Avant Garde" w:cs="Arial"/>
                <w:b/>
                <w:bCs/>
                <w:color w:val="000000" w:themeColor="text1"/>
                <w:sz w:val="20"/>
                <w:szCs w:val="20"/>
              </w:rPr>
              <w:t>Lic.</w:t>
            </w:r>
            <w:r w:rsidRPr="008762D1">
              <w:rPr>
                <w:rFonts w:ascii="ITC Avant Garde" w:hAnsi="ITC Avant Garde" w:cs="Arial"/>
                <w:b/>
                <w:color w:val="000000" w:themeColor="text1"/>
                <w:sz w:val="20"/>
                <w:szCs w:val="20"/>
                <w:lang w:val="es-ES_tradnl"/>
              </w:rPr>
              <w:t xml:space="preserve"> </w:t>
            </w:r>
            <w:r w:rsidRPr="008762D1">
              <w:rPr>
                <w:rFonts w:ascii="ITC Avant Garde" w:hAnsi="ITC Avant Garde" w:cs="Arial"/>
                <w:b/>
                <w:bCs/>
                <w:color w:val="000000" w:themeColor="text1"/>
                <w:sz w:val="20"/>
                <w:szCs w:val="20"/>
              </w:rPr>
              <w:t>Alejandro Coca Sánchez</w:t>
            </w:r>
          </w:p>
          <w:p w14:paraId="146FD781" w14:textId="77777777" w:rsidR="00526FE9" w:rsidRPr="008762D1" w:rsidRDefault="00526FE9" w:rsidP="000F0B9F">
            <w:pPr>
              <w:spacing w:before="240"/>
              <w:jc w:val="center"/>
              <w:rPr>
                <w:rFonts w:ascii="ITC Avant Garde" w:hAnsi="ITC Avant Garde" w:cs="Arial"/>
                <w:bCs/>
                <w:color w:val="000000" w:themeColor="text1"/>
                <w:sz w:val="20"/>
                <w:szCs w:val="20"/>
              </w:rPr>
            </w:pPr>
            <w:r w:rsidRPr="008762D1">
              <w:rPr>
                <w:rFonts w:ascii="ITC Avant Garde" w:hAnsi="ITC Avant Garde" w:cs="Arial"/>
                <w:bCs/>
                <w:color w:val="000000" w:themeColor="text1"/>
                <w:sz w:val="20"/>
                <w:szCs w:val="20"/>
              </w:rPr>
              <w:t>Por: Teléfonos de México, S.A.B. de C.V.</w:t>
            </w:r>
          </w:p>
          <w:p w14:paraId="21AB1F85" w14:textId="77777777" w:rsidR="00526FE9" w:rsidRPr="008762D1" w:rsidRDefault="00526FE9" w:rsidP="000F0B9F">
            <w:pPr>
              <w:spacing w:before="240"/>
              <w:jc w:val="center"/>
              <w:rPr>
                <w:rFonts w:ascii="ITC Avant Garde" w:hAnsi="ITC Avant Garde" w:cs="Arial"/>
                <w:color w:val="000000" w:themeColor="text1"/>
                <w:sz w:val="20"/>
                <w:szCs w:val="20"/>
                <w:lang w:val="es-ES"/>
              </w:rPr>
            </w:pPr>
            <w:r w:rsidRPr="008762D1">
              <w:rPr>
                <w:rFonts w:ascii="ITC Avant Garde" w:hAnsi="ITC Avant Garde" w:cs="Arial"/>
                <w:bCs/>
                <w:color w:val="000000" w:themeColor="text1"/>
                <w:sz w:val="20"/>
                <w:szCs w:val="20"/>
              </w:rPr>
              <w:t>Apoderado Legal</w:t>
            </w:r>
          </w:p>
        </w:tc>
        <w:tc>
          <w:tcPr>
            <w:tcW w:w="4945" w:type="dxa"/>
          </w:tcPr>
          <w:p w14:paraId="372C6EC2" w14:textId="6E64CBA0" w:rsidR="00526FE9" w:rsidRPr="008762D1" w:rsidRDefault="00526FE9" w:rsidP="000F0B9F">
            <w:pPr>
              <w:spacing w:before="240"/>
              <w:jc w:val="center"/>
              <w:rPr>
                <w:rFonts w:ascii="ITC Avant Garde" w:hAnsi="ITC Avant Garde" w:cs="Arial"/>
                <w:bCs/>
                <w:color w:val="000000" w:themeColor="text1"/>
                <w:sz w:val="20"/>
                <w:szCs w:val="20"/>
              </w:rPr>
            </w:pPr>
            <w:r w:rsidRPr="008762D1">
              <w:rPr>
                <w:rFonts w:ascii="ITC Avant Garde" w:hAnsi="ITC Avant Garde" w:cs="Arial"/>
                <w:bCs/>
                <w:color w:val="000000" w:themeColor="text1"/>
                <w:sz w:val="20"/>
                <w:szCs w:val="20"/>
              </w:rPr>
              <w:t xml:space="preserve">Por: </w:t>
            </w:r>
            <w:r w:rsidR="00AE2337" w:rsidRPr="007B0A7C">
              <w:rPr>
                <w:rFonts w:ascii="ITC Avant Garde" w:hAnsi="ITC Avant Garde" w:cs="Arial"/>
                <w:b/>
                <w:color w:val="0000FF"/>
                <w:sz w:val="24"/>
                <w:szCs w:val="24"/>
              </w:rPr>
              <w:t>[…]</w:t>
            </w:r>
          </w:p>
          <w:p w14:paraId="3EA1E9F5" w14:textId="77777777" w:rsidR="00526FE9" w:rsidRPr="008762D1" w:rsidRDefault="00526FE9" w:rsidP="000F0B9F">
            <w:pPr>
              <w:spacing w:before="240"/>
              <w:jc w:val="center"/>
              <w:rPr>
                <w:rFonts w:ascii="ITC Avant Garde" w:hAnsi="ITC Avant Garde" w:cs="Arial"/>
                <w:color w:val="000000" w:themeColor="text1"/>
                <w:sz w:val="20"/>
                <w:szCs w:val="20"/>
                <w:lang w:val="es-ES"/>
              </w:rPr>
            </w:pPr>
            <w:r w:rsidRPr="008762D1">
              <w:rPr>
                <w:rFonts w:ascii="ITC Avant Garde" w:hAnsi="ITC Avant Garde" w:cs="Arial"/>
                <w:bCs/>
                <w:color w:val="000000" w:themeColor="text1"/>
                <w:sz w:val="20"/>
                <w:szCs w:val="20"/>
              </w:rPr>
              <w:t xml:space="preserve"> Apoderado Legal</w:t>
            </w:r>
          </w:p>
        </w:tc>
      </w:tr>
    </w:tbl>
    <w:p w14:paraId="0815C9B8" w14:textId="77777777" w:rsidR="005574A0" w:rsidRPr="008762D1" w:rsidRDefault="005574A0">
      <w:pPr>
        <w:rPr>
          <w:rFonts w:ascii="ITC Avant Garde" w:hAnsi="ITC Avant Garde"/>
          <w:b/>
          <w:color w:val="000000" w:themeColor="text1"/>
        </w:rPr>
      </w:pPr>
      <w:r w:rsidRPr="008762D1">
        <w:rPr>
          <w:rFonts w:ascii="ITC Avant Garde" w:hAnsi="ITC Avant Garde"/>
          <w:b/>
          <w:color w:val="000000" w:themeColor="text1"/>
        </w:rPr>
        <w:br w:type="page"/>
      </w:r>
    </w:p>
    <w:p w14:paraId="13F71810" w14:textId="2A793C94" w:rsidR="000F0B9F" w:rsidRPr="008762D1" w:rsidRDefault="00526FE9" w:rsidP="00DA0894">
      <w:pPr>
        <w:pStyle w:val="Ttulo2"/>
        <w:spacing w:before="240" w:after="0"/>
        <w:jc w:val="center"/>
        <w:rPr>
          <w:color w:val="000000" w:themeColor="text1"/>
        </w:rPr>
      </w:pPr>
      <w:r w:rsidRPr="008762D1">
        <w:rPr>
          <w:color w:val="000000" w:themeColor="text1"/>
        </w:rPr>
        <w:lastRenderedPageBreak/>
        <w:t>ANEXO G</w:t>
      </w:r>
    </w:p>
    <w:p w14:paraId="2EF85613" w14:textId="77777777" w:rsidR="000F0B9F" w:rsidRPr="008762D1" w:rsidRDefault="00526FE9" w:rsidP="000F0B9F">
      <w:pPr>
        <w:autoSpaceDE w:val="0"/>
        <w:autoSpaceDN w:val="0"/>
        <w:adjustRightInd w:val="0"/>
        <w:spacing w:before="240"/>
        <w:jc w:val="both"/>
        <w:rPr>
          <w:rFonts w:ascii="ITC Avant Garde" w:hAnsi="ITC Avant Garde"/>
          <w:b/>
          <w:color w:val="000000" w:themeColor="text1"/>
        </w:rPr>
      </w:pPr>
      <w:r w:rsidRPr="008762D1">
        <w:rPr>
          <w:rFonts w:ascii="ITC Avant Garde" w:hAnsi="ITC Avant Garde"/>
          <w:b/>
          <w:color w:val="000000" w:themeColor="text1"/>
        </w:rPr>
        <w:t>ANEXO DE LA PRESTACIÓN DEL SERVICIO MAYORISTA DE ARRENDAMIENTO DE ENLACES DEDICADOS DE INTERCONEXIÓN LOCALES</w:t>
      </w:r>
      <w:r w:rsidRPr="008762D1">
        <w:rPr>
          <w:rFonts w:ascii="ITC Avant Garde" w:hAnsi="ITC Avant Garde" w:cs="Arial"/>
          <w:b/>
          <w:bCs/>
          <w:color w:val="000000" w:themeColor="text1"/>
        </w:rPr>
        <w:t xml:space="preserve"> Y </w:t>
      </w:r>
      <w:r w:rsidRPr="008762D1">
        <w:rPr>
          <w:rFonts w:ascii="ITC Avant Garde" w:hAnsi="ITC Avant Garde"/>
          <w:b/>
          <w:color w:val="000000" w:themeColor="text1"/>
        </w:rPr>
        <w:t xml:space="preserve">NACIONALES QUE CONSTITUYE PARTE DEL CONVENIO MARCO DE INTERCONEXIÓN ENTRE LAS REDES DE TELÉFONOS DE MÉXICO, S.A.B. DE C.V. (EN ADELANTE, “TELMEX”) CON LA RED </w:t>
      </w:r>
      <w:r w:rsidRPr="008762D1">
        <w:rPr>
          <w:rFonts w:ascii="ITC Avant Garde" w:hAnsi="ITC Avant Garde" w:cs="Arial"/>
          <w:b/>
          <w:bCs/>
          <w:color w:val="000000" w:themeColor="text1"/>
        </w:rPr>
        <w:t>PÚBLICA</w:t>
      </w:r>
      <w:r w:rsidRPr="008762D1">
        <w:rPr>
          <w:rFonts w:ascii="ITC Avant Garde" w:hAnsi="ITC Avant Garde"/>
          <w:b/>
          <w:color w:val="000000" w:themeColor="text1"/>
        </w:rPr>
        <w:t xml:space="preserve"> DE TELECOMUNICACIONES DE (_______).</w:t>
      </w:r>
    </w:p>
    <w:p w14:paraId="2369E13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1. </w:t>
      </w:r>
      <w:r w:rsidRPr="008762D1">
        <w:rPr>
          <w:rFonts w:ascii="ITC Avant Garde" w:hAnsi="ITC Avant Garde" w:cs="Arial"/>
          <w:color w:val="000000" w:themeColor="text1"/>
          <w:u w:val="single"/>
        </w:rPr>
        <w:t>Oferta</w:t>
      </w:r>
      <w:r w:rsidRPr="008762D1">
        <w:rPr>
          <w:rFonts w:ascii="ITC Avant Garde" w:hAnsi="ITC Avant Garde" w:cs="Arial"/>
          <w:color w:val="000000" w:themeColor="text1"/>
        </w:rPr>
        <w:t xml:space="preserve"> </w:t>
      </w:r>
    </w:p>
    <w:p w14:paraId="083D02E4"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partes acuerdan que el Servicio Mayorista de Arrendamiento de Enlaces Dedicados de Interconexión se realizará en los términos establecidos en el presente Anexo, así como en sus sub Anexos.</w:t>
      </w:r>
    </w:p>
    <w:p w14:paraId="70627AC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Los </w:t>
      </w:r>
      <w:proofErr w:type="spellStart"/>
      <w:r w:rsidRPr="008762D1">
        <w:rPr>
          <w:rFonts w:ascii="ITC Avant Garde" w:hAnsi="ITC Avant Garde" w:cs="Arial"/>
          <w:color w:val="000000" w:themeColor="text1"/>
        </w:rPr>
        <w:t>Subanexos</w:t>
      </w:r>
      <w:proofErr w:type="spellEnd"/>
      <w:r w:rsidRPr="008762D1">
        <w:rPr>
          <w:rFonts w:ascii="ITC Avant Garde" w:hAnsi="ITC Avant Garde" w:cs="Arial"/>
          <w:color w:val="000000" w:themeColor="text1"/>
        </w:rPr>
        <w:t xml:space="preserve"> que integran el presente anexo se listan a continuación:</w:t>
      </w:r>
    </w:p>
    <w:p w14:paraId="6481AB56" w14:textId="27A497DB" w:rsidR="00526FE9" w:rsidRPr="008762D1" w:rsidRDefault="00526FE9" w:rsidP="000F0B9F">
      <w:pPr>
        <w:pStyle w:val="Prrafodelista1"/>
        <w:numPr>
          <w:ilvl w:val="0"/>
          <w:numId w:val="76"/>
        </w:numPr>
        <w:autoSpaceDE w:val="0"/>
        <w:autoSpaceDN w:val="0"/>
        <w:adjustRightInd w:val="0"/>
        <w:spacing w:before="240"/>
        <w:contextualSpacing/>
        <w:jc w:val="both"/>
        <w:rPr>
          <w:rFonts w:ascii="ITC Avant Garde" w:hAnsi="ITC Avant Garde" w:cs="Arial"/>
          <w:color w:val="000000" w:themeColor="text1"/>
        </w:rPr>
      </w:pPr>
      <w:r w:rsidRPr="008762D1">
        <w:rPr>
          <w:rFonts w:ascii="ITC Avant Garde" w:hAnsi="ITC Avant Garde"/>
          <w:color w:val="000000" w:themeColor="text1"/>
        </w:rPr>
        <w:t>“G-1” Procedimiento de Entrega/Recepción.</w:t>
      </w:r>
    </w:p>
    <w:p w14:paraId="5D96E9CB" w14:textId="77777777" w:rsidR="00526FE9" w:rsidRPr="008762D1" w:rsidRDefault="00526FE9" w:rsidP="000F0B9F">
      <w:pPr>
        <w:pStyle w:val="Prrafodelista1"/>
        <w:numPr>
          <w:ilvl w:val="0"/>
          <w:numId w:val="76"/>
        </w:numPr>
        <w:autoSpaceDE w:val="0"/>
        <w:autoSpaceDN w:val="0"/>
        <w:adjustRightInd w:val="0"/>
        <w:spacing w:before="240"/>
        <w:contextualSpacing/>
        <w:jc w:val="both"/>
        <w:rPr>
          <w:rFonts w:ascii="ITC Avant Garde" w:hAnsi="ITC Avant Garde" w:cs="Arial"/>
          <w:color w:val="000000" w:themeColor="text1"/>
        </w:rPr>
      </w:pPr>
      <w:r w:rsidRPr="008762D1">
        <w:rPr>
          <w:rFonts w:ascii="ITC Avant Garde" w:hAnsi="ITC Avant Garde"/>
          <w:color w:val="000000" w:themeColor="text1"/>
        </w:rPr>
        <w:t>“G-2” Procedimiento de Acceso a Sitios.</w:t>
      </w:r>
    </w:p>
    <w:p w14:paraId="0193EBA3" w14:textId="77777777" w:rsidR="00526FE9" w:rsidRPr="008762D1" w:rsidRDefault="00526FE9" w:rsidP="000F0B9F">
      <w:pPr>
        <w:pStyle w:val="Prrafodelista1"/>
        <w:numPr>
          <w:ilvl w:val="0"/>
          <w:numId w:val="76"/>
        </w:numPr>
        <w:autoSpaceDE w:val="0"/>
        <w:autoSpaceDN w:val="0"/>
        <w:adjustRightInd w:val="0"/>
        <w:spacing w:before="240"/>
        <w:contextualSpacing/>
        <w:jc w:val="both"/>
        <w:rPr>
          <w:rFonts w:ascii="ITC Avant Garde" w:hAnsi="ITC Avant Garde" w:cs="Arial"/>
          <w:color w:val="000000" w:themeColor="text1"/>
        </w:rPr>
      </w:pPr>
      <w:r w:rsidRPr="008762D1">
        <w:rPr>
          <w:rFonts w:ascii="ITC Avant Garde" w:hAnsi="ITC Avant Garde"/>
          <w:color w:val="000000" w:themeColor="text1"/>
        </w:rPr>
        <w:t>“</w:t>
      </w:r>
      <w:r w:rsidRPr="008762D1">
        <w:rPr>
          <w:rFonts w:ascii="ITC Avant Garde" w:hAnsi="ITC Avant Garde" w:cs="Arial"/>
          <w:color w:val="000000" w:themeColor="text1"/>
        </w:rPr>
        <w:t>G</w:t>
      </w:r>
      <w:r w:rsidRPr="008762D1">
        <w:rPr>
          <w:rFonts w:ascii="ITC Avant Garde" w:hAnsi="ITC Avant Garde"/>
          <w:color w:val="000000" w:themeColor="text1"/>
        </w:rPr>
        <w:t>-3” Formato de Pronóstico de Requerimientos de Servicios.</w:t>
      </w:r>
    </w:p>
    <w:p w14:paraId="4FE143FB" w14:textId="77777777" w:rsidR="000F0B9F" w:rsidRPr="008762D1" w:rsidRDefault="00526FE9" w:rsidP="000F0B9F">
      <w:pPr>
        <w:pStyle w:val="Prrafodelista1"/>
        <w:numPr>
          <w:ilvl w:val="0"/>
          <w:numId w:val="76"/>
        </w:numPr>
        <w:autoSpaceDE w:val="0"/>
        <w:autoSpaceDN w:val="0"/>
        <w:adjustRightInd w:val="0"/>
        <w:spacing w:before="240"/>
        <w:contextualSpacing/>
        <w:jc w:val="both"/>
        <w:rPr>
          <w:rFonts w:ascii="ITC Avant Garde" w:hAnsi="ITC Avant Garde" w:cs="Arial"/>
          <w:color w:val="000000" w:themeColor="text1"/>
        </w:rPr>
      </w:pPr>
      <w:r w:rsidRPr="008762D1">
        <w:rPr>
          <w:rFonts w:ascii="ITC Avant Garde" w:hAnsi="ITC Avant Garde"/>
          <w:color w:val="000000" w:themeColor="text1"/>
        </w:rPr>
        <w:t>“G-4” Tiempos de traslado para atención a fallas.</w:t>
      </w:r>
    </w:p>
    <w:p w14:paraId="7F7B15A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 Servicio Comercial de Telecomunicaciones.</w:t>
      </w:r>
    </w:p>
    <w:p w14:paraId="4EB387A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2.1 Servicios Mayoristas de Arrendamiento de Enlaces Dedicados de Interconexión.</w:t>
      </w:r>
    </w:p>
    <w:p w14:paraId="0BB2F81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el formato de solicitud de servicio, señalado en el Anexo “C”, Telmex especifica las condiciones particulares aplicables a los servicios de Arrendamiento de Enlaces Dedicados de Interconexión, tales como condiciones técnicas y operativas.</w:t>
      </w:r>
    </w:p>
    <w:p w14:paraId="0D753E8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El servicio Mayorista de Arrendamiento de Enlaces Dedicados de Interconexión, será ofrecido con velocidad de 1 </w:t>
      </w:r>
      <w:proofErr w:type="spellStart"/>
      <w:r w:rsidRPr="008762D1">
        <w:rPr>
          <w:rFonts w:ascii="ITC Avant Garde" w:hAnsi="ITC Avant Garde" w:cs="Arial"/>
          <w:color w:val="000000" w:themeColor="text1"/>
        </w:rPr>
        <w:t>Gbps</w:t>
      </w:r>
      <w:proofErr w:type="spellEnd"/>
      <w:r w:rsidRPr="008762D1">
        <w:rPr>
          <w:rFonts w:ascii="ITC Avant Garde" w:hAnsi="ITC Avant Garde" w:cs="Arial"/>
          <w:color w:val="000000" w:themeColor="text1"/>
        </w:rPr>
        <w:t xml:space="preserve"> Ethernet.</w:t>
      </w:r>
    </w:p>
    <w:p w14:paraId="33BEBA6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p>
    <w:p w14:paraId="395122C0" w14:textId="77777777" w:rsidR="000F0B9F" w:rsidRPr="008762D1" w:rsidRDefault="00526FE9" w:rsidP="000F0B9F">
      <w:pPr>
        <w:autoSpaceDE w:val="0"/>
        <w:autoSpaceDN w:val="0"/>
        <w:adjustRightInd w:val="0"/>
        <w:spacing w:before="240"/>
        <w:jc w:val="both"/>
        <w:rPr>
          <w:rFonts w:ascii="ITC Avant Garde" w:hAnsi="ITC Avant Garde" w:cs="Times New Roman"/>
          <w:color w:val="000000" w:themeColor="text1"/>
          <w:sz w:val="24"/>
          <w:lang w:val="es-ES"/>
        </w:rPr>
      </w:pPr>
      <w:r w:rsidRPr="008762D1">
        <w:rPr>
          <w:rFonts w:ascii="ITC Avant Garde" w:hAnsi="ITC Avant Garde" w:cs="Arial"/>
          <w:color w:val="000000" w:themeColor="text1"/>
        </w:rPr>
        <w:t>2.2 Pronóstico de Servicios.</w:t>
      </w:r>
    </w:p>
    <w:p w14:paraId="51CBC83C" w14:textId="3700EB56"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El concesionario de una red pública de telecomunicaciones solicitante del servicio presentará un pronóstico de demanda de servicios para el año siguiente con base en la fecha límite del año en curso, indicada en la tabla siguiente: </w:t>
      </w:r>
    </w:p>
    <w:p w14:paraId="11CD7825" w14:textId="77777777"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p>
    <w:tbl>
      <w:tblPr>
        <w:tblStyle w:val="Cuadrculadetablaclara"/>
        <w:tblW w:w="0" w:type="auto"/>
        <w:jc w:val="center"/>
        <w:tblLook w:val="00A0" w:firstRow="1" w:lastRow="0" w:firstColumn="1" w:lastColumn="0" w:noHBand="0" w:noVBand="0"/>
        <w:tblCaption w:val="Tabla"/>
        <w:tblDescription w:val="Pronósticos"/>
      </w:tblPr>
      <w:tblGrid>
        <w:gridCol w:w="2131"/>
        <w:gridCol w:w="5242"/>
      </w:tblGrid>
      <w:tr w:rsidR="008762D1" w:rsidRPr="008762D1" w14:paraId="4871BD82" w14:textId="77777777" w:rsidTr="000703A0">
        <w:trPr>
          <w:tblHeader/>
          <w:jc w:val="center"/>
        </w:trPr>
        <w:tc>
          <w:tcPr>
            <w:tcW w:w="2131" w:type="dxa"/>
            <w:hideMark/>
          </w:tcPr>
          <w:p w14:paraId="1286EED3" w14:textId="77777777" w:rsidR="00526FE9" w:rsidRPr="008762D1" w:rsidRDefault="00526FE9" w:rsidP="000703A0">
            <w:pPr>
              <w:autoSpaceDE w:val="0"/>
              <w:autoSpaceDN w:val="0"/>
              <w:adjustRightInd w:val="0"/>
              <w:spacing w:before="240"/>
              <w:jc w:val="both"/>
              <w:rPr>
                <w:rFonts w:ascii="ITC Avant Garde" w:hAnsi="ITC Avant Garde" w:cs="Times New Roman"/>
                <w:b/>
                <w:color w:val="000000" w:themeColor="text1"/>
                <w:sz w:val="24"/>
                <w:szCs w:val="24"/>
                <w:lang w:val="es-ES" w:eastAsia="es-ES"/>
              </w:rPr>
            </w:pPr>
            <w:r w:rsidRPr="008762D1">
              <w:rPr>
                <w:rFonts w:ascii="ITC Avant Garde" w:hAnsi="ITC Avant Garde"/>
                <w:b/>
                <w:color w:val="000000" w:themeColor="text1"/>
              </w:rPr>
              <w:lastRenderedPageBreak/>
              <w:t>Fecha límite</w:t>
            </w:r>
          </w:p>
        </w:tc>
        <w:tc>
          <w:tcPr>
            <w:tcW w:w="5242" w:type="dxa"/>
            <w:hideMark/>
          </w:tcPr>
          <w:p w14:paraId="5D84BDC9"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b/>
                <w:color w:val="000000" w:themeColor="text1"/>
              </w:rPr>
              <w:t>Pronóstico</w:t>
            </w:r>
          </w:p>
        </w:tc>
      </w:tr>
      <w:tr w:rsidR="008762D1" w:rsidRPr="008762D1" w14:paraId="002CDFB9" w14:textId="77777777" w:rsidTr="000703A0">
        <w:trPr>
          <w:jc w:val="center"/>
        </w:trPr>
        <w:tc>
          <w:tcPr>
            <w:tcW w:w="2131" w:type="dxa"/>
            <w:hideMark/>
          </w:tcPr>
          <w:p w14:paraId="4E7FF6DF"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b/>
                <w:color w:val="000000" w:themeColor="text1"/>
              </w:rPr>
              <w:t xml:space="preserve">30 de junio </w:t>
            </w:r>
          </w:p>
        </w:tc>
        <w:tc>
          <w:tcPr>
            <w:tcW w:w="5242" w:type="dxa"/>
            <w:hideMark/>
          </w:tcPr>
          <w:p w14:paraId="1E2EB044"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color w:val="000000" w:themeColor="text1"/>
              </w:rPr>
              <w:t>Enero-junio del año inmediato posterior.</w:t>
            </w:r>
          </w:p>
        </w:tc>
      </w:tr>
      <w:tr w:rsidR="00526FE9" w:rsidRPr="008762D1" w14:paraId="62A39E1C" w14:textId="77777777" w:rsidTr="000703A0">
        <w:trPr>
          <w:jc w:val="center"/>
        </w:trPr>
        <w:tc>
          <w:tcPr>
            <w:tcW w:w="2131" w:type="dxa"/>
            <w:hideMark/>
          </w:tcPr>
          <w:p w14:paraId="548F6677"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b/>
                <w:color w:val="000000" w:themeColor="text1"/>
              </w:rPr>
              <w:t>31 de diciembre</w:t>
            </w:r>
          </w:p>
        </w:tc>
        <w:tc>
          <w:tcPr>
            <w:tcW w:w="5242" w:type="dxa"/>
            <w:hideMark/>
          </w:tcPr>
          <w:p w14:paraId="1C5ACE28"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color w:val="000000" w:themeColor="text1"/>
              </w:rPr>
              <w:t>Julio-diciembre del año inmediato posterior.</w:t>
            </w:r>
          </w:p>
        </w:tc>
      </w:tr>
    </w:tbl>
    <w:p w14:paraId="39F5803F" w14:textId="77777777" w:rsidR="00526FE9" w:rsidRPr="008762D1" w:rsidRDefault="00526FE9" w:rsidP="000F0B9F">
      <w:pPr>
        <w:autoSpaceDE w:val="0"/>
        <w:autoSpaceDN w:val="0"/>
        <w:adjustRightInd w:val="0"/>
        <w:spacing w:before="240"/>
        <w:jc w:val="both"/>
        <w:rPr>
          <w:rFonts w:ascii="ITC Avant Garde" w:hAnsi="ITC Avant Garde" w:cs="Arial"/>
          <w:color w:val="000000" w:themeColor="text1"/>
          <w:lang w:eastAsia="es-ES"/>
        </w:rPr>
      </w:pPr>
    </w:p>
    <w:p w14:paraId="1A45D631" w14:textId="77777777"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Los servicios pronosticados conforme a la tabla anterior, serán ratificados por el Concesionario Solicitante sobre bases bimestrales a más tardar en las fechas que se indican en la tabla siguiente:</w:t>
      </w:r>
    </w:p>
    <w:p w14:paraId="0436DF76" w14:textId="77777777" w:rsidR="00526FE9" w:rsidRPr="008762D1" w:rsidRDefault="00526FE9" w:rsidP="000F0B9F">
      <w:pPr>
        <w:autoSpaceDE w:val="0"/>
        <w:autoSpaceDN w:val="0"/>
        <w:adjustRightInd w:val="0"/>
        <w:spacing w:before="240"/>
        <w:jc w:val="both"/>
        <w:rPr>
          <w:rFonts w:ascii="ITC Avant Garde" w:hAnsi="ITC Avant Garde" w:cs="Arial"/>
          <w:b/>
          <w:color w:val="000000" w:themeColor="text1"/>
          <w:szCs w:val="24"/>
          <w:lang w:eastAsia="es-ES"/>
        </w:rPr>
      </w:pPr>
    </w:p>
    <w:tbl>
      <w:tblPr>
        <w:tblStyle w:val="Cuadrculadetablaclara"/>
        <w:tblW w:w="0" w:type="auto"/>
        <w:jc w:val="center"/>
        <w:tblLook w:val="00A0" w:firstRow="1" w:lastRow="0" w:firstColumn="1" w:lastColumn="0" w:noHBand="0" w:noVBand="0"/>
        <w:tblCaption w:val="Tabla"/>
        <w:tblDescription w:val="Pronósticos"/>
      </w:tblPr>
      <w:tblGrid>
        <w:gridCol w:w="2278"/>
        <w:gridCol w:w="4962"/>
      </w:tblGrid>
      <w:tr w:rsidR="008762D1" w:rsidRPr="008762D1" w14:paraId="42405E02" w14:textId="77777777" w:rsidTr="000703A0">
        <w:trPr>
          <w:tblHeader/>
          <w:jc w:val="center"/>
        </w:trPr>
        <w:tc>
          <w:tcPr>
            <w:tcW w:w="2278" w:type="dxa"/>
            <w:hideMark/>
          </w:tcPr>
          <w:p w14:paraId="4827542F" w14:textId="77777777" w:rsidR="00526FE9" w:rsidRPr="008762D1" w:rsidRDefault="00526FE9" w:rsidP="000703A0">
            <w:pPr>
              <w:autoSpaceDE w:val="0"/>
              <w:autoSpaceDN w:val="0"/>
              <w:adjustRightInd w:val="0"/>
              <w:spacing w:before="240"/>
              <w:jc w:val="center"/>
              <w:rPr>
                <w:rFonts w:ascii="ITC Avant Garde" w:hAnsi="ITC Avant Garde" w:cs="Arial"/>
                <w:b/>
                <w:color w:val="000000" w:themeColor="text1"/>
                <w:sz w:val="24"/>
              </w:rPr>
            </w:pPr>
            <w:r w:rsidRPr="008762D1">
              <w:rPr>
                <w:rFonts w:ascii="ITC Avant Garde" w:hAnsi="ITC Avant Garde" w:cs="Arial"/>
                <w:b/>
                <w:color w:val="000000" w:themeColor="text1"/>
              </w:rPr>
              <w:t>Fecha límite</w:t>
            </w:r>
          </w:p>
        </w:tc>
        <w:tc>
          <w:tcPr>
            <w:tcW w:w="4962" w:type="dxa"/>
            <w:hideMark/>
          </w:tcPr>
          <w:p w14:paraId="27D57042" w14:textId="77777777" w:rsidR="00526FE9" w:rsidRPr="008762D1" w:rsidRDefault="00526FE9" w:rsidP="000703A0">
            <w:pPr>
              <w:autoSpaceDE w:val="0"/>
              <w:autoSpaceDN w:val="0"/>
              <w:adjustRightInd w:val="0"/>
              <w:spacing w:before="240"/>
              <w:jc w:val="center"/>
              <w:rPr>
                <w:rFonts w:ascii="ITC Avant Garde" w:hAnsi="ITC Avant Garde" w:cs="Arial"/>
                <w:b/>
                <w:color w:val="000000" w:themeColor="text1"/>
              </w:rPr>
            </w:pPr>
            <w:r w:rsidRPr="008762D1">
              <w:rPr>
                <w:rFonts w:ascii="ITC Avant Garde" w:hAnsi="ITC Avant Garde" w:cs="Arial"/>
                <w:b/>
                <w:color w:val="000000" w:themeColor="text1"/>
              </w:rPr>
              <w:t>Pronóstico</w:t>
            </w:r>
          </w:p>
        </w:tc>
      </w:tr>
      <w:tr w:rsidR="008762D1" w:rsidRPr="008762D1" w14:paraId="0E978DE7" w14:textId="77777777" w:rsidTr="000703A0">
        <w:trPr>
          <w:jc w:val="center"/>
        </w:trPr>
        <w:tc>
          <w:tcPr>
            <w:tcW w:w="2278" w:type="dxa"/>
            <w:hideMark/>
          </w:tcPr>
          <w:p w14:paraId="3A6337E3" w14:textId="77777777" w:rsidR="00526FE9" w:rsidRPr="008762D1" w:rsidRDefault="00526FE9" w:rsidP="000703A0">
            <w:pPr>
              <w:autoSpaceDE w:val="0"/>
              <w:autoSpaceDN w:val="0"/>
              <w:adjustRightInd w:val="0"/>
              <w:spacing w:before="240"/>
              <w:jc w:val="center"/>
              <w:rPr>
                <w:rFonts w:ascii="ITC Avant Garde" w:hAnsi="ITC Avant Garde" w:cs="Times New Roman"/>
                <w:b/>
                <w:color w:val="000000" w:themeColor="text1"/>
                <w:lang w:val="es-ES" w:eastAsia="es-ES"/>
              </w:rPr>
            </w:pPr>
            <w:r w:rsidRPr="008762D1">
              <w:rPr>
                <w:rFonts w:ascii="ITC Avant Garde" w:hAnsi="ITC Avant Garde"/>
                <w:b/>
                <w:color w:val="000000" w:themeColor="text1"/>
              </w:rPr>
              <w:t>30 de septiembre</w:t>
            </w:r>
          </w:p>
        </w:tc>
        <w:tc>
          <w:tcPr>
            <w:tcW w:w="4962" w:type="dxa"/>
            <w:hideMark/>
          </w:tcPr>
          <w:p w14:paraId="0B63CC0C"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color w:val="000000" w:themeColor="text1"/>
              </w:rPr>
              <w:t>Enero-febrero del año inmediato posterior.</w:t>
            </w:r>
          </w:p>
        </w:tc>
      </w:tr>
      <w:tr w:rsidR="008762D1" w:rsidRPr="008762D1" w14:paraId="24D23111" w14:textId="77777777" w:rsidTr="000703A0">
        <w:trPr>
          <w:jc w:val="center"/>
        </w:trPr>
        <w:tc>
          <w:tcPr>
            <w:tcW w:w="2278" w:type="dxa"/>
            <w:hideMark/>
          </w:tcPr>
          <w:p w14:paraId="672B8A77"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b/>
                <w:color w:val="000000" w:themeColor="text1"/>
              </w:rPr>
              <w:t>30 de noviembre</w:t>
            </w:r>
          </w:p>
        </w:tc>
        <w:tc>
          <w:tcPr>
            <w:tcW w:w="4962" w:type="dxa"/>
            <w:hideMark/>
          </w:tcPr>
          <w:p w14:paraId="0C6BF63D"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color w:val="000000" w:themeColor="text1"/>
              </w:rPr>
              <w:t>Marzo-abril del año inmediato posterior.</w:t>
            </w:r>
          </w:p>
        </w:tc>
      </w:tr>
      <w:tr w:rsidR="008762D1" w:rsidRPr="008762D1" w14:paraId="5859836A" w14:textId="77777777" w:rsidTr="000703A0">
        <w:trPr>
          <w:jc w:val="center"/>
        </w:trPr>
        <w:tc>
          <w:tcPr>
            <w:tcW w:w="2278" w:type="dxa"/>
            <w:hideMark/>
          </w:tcPr>
          <w:p w14:paraId="2EB127C7"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b/>
                <w:color w:val="000000" w:themeColor="text1"/>
              </w:rPr>
              <w:t>31 de enero</w:t>
            </w:r>
          </w:p>
        </w:tc>
        <w:tc>
          <w:tcPr>
            <w:tcW w:w="4962" w:type="dxa"/>
            <w:hideMark/>
          </w:tcPr>
          <w:p w14:paraId="5D4FC586"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color w:val="000000" w:themeColor="text1"/>
              </w:rPr>
              <w:t>Mayo-junio del mismo año.</w:t>
            </w:r>
          </w:p>
        </w:tc>
      </w:tr>
      <w:tr w:rsidR="008762D1" w:rsidRPr="008762D1" w14:paraId="7DABEBD0" w14:textId="77777777" w:rsidTr="000703A0">
        <w:trPr>
          <w:jc w:val="center"/>
        </w:trPr>
        <w:tc>
          <w:tcPr>
            <w:tcW w:w="2278" w:type="dxa"/>
            <w:hideMark/>
          </w:tcPr>
          <w:p w14:paraId="7D135C43"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b/>
                <w:color w:val="000000" w:themeColor="text1"/>
              </w:rPr>
              <w:t>31 de marzo</w:t>
            </w:r>
          </w:p>
        </w:tc>
        <w:tc>
          <w:tcPr>
            <w:tcW w:w="4962" w:type="dxa"/>
            <w:hideMark/>
          </w:tcPr>
          <w:p w14:paraId="6AC75F9D"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color w:val="000000" w:themeColor="text1"/>
              </w:rPr>
              <w:t>Julio-agosto del mismo año.</w:t>
            </w:r>
          </w:p>
        </w:tc>
      </w:tr>
      <w:tr w:rsidR="008762D1" w:rsidRPr="008762D1" w14:paraId="32122E3B" w14:textId="77777777" w:rsidTr="000703A0">
        <w:trPr>
          <w:jc w:val="center"/>
        </w:trPr>
        <w:tc>
          <w:tcPr>
            <w:tcW w:w="2278" w:type="dxa"/>
            <w:hideMark/>
          </w:tcPr>
          <w:p w14:paraId="47828C6A"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b/>
                <w:color w:val="000000" w:themeColor="text1"/>
              </w:rPr>
              <w:t>31 de mayo</w:t>
            </w:r>
          </w:p>
        </w:tc>
        <w:tc>
          <w:tcPr>
            <w:tcW w:w="4962" w:type="dxa"/>
            <w:hideMark/>
          </w:tcPr>
          <w:p w14:paraId="7651901A" w14:textId="77777777" w:rsidR="00526FE9" w:rsidRPr="008762D1" w:rsidRDefault="00526FE9" w:rsidP="000703A0">
            <w:pPr>
              <w:autoSpaceDE w:val="0"/>
              <w:autoSpaceDN w:val="0"/>
              <w:adjustRightInd w:val="0"/>
              <w:spacing w:before="240"/>
              <w:jc w:val="center"/>
              <w:rPr>
                <w:rFonts w:ascii="ITC Avant Garde" w:hAnsi="ITC Avant Garde"/>
                <w:b/>
                <w:color w:val="000000" w:themeColor="text1"/>
              </w:rPr>
            </w:pPr>
            <w:r w:rsidRPr="008762D1">
              <w:rPr>
                <w:rFonts w:ascii="ITC Avant Garde" w:hAnsi="ITC Avant Garde"/>
                <w:color w:val="000000" w:themeColor="text1"/>
              </w:rPr>
              <w:t>Septiembre-octubre del mismo año.</w:t>
            </w:r>
          </w:p>
        </w:tc>
      </w:tr>
      <w:tr w:rsidR="00526FE9" w:rsidRPr="008762D1" w14:paraId="43C0F3EB" w14:textId="77777777" w:rsidTr="000703A0">
        <w:trPr>
          <w:jc w:val="center"/>
        </w:trPr>
        <w:tc>
          <w:tcPr>
            <w:tcW w:w="2278" w:type="dxa"/>
            <w:hideMark/>
          </w:tcPr>
          <w:p w14:paraId="7E845FC7" w14:textId="77777777" w:rsidR="00526FE9" w:rsidRPr="008762D1" w:rsidRDefault="00526FE9" w:rsidP="000703A0">
            <w:pPr>
              <w:autoSpaceDE w:val="0"/>
              <w:autoSpaceDN w:val="0"/>
              <w:adjustRightInd w:val="0"/>
              <w:spacing w:before="240"/>
              <w:jc w:val="center"/>
              <w:rPr>
                <w:rFonts w:ascii="ITC Avant Garde" w:hAnsi="ITC Avant Garde" w:cs="Arial"/>
                <w:b/>
                <w:color w:val="000000" w:themeColor="text1"/>
              </w:rPr>
            </w:pPr>
            <w:r w:rsidRPr="008762D1">
              <w:rPr>
                <w:rFonts w:ascii="ITC Avant Garde" w:hAnsi="ITC Avant Garde" w:cs="Arial"/>
                <w:b/>
                <w:color w:val="000000" w:themeColor="text1"/>
              </w:rPr>
              <w:t>31 de julio</w:t>
            </w:r>
          </w:p>
        </w:tc>
        <w:tc>
          <w:tcPr>
            <w:tcW w:w="4962" w:type="dxa"/>
            <w:hideMark/>
          </w:tcPr>
          <w:p w14:paraId="375B4709" w14:textId="77777777" w:rsidR="00526FE9" w:rsidRPr="008762D1" w:rsidRDefault="00526FE9" w:rsidP="000703A0">
            <w:pPr>
              <w:autoSpaceDE w:val="0"/>
              <w:autoSpaceDN w:val="0"/>
              <w:adjustRightInd w:val="0"/>
              <w:spacing w:before="240"/>
              <w:jc w:val="center"/>
              <w:rPr>
                <w:rFonts w:ascii="ITC Avant Garde" w:hAnsi="ITC Avant Garde" w:cs="Arial"/>
                <w:b/>
                <w:color w:val="000000" w:themeColor="text1"/>
              </w:rPr>
            </w:pPr>
            <w:r w:rsidRPr="008762D1">
              <w:rPr>
                <w:rFonts w:ascii="ITC Avant Garde" w:hAnsi="ITC Avant Garde" w:cs="Arial"/>
                <w:color w:val="000000" w:themeColor="text1"/>
              </w:rPr>
              <w:t>Noviembre-diciembre del mismo año.</w:t>
            </w:r>
          </w:p>
        </w:tc>
      </w:tr>
    </w:tbl>
    <w:p w14:paraId="5C5A5B6E" w14:textId="77777777" w:rsidR="00526FE9" w:rsidRPr="008762D1" w:rsidRDefault="00526FE9" w:rsidP="000F0B9F">
      <w:pPr>
        <w:autoSpaceDE w:val="0"/>
        <w:autoSpaceDN w:val="0"/>
        <w:adjustRightInd w:val="0"/>
        <w:spacing w:before="240"/>
        <w:jc w:val="both"/>
        <w:rPr>
          <w:rFonts w:ascii="ITC Avant Garde" w:hAnsi="ITC Avant Garde" w:cs="Arial"/>
          <w:b/>
          <w:color w:val="000000" w:themeColor="text1"/>
          <w:lang w:eastAsia="es-ES"/>
        </w:rPr>
      </w:pPr>
    </w:p>
    <w:p w14:paraId="6B64EAA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Los pronósticos y ratificaciones serán presentados en el formato contenido en el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“G-3”.</w:t>
      </w:r>
    </w:p>
    <w:p w14:paraId="032E9D61" w14:textId="78AEF7CA" w:rsidR="00526FE9" w:rsidRPr="008762D1" w:rsidRDefault="00526FE9" w:rsidP="000F0B9F">
      <w:pPr>
        <w:numPr>
          <w:ilvl w:val="12"/>
          <w:numId w:val="0"/>
        </w:numPr>
        <w:spacing w:before="240" w:after="200" w:line="360" w:lineRule="auto"/>
        <w:rPr>
          <w:rFonts w:ascii="ITC Avant Garde" w:hAnsi="ITC Avant Garde" w:cs="Arial"/>
          <w:color w:val="000000" w:themeColor="text1"/>
        </w:rPr>
      </w:pPr>
      <w:r w:rsidRPr="008762D1">
        <w:rPr>
          <w:rFonts w:ascii="ITC Avant Garde" w:hAnsi="ITC Avant Garde" w:cs="Arial"/>
          <w:color w:val="000000" w:themeColor="text1"/>
        </w:rPr>
        <w:t>En caso de que no exista pronóstico de servicios, los plazos de entrega podrán ser acordados entre las PARTES.</w:t>
      </w:r>
    </w:p>
    <w:p w14:paraId="60E94E7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2.3 Capacidad de los Servicios.</w:t>
      </w:r>
    </w:p>
    <w:p w14:paraId="3D8EAE57" w14:textId="77777777" w:rsidR="000F0B9F" w:rsidRPr="008762D1" w:rsidRDefault="00526FE9" w:rsidP="000F0B9F">
      <w:pPr>
        <w:spacing w:before="240" w:line="276" w:lineRule="auto"/>
        <w:jc w:val="both"/>
        <w:rPr>
          <w:rFonts w:ascii="ITC Avant Garde" w:eastAsia="Calibri" w:hAnsi="ITC Avant Garde" w:cs="Arial"/>
          <w:color w:val="000000" w:themeColor="text1"/>
          <w:lang w:val="es-ES_tradnl"/>
        </w:rPr>
      </w:pPr>
      <w:r w:rsidRPr="008762D1">
        <w:rPr>
          <w:rFonts w:ascii="ITC Avant Garde" w:eastAsia="Calibri" w:hAnsi="ITC Avant Garde" w:cs="Arial"/>
          <w:color w:val="000000" w:themeColor="text1"/>
          <w:lang w:val="es-ES_tradnl"/>
        </w:rPr>
        <w:t xml:space="preserve">El servicio Mayorista de Arrendamiento de Enlaces Dedicados de Interconexión, será ofrecido con velocidad de 1 </w:t>
      </w:r>
      <w:proofErr w:type="spellStart"/>
      <w:r w:rsidRPr="008762D1">
        <w:rPr>
          <w:rFonts w:ascii="ITC Avant Garde" w:eastAsia="Calibri" w:hAnsi="ITC Avant Garde" w:cs="Arial"/>
          <w:color w:val="000000" w:themeColor="text1"/>
          <w:lang w:val="es-ES_tradnl"/>
        </w:rPr>
        <w:t>Gbps</w:t>
      </w:r>
      <w:proofErr w:type="spellEnd"/>
      <w:r w:rsidRPr="008762D1">
        <w:rPr>
          <w:rFonts w:ascii="ITC Avant Garde" w:eastAsia="Calibri" w:hAnsi="ITC Avant Garde" w:cs="Arial"/>
          <w:color w:val="000000" w:themeColor="text1"/>
          <w:lang w:val="es-ES_tradnl"/>
        </w:rPr>
        <w:t xml:space="preserve"> Ethernet.</w:t>
      </w:r>
    </w:p>
    <w:p w14:paraId="47C846B1" w14:textId="77777777" w:rsidR="000F0B9F" w:rsidRPr="008762D1" w:rsidRDefault="00526FE9" w:rsidP="000F0B9F">
      <w:pPr>
        <w:spacing w:before="240" w:line="276" w:lineRule="auto"/>
        <w:jc w:val="both"/>
        <w:rPr>
          <w:rFonts w:ascii="ITC Avant Garde" w:eastAsia="Calibri" w:hAnsi="ITC Avant Garde" w:cs="Arial"/>
          <w:color w:val="000000" w:themeColor="text1"/>
          <w:lang w:val="es-ES_tradnl"/>
        </w:rPr>
      </w:pPr>
      <w:r w:rsidRPr="008762D1">
        <w:rPr>
          <w:rFonts w:ascii="ITC Avant Garde" w:eastAsia="Calibri" w:hAnsi="ITC Avant Garde" w:cs="Arial"/>
          <w:color w:val="000000" w:themeColor="text1"/>
          <w:lang w:val="es-ES_tradnl"/>
        </w:rPr>
        <w:t xml:space="preserve">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w:t>
      </w:r>
      <w:r w:rsidRPr="008762D1">
        <w:rPr>
          <w:rFonts w:ascii="ITC Avant Garde" w:eastAsia="Calibri" w:hAnsi="ITC Avant Garde" w:cs="Arial"/>
          <w:color w:val="000000" w:themeColor="text1"/>
          <w:lang w:val="es-ES_tradnl"/>
        </w:rPr>
        <w:lastRenderedPageBreak/>
        <w:t>a las Recomendaciones de la Unión Internacional de Telecomunicaciones ITU G.780, G.803 y G.810).</w:t>
      </w:r>
    </w:p>
    <w:p w14:paraId="41621A3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 Plazos de entrega de los Servicios.</w:t>
      </w:r>
    </w:p>
    <w:p w14:paraId="2664CD3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solicitudes de servicio deberán presentarse mediante el Sistema Electrónico de Gestión (SEG).</w:t>
      </w:r>
    </w:p>
    <w:p w14:paraId="17C60E1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solicitudes serán válidas y exigibles en el momento que Telmex entregue el número de referencia asociado a cada servicio, lo cual sucederá en un plazo máximo de 2 (dos) días hábiles posteriores a la recepción de las solicitudes.</w:t>
      </w:r>
    </w:p>
    <w:p w14:paraId="087BF25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2.4.1 Plazos de entrega.</w:t>
      </w:r>
    </w:p>
    <w:p w14:paraId="1C454AD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2.4.1.1 Los plazos de entrega indicados en la tabla del presente numeral, no podrán excederse en:</w:t>
      </w:r>
    </w:p>
    <w:p w14:paraId="09BB491E" w14:textId="160D6E18" w:rsidR="00526FE9" w:rsidRPr="008762D1" w:rsidRDefault="00526FE9" w:rsidP="000F0B9F">
      <w:pPr>
        <w:widowControl w:val="0"/>
        <w:numPr>
          <w:ilvl w:val="12"/>
          <w:numId w:val="0"/>
        </w:numPr>
        <w:spacing w:before="240" w:after="200" w:line="276" w:lineRule="auto"/>
        <w:jc w:val="both"/>
        <w:rPr>
          <w:rFonts w:ascii="ITC Avant Garde" w:hAnsi="ITC Avant Garde" w:cs="Arial"/>
          <w:color w:val="000000" w:themeColor="text1"/>
        </w:rPr>
      </w:pPr>
      <w:r w:rsidRPr="008762D1">
        <w:rPr>
          <w:rFonts w:ascii="ITC Avant Garde" w:hAnsi="ITC Avant Garde" w:cs="Arial"/>
          <w:color w:val="000000" w:themeColor="text1"/>
        </w:rPr>
        <w:t xml:space="preserve">Una vez ratificado el pronóstico indicado en el punto 2.2 anterior, los servicios solicitados serán obligatorios para ambas partes, en los plazos máximos para entrega de servicios de la siguiente tabla. Sin embargo, </w:t>
      </w:r>
      <w:proofErr w:type="gramStart"/>
      <w:r w:rsidRPr="008762D1">
        <w:rPr>
          <w:rFonts w:ascii="ITC Avant Garde" w:hAnsi="ITC Avant Garde" w:cs="Arial"/>
          <w:color w:val="000000" w:themeColor="text1"/>
        </w:rPr>
        <w:t>[ _</w:t>
      </w:r>
      <w:proofErr w:type="gramEnd"/>
      <w:r w:rsidRPr="008762D1">
        <w:rPr>
          <w:rFonts w:ascii="ITC Avant Garde" w:hAnsi="ITC Avant Garde" w:cs="Arial"/>
          <w:color w:val="000000" w:themeColor="text1"/>
        </w:rPr>
        <w:t xml:space="preserve">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w:t>
      </w:r>
      <w:proofErr w:type="gramStart"/>
      <w:r w:rsidRPr="008762D1">
        <w:rPr>
          <w:rFonts w:ascii="ITC Avant Garde" w:hAnsi="ITC Avant Garde" w:cs="Arial"/>
          <w:color w:val="000000" w:themeColor="text1"/>
        </w:rPr>
        <w:t>[ _</w:t>
      </w:r>
      <w:proofErr w:type="gramEnd"/>
      <w:r w:rsidRPr="008762D1">
        <w:rPr>
          <w:rFonts w:ascii="ITC Avant Garde" w:hAnsi="ITC Avant Garde" w:cs="Arial"/>
          <w:color w:val="000000" w:themeColor="text1"/>
        </w:rPr>
        <w:t xml:space="preserve">_________ ] deberá pagar a Telmex los Gastos de Instalación correspondientes, en términos de lo estipulado en el Anexo “B”. </w:t>
      </w:r>
    </w:p>
    <w:tbl>
      <w:tblPr>
        <w:tblStyle w:val="Cuadrculadetablaclara"/>
        <w:tblW w:w="0" w:type="auto"/>
        <w:jc w:val="center"/>
        <w:tblLook w:val="01E0" w:firstRow="1" w:lastRow="1" w:firstColumn="1" w:lastColumn="1" w:noHBand="0" w:noVBand="0"/>
        <w:tblCaption w:val="Tabla"/>
        <w:tblDescription w:val="Días hábiles"/>
      </w:tblPr>
      <w:tblGrid>
        <w:gridCol w:w="5103"/>
        <w:gridCol w:w="1559"/>
      </w:tblGrid>
      <w:tr w:rsidR="008762D1" w:rsidRPr="008762D1" w14:paraId="393932E9" w14:textId="77777777" w:rsidTr="000703A0">
        <w:trPr>
          <w:tblHeader/>
          <w:jc w:val="center"/>
        </w:trPr>
        <w:tc>
          <w:tcPr>
            <w:tcW w:w="5103" w:type="dxa"/>
          </w:tcPr>
          <w:p w14:paraId="70F0C6BB" w14:textId="77777777" w:rsidR="00526FE9" w:rsidRPr="008762D1" w:rsidRDefault="00526FE9" w:rsidP="000703A0">
            <w:pPr>
              <w:spacing w:before="240"/>
              <w:jc w:val="both"/>
              <w:rPr>
                <w:rFonts w:ascii="ITC Avant Garde" w:hAnsi="ITC Avant Garde" w:cs="Arial"/>
                <w:color w:val="000000" w:themeColor="text1"/>
                <w:sz w:val="24"/>
                <w:szCs w:val="24"/>
                <w:lang w:eastAsia="es-ES"/>
              </w:rPr>
            </w:pPr>
          </w:p>
        </w:tc>
        <w:tc>
          <w:tcPr>
            <w:tcW w:w="1559" w:type="dxa"/>
            <w:hideMark/>
          </w:tcPr>
          <w:p w14:paraId="6004F509" w14:textId="77777777" w:rsidR="00526FE9" w:rsidRPr="008762D1" w:rsidRDefault="00526FE9" w:rsidP="000703A0">
            <w:pPr>
              <w:spacing w:before="240"/>
              <w:jc w:val="center"/>
              <w:rPr>
                <w:rFonts w:ascii="ITC Avant Garde" w:hAnsi="ITC Avant Garde" w:cs="Arial"/>
                <w:b/>
                <w:color w:val="000000" w:themeColor="text1"/>
              </w:rPr>
            </w:pPr>
            <w:r w:rsidRPr="008762D1">
              <w:rPr>
                <w:rFonts w:ascii="ITC Avant Garde" w:eastAsia="Calibri" w:hAnsi="ITC Avant Garde" w:cs="Arial"/>
                <w:b/>
                <w:color w:val="000000" w:themeColor="text1"/>
              </w:rPr>
              <w:t>Días hábiles</w:t>
            </w:r>
          </w:p>
        </w:tc>
      </w:tr>
      <w:tr w:rsidR="008762D1" w:rsidRPr="008762D1" w14:paraId="33501CE7" w14:textId="77777777" w:rsidTr="000703A0">
        <w:trPr>
          <w:jc w:val="center"/>
        </w:trPr>
        <w:tc>
          <w:tcPr>
            <w:tcW w:w="5103" w:type="dxa"/>
            <w:hideMark/>
          </w:tcPr>
          <w:p w14:paraId="6262E9E9" w14:textId="77777777" w:rsidR="00526FE9" w:rsidRPr="008762D1" w:rsidRDefault="00526FE9" w:rsidP="000703A0">
            <w:pPr>
              <w:spacing w:before="240"/>
              <w:jc w:val="both"/>
              <w:rPr>
                <w:rFonts w:ascii="ITC Avant Garde" w:hAnsi="ITC Avant Garde" w:cs="Arial"/>
                <w:b/>
                <w:color w:val="000000" w:themeColor="text1"/>
              </w:rPr>
            </w:pPr>
            <w:r w:rsidRPr="008762D1">
              <w:rPr>
                <w:rFonts w:ascii="ITC Avant Garde" w:eastAsia="Calibri" w:hAnsi="ITC Avant Garde" w:cs="Arial"/>
                <w:b/>
                <w:color w:val="000000" w:themeColor="text1"/>
              </w:rPr>
              <w:t>Enlaces Dedicados de Interconexión Locales</w:t>
            </w:r>
          </w:p>
        </w:tc>
        <w:tc>
          <w:tcPr>
            <w:tcW w:w="1559" w:type="dxa"/>
            <w:hideMark/>
          </w:tcPr>
          <w:p w14:paraId="07B4849D" w14:textId="77777777" w:rsidR="00526FE9" w:rsidRPr="008762D1" w:rsidRDefault="00526FE9" w:rsidP="000703A0">
            <w:pPr>
              <w:spacing w:before="240"/>
              <w:jc w:val="center"/>
              <w:rPr>
                <w:rFonts w:ascii="ITC Avant Garde" w:hAnsi="ITC Avant Garde" w:cs="Arial"/>
                <w:color w:val="000000" w:themeColor="text1"/>
              </w:rPr>
            </w:pPr>
            <w:r w:rsidRPr="008762D1">
              <w:rPr>
                <w:rFonts w:ascii="ITC Avant Garde" w:eastAsia="Calibri" w:hAnsi="ITC Avant Garde" w:cs="Arial"/>
                <w:color w:val="000000" w:themeColor="text1"/>
              </w:rPr>
              <w:t>15</w:t>
            </w:r>
          </w:p>
        </w:tc>
      </w:tr>
      <w:tr w:rsidR="008762D1" w:rsidRPr="008762D1" w14:paraId="6DFFDC82" w14:textId="77777777" w:rsidTr="000703A0">
        <w:trPr>
          <w:jc w:val="center"/>
        </w:trPr>
        <w:tc>
          <w:tcPr>
            <w:tcW w:w="5103" w:type="dxa"/>
            <w:hideMark/>
          </w:tcPr>
          <w:p w14:paraId="2371A7A8" w14:textId="77777777" w:rsidR="00526FE9" w:rsidRPr="008762D1" w:rsidRDefault="00526FE9" w:rsidP="000703A0">
            <w:pPr>
              <w:spacing w:before="240"/>
              <w:jc w:val="both"/>
              <w:rPr>
                <w:rFonts w:ascii="ITC Avant Garde" w:hAnsi="ITC Avant Garde" w:cs="Arial"/>
                <w:b/>
                <w:color w:val="000000" w:themeColor="text1"/>
              </w:rPr>
            </w:pPr>
            <w:r w:rsidRPr="008762D1">
              <w:rPr>
                <w:rFonts w:ascii="ITC Avant Garde" w:eastAsia="Calibri" w:hAnsi="ITC Avant Garde" w:cs="Arial"/>
                <w:b/>
                <w:color w:val="000000" w:themeColor="text1"/>
              </w:rPr>
              <w:t>Enlaces Dedicados de Interconexión Nacionales</w:t>
            </w:r>
          </w:p>
        </w:tc>
        <w:tc>
          <w:tcPr>
            <w:tcW w:w="1559" w:type="dxa"/>
            <w:hideMark/>
          </w:tcPr>
          <w:p w14:paraId="5A39946C" w14:textId="77777777" w:rsidR="00526FE9" w:rsidRPr="008762D1" w:rsidRDefault="00526FE9" w:rsidP="000703A0">
            <w:pPr>
              <w:spacing w:before="240"/>
              <w:jc w:val="center"/>
              <w:rPr>
                <w:rFonts w:ascii="ITC Avant Garde" w:hAnsi="ITC Avant Garde" w:cs="Arial"/>
                <w:color w:val="000000" w:themeColor="text1"/>
              </w:rPr>
            </w:pPr>
            <w:r w:rsidRPr="008762D1">
              <w:rPr>
                <w:rFonts w:ascii="ITC Avant Garde" w:eastAsia="Calibri" w:hAnsi="ITC Avant Garde" w:cs="Arial"/>
                <w:color w:val="000000" w:themeColor="text1"/>
              </w:rPr>
              <w:t>15</w:t>
            </w:r>
          </w:p>
        </w:tc>
      </w:tr>
      <w:tr w:rsidR="00526FE9" w:rsidRPr="008762D1" w14:paraId="66749EBD" w14:textId="77777777" w:rsidTr="000703A0">
        <w:trPr>
          <w:jc w:val="center"/>
        </w:trPr>
        <w:tc>
          <w:tcPr>
            <w:tcW w:w="5103" w:type="dxa"/>
            <w:hideMark/>
          </w:tcPr>
          <w:p w14:paraId="0BBB48F0" w14:textId="77777777" w:rsidR="00526FE9" w:rsidRPr="008762D1" w:rsidRDefault="00526FE9" w:rsidP="000703A0">
            <w:pPr>
              <w:pStyle w:val="Textosinformato"/>
              <w:spacing w:before="240"/>
              <w:jc w:val="both"/>
              <w:rPr>
                <w:rFonts w:ascii="ITC Avant Garde" w:hAnsi="ITC Avant Garde" w:cs="Arial"/>
                <w:b/>
                <w:color w:val="000000" w:themeColor="text1"/>
                <w:sz w:val="22"/>
                <w:szCs w:val="24"/>
              </w:rPr>
            </w:pPr>
            <w:r w:rsidRPr="008762D1">
              <w:rPr>
                <w:rFonts w:ascii="ITC Avant Garde" w:hAnsi="ITC Avant Garde" w:cs="Arial"/>
                <w:b/>
                <w:color w:val="000000" w:themeColor="text1"/>
                <w:sz w:val="22"/>
                <w:szCs w:val="24"/>
              </w:rPr>
              <w:t xml:space="preserve">Enlace de Transmisión entre </w:t>
            </w:r>
            <w:proofErr w:type="spellStart"/>
            <w:r w:rsidRPr="008762D1">
              <w:rPr>
                <w:rFonts w:ascii="ITC Avant Garde" w:hAnsi="ITC Avant Garde" w:cs="Arial"/>
                <w:b/>
                <w:color w:val="000000" w:themeColor="text1"/>
                <w:sz w:val="22"/>
                <w:szCs w:val="24"/>
              </w:rPr>
              <w:t>coubicaciones</w:t>
            </w:r>
            <w:proofErr w:type="spellEnd"/>
            <w:r w:rsidRPr="008762D1">
              <w:rPr>
                <w:rFonts w:ascii="ITC Avant Garde" w:hAnsi="ITC Avant Garde" w:cs="Arial"/>
                <w:b/>
                <w:color w:val="000000" w:themeColor="text1"/>
                <w:sz w:val="22"/>
                <w:szCs w:val="24"/>
                <w:highlight w:val="yellow"/>
              </w:rPr>
              <w:t xml:space="preserve"> </w:t>
            </w:r>
            <w:r w:rsidRPr="008762D1">
              <w:rPr>
                <w:rFonts w:ascii="ITC Avant Garde" w:hAnsi="ITC Avant Garde" w:cs="Arial"/>
                <w:b/>
                <w:color w:val="000000" w:themeColor="text1"/>
                <w:sz w:val="22"/>
                <w:szCs w:val="24"/>
              </w:rPr>
              <w:t>gestionado</w:t>
            </w:r>
          </w:p>
        </w:tc>
        <w:tc>
          <w:tcPr>
            <w:tcW w:w="1559" w:type="dxa"/>
            <w:hideMark/>
          </w:tcPr>
          <w:p w14:paraId="2AE9CD45" w14:textId="77777777" w:rsidR="00526FE9" w:rsidRPr="008762D1" w:rsidRDefault="00526FE9" w:rsidP="000703A0">
            <w:pPr>
              <w:spacing w:before="240"/>
              <w:jc w:val="center"/>
              <w:rPr>
                <w:rFonts w:ascii="ITC Avant Garde" w:hAnsi="ITC Avant Garde" w:cs="Arial"/>
                <w:color w:val="000000" w:themeColor="text1"/>
                <w:sz w:val="20"/>
                <w:szCs w:val="20"/>
                <w:lang w:eastAsia="es-ES"/>
              </w:rPr>
            </w:pPr>
            <w:r w:rsidRPr="008762D1">
              <w:rPr>
                <w:rFonts w:ascii="ITC Avant Garde" w:eastAsia="Calibri" w:hAnsi="ITC Avant Garde" w:cs="Arial"/>
                <w:color w:val="000000" w:themeColor="text1"/>
              </w:rPr>
              <w:t>15</w:t>
            </w:r>
          </w:p>
        </w:tc>
      </w:tr>
    </w:tbl>
    <w:p w14:paraId="22FAAE3A" w14:textId="77777777" w:rsidR="00526FE9" w:rsidRPr="008762D1" w:rsidRDefault="00526FE9" w:rsidP="000F0B9F">
      <w:pPr>
        <w:tabs>
          <w:tab w:val="left" w:pos="5702"/>
        </w:tabs>
        <w:spacing w:before="240"/>
        <w:jc w:val="both"/>
        <w:rPr>
          <w:rFonts w:ascii="ITC Avant Garde" w:hAnsi="ITC Avant Garde" w:cs="Arial"/>
          <w:color w:val="000000" w:themeColor="text1"/>
          <w:lang w:val="es-ES" w:eastAsia="es-ES"/>
        </w:rPr>
      </w:pPr>
    </w:p>
    <w:p w14:paraId="11040190" w14:textId="77777777" w:rsidR="000F0B9F" w:rsidRPr="008762D1" w:rsidRDefault="00526FE9" w:rsidP="000F0B9F">
      <w:p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Cualquier solicitud de servicio adicional fuera de pronóstico será </w:t>
      </w:r>
      <w:proofErr w:type="gramStart"/>
      <w:r w:rsidRPr="008762D1">
        <w:rPr>
          <w:rFonts w:ascii="ITC Avant Garde" w:hAnsi="ITC Avant Garde" w:cs="Arial"/>
          <w:color w:val="000000" w:themeColor="text1"/>
        </w:rPr>
        <w:t>entregado</w:t>
      </w:r>
      <w:proofErr w:type="gramEnd"/>
      <w:r w:rsidRPr="008762D1">
        <w:rPr>
          <w:rFonts w:ascii="ITC Avant Garde" w:hAnsi="ITC Avant Garde" w:cs="Arial"/>
          <w:color w:val="000000" w:themeColor="text1"/>
        </w:rPr>
        <w:t xml:space="preserve"> en la fecha en que sea acordada por las partes bajo esquema fecha compromiso (</w:t>
      </w:r>
      <w:proofErr w:type="spellStart"/>
      <w:r w:rsidRPr="008762D1">
        <w:rPr>
          <w:rFonts w:ascii="ITC Avant Garde" w:hAnsi="ITC Avant Garde" w:cs="Arial"/>
          <w:color w:val="000000" w:themeColor="text1"/>
        </w:rPr>
        <w:t>Due</w:t>
      </w:r>
      <w:proofErr w:type="spellEnd"/>
      <w:r w:rsidRPr="008762D1">
        <w:rPr>
          <w:rFonts w:ascii="ITC Avant Garde" w:hAnsi="ITC Avant Garde" w:cs="Arial"/>
          <w:color w:val="000000" w:themeColor="text1"/>
        </w:rPr>
        <w:t xml:space="preserve"> Date).</w:t>
      </w:r>
    </w:p>
    <w:p w14:paraId="4B520320" w14:textId="2953DAF7" w:rsidR="00526FE9" w:rsidRPr="008762D1" w:rsidRDefault="00526FE9" w:rsidP="000F0B9F">
      <w:pPr>
        <w:widowControl w:val="0"/>
        <w:numPr>
          <w:ilvl w:val="12"/>
          <w:numId w:val="0"/>
        </w:numPr>
        <w:spacing w:before="240" w:after="200" w:line="276" w:lineRule="auto"/>
        <w:jc w:val="both"/>
        <w:rPr>
          <w:rFonts w:ascii="ITC Avant Garde" w:hAnsi="ITC Avant Garde" w:cs="Arial"/>
          <w:color w:val="000000" w:themeColor="text1"/>
        </w:rPr>
      </w:pPr>
      <w:r w:rsidRPr="008762D1">
        <w:rPr>
          <w:rFonts w:ascii="ITC Avant Garde" w:hAnsi="ITC Avant Garde" w:cs="Arial"/>
          <w:color w:val="000000" w:themeColor="text1"/>
        </w:rPr>
        <w:t>En caso de que las partes acuerden una fecha compromiso (</w:t>
      </w:r>
      <w:proofErr w:type="spellStart"/>
      <w:r w:rsidRPr="008762D1">
        <w:rPr>
          <w:rFonts w:ascii="ITC Avant Garde" w:hAnsi="ITC Avant Garde" w:cs="Arial"/>
          <w:color w:val="000000" w:themeColor="text1"/>
        </w:rPr>
        <w:t>Due</w:t>
      </w:r>
      <w:proofErr w:type="spellEnd"/>
      <w:r w:rsidRPr="008762D1">
        <w:rPr>
          <w:rFonts w:ascii="ITC Avant Garde" w:hAnsi="ITC Avant Garde" w:cs="Arial"/>
          <w:color w:val="000000" w:themeColor="text1"/>
        </w:rPr>
        <w:t xml:space="preserve"> Date) con un plazo mayor a los señalados en la tabla anterior, prevalecerá la fecha compromiso acordada.</w:t>
      </w:r>
    </w:p>
    <w:p w14:paraId="244EAFE1" w14:textId="77777777" w:rsidR="00526FE9" w:rsidRPr="008762D1" w:rsidRDefault="00526FE9" w:rsidP="000F0B9F">
      <w:pPr>
        <w:widowControl w:val="0"/>
        <w:numPr>
          <w:ilvl w:val="12"/>
          <w:numId w:val="0"/>
        </w:numPr>
        <w:spacing w:before="240" w:after="200" w:line="276" w:lineRule="auto"/>
        <w:jc w:val="both"/>
        <w:rPr>
          <w:rFonts w:ascii="ITC Avant Garde" w:hAnsi="ITC Avant Garde" w:cs="Times New Roman"/>
          <w:color w:val="000000" w:themeColor="text1"/>
          <w:szCs w:val="24"/>
        </w:rPr>
      </w:pPr>
      <w:r w:rsidRPr="008762D1">
        <w:rPr>
          <w:rFonts w:ascii="ITC Avant Garde" w:hAnsi="ITC Avant Garde" w:cs="Arial"/>
          <w:color w:val="000000" w:themeColor="text1"/>
        </w:rPr>
        <w:t xml:space="preserve">La entrega de enlaces con base en fecha compromiso no podrá exceder de 25 días </w:t>
      </w:r>
      <w:r w:rsidRPr="008762D1">
        <w:rPr>
          <w:rFonts w:ascii="ITC Avant Garde" w:hAnsi="ITC Avant Garde" w:cs="Arial"/>
          <w:color w:val="000000" w:themeColor="text1"/>
        </w:rPr>
        <w:lastRenderedPageBreak/>
        <w:t>hábiles para enlaces locales y de 35 días hábiles para enlaces entre localidades, independientemente de la tecnología.</w:t>
      </w:r>
    </w:p>
    <w:p w14:paraId="79BE08A0" w14:textId="77777777" w:rsidR="00526FE9" w:rsidRPr="008762D1" w:rsidRDefault="00526FE9" w:rsidP="000F0B9F">
      <w:pPr>
        <w:tabs>
          <w:tab w:val="center" w:pos="1814"/>
          <w:tab w:val="center" w:pos="5216"/>
          <w:tab w:val="center" w:pos="9214"/>
        </w:tabs>
        <w:spacing w:before="240" w:after="200" w:line="240" w:lineRule="atLeast"/>
        <w:jc w:val="both"/>
        <w:rPr>
          <w:rFonts w:ascii="ITC Avant Garde" w:hAnsi="ITC Avant Garde" w:cs="Arial"/>
          <w:color w:val="000000" w:themeColor="text1"/>
        </w:rPr>
      </w:pPr>
      <w:r w:rsidRPr="008762D1">
        <w:rPr>
          <w:rFonts w:ascii="ITC Avant Garde" w:hAnsi="ITC Avant Garde" w:cs="Arial"/>
          <w:color w:val="000000" w:themeColor="text1"/>
        </w:rPr>
        <w:t>Para la medición del cumplimento de los plazos de entrega, Telmex habiendo demostrado fehacientemente el hecho de que se trate, no se computarán los días de retraso atribuibles a lo siguiente:</w:t>
      </w:r>
    </w:p>
    <w:p w14:paraId="1C0236F5" w14:textId="77777777" w:rsidR="000F0B9F" w:rsidRPr="008762D1" w:rsidRDefault="00526FE9" w:rsidP="000F0B9F">
      <w:pPr>
        <w:numPr>
          <w:ilvl w:val="0"/>
          <w:numId w:val="77"/>
        </w:numPr>
        <w:tabs>
          <w:tab w:val="center" w:pos="1814"/>
          <w:tab w:val="center" w:pos="5216"/>
          <w:tab w:val="center" w:pos="9214"/>
        </w:tabs>
        <w:spacing w:before="240" w:after="0" w:line="240" w:lineRule="atLeast"/>
        <w:ind w:left="709"/>
        <w:jc w:val="both"/>
        <w:rPr>
          <w:rFonts w:ascii="ITC Avant Garde" w:hAnsi="ITC Avant Garde" w:cs="Arial"/>
          <w:color w:val="000000" w:themeColor="text1"/>
        </w:rPr>
      </w:pPr>
      <w:r w:rsidRPr="008762D1">
        <w:rPr>
          <w:rFonts w:ascii="ITC Avant Garde" w:hAnsi="ITC Avant Garde" w:cs="Arial"/>
          <w:color w:val="000000" w:themeColor="text1"/>
        </w:rPr>
        <w:t>Los que deriven de Caso Fortuito o Fuerza Mayor.</w:t>
      </w:r>
    </w:p>
    <w:p w14:paraId="3AAB70E4" w14:textId="77777777" w:rsidR="000F0B9F" w:rsidRPr="008762D1" w:rsidRDefault="00526FE9" w:rsidP="000F0B9F">
      <w:pPr>
        <w:numPr>
          <w:ilvl w:val="0"/>
          <w:numId w:val="77"/>
        </w:numPr>
        <w:tabs>
          <w:tab w:val="center" w:pos="1814"/>
          <w:tab w:val="center" w:pos="5216"/>
          <w:tab w:val="center" w:pos="9214"/>
        </w:tabs>
        <w:spacing w:before="240" w:after="0" w:line="240" w:lineRule="atLeast"/>
        <w:ind w:left="709"/>
        <w:jc w:val="both"/>
        <w:rPr>
          <w:rFonts w:ascii="ITC Avant Garde" w:hAnsi="ITC Avant Garde" w:cs="Arial"/>
          <w:color w:val="000000" w:themeColor="text1"/>
        </w:rPr>
      </w:pPr>
      <w:r w:rsidRPr="008762D1">
        <w:rPr>
          <w:rFonts w:ascii="ITC Avant Garde" w:hAnsi="ITC Avant Garde" w:cs="Arial"/>
          <w:color w:val="000000" w:themeColor="text1"/>
        </w:rPr>
        <w:t>Los imputables a [__________], los que de manera enunciativa más no limitativa, pueden consistir en: acondicionamiento de sitios del cliente que no estén listos, retrasos en los permisos para acceder a los sitios.</w:t>
      </w:r>
    </w:p>
    <w:p w14:paraId="2890D09F" w14:textId="77777777" w:rsidR="000F0B9F" w:rsidRPr="008762D1" w:rsidRDefault="00526FE9" w:rsidP="000F0B9F">
      <w:pPr>
        <w:numPr>
          <w:ilvl w:val="0"/>
          <w:numId w:val="77"/>
        </w:numPr>
        <w:tabs>
          <w:tab w:val="center" w:pos="1814"/>
          <w:tab w:val="center" w:pos="5216"/>
          <w:tab w:val="center" w:pos="9214"/>
        </w:tabs>
        <w:spacing w:before="240" w:after="0" w:line="240" w:lineRule="atLeast"/>
        <w:ind w:left="709"/>
        <w:jc w:val="both"/>
        <w:rPr>
          <w:rFonts w:ascii="ITC Avant Garde" w:hAnsi="ITC Avant Garde" w:cs="Arial"/>
          <w:color w:val="000000" w:themeColor="text1"/>
        </w:rPr>
      </w:pPr>
      <w:r w:rsidRPr="008762D1">
        <w:rPr>
          <w:rFonts w:ascii="ITC Avant Garde" w:hAnsi="ITC Avant Garde" w:cs="Arial"/>
          <w:color w:val="000000" w:themeColor="text1"/>
        </w:rPr>
        <w:t>Aquellos no imputables a Telmex, los que de manera enunciativa más no limitativa, pueden consistir en: retrasos por permisos de trabajos en vías públicas (municipales, estatales o federales), plantones en vía pública y los tiempos atribuibles a las notificaciones que Telmex realice a los concesionarios de redes públicas de telecomunicaciones para que manifiesten su interés por participar en las nuevas obras civiles.</w:t>
      </w:r>
    </w:p>
    <w:p w14:paraId="5AA1E30D" w14:textId="77777777" w:rsidR="000F0B9F"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Con la finalidad de que Telmex pueda realizar la instalación de los elementos necesarios para prestar los servicios contratados, </w:t>
      </w:r>
      <w:proofErr w:type="gramStart"/>
      <w:r w:rsidRPr="008762D1">
        <w:rPr>
          <w:rFonts w:ascii="ITC Avant Garde" w:hAnsi="ITC Avant Garde" w:cs="Arial"/>
          <w:color w:val="000000" w:themeColor="text1"/>
        </w:rPr>
        <w:t>[ _</w:t>
      </w:r>
      <w:proofErr w:type="gramEnd"/>
      <w:r w:rsidRPr="008762D1">
        <w:rPr>
          <w:rFonts w:ascii="ITC Avant Garde" w:hAnsi="ITC Avant Garde" w:cs="Arial"/>
          <w:color w:val="000000" w:themeColor="text1"/>
        </w:rPr>
        <w:t xml:space="preserve">_________ ] deberá notificar a Telmex que los insumos y las adecuaciones se encuentran disponibles en los  sitios donde se recibirán los servicios contratados. El cómputo de los plazos de entrega se iniciará a partir de la confirmación de </w:t>
      </w:r>
      <w:proofErr w:type="gramStart"/>
      <w:r w:rsidRPr="008762D1">
        <w:rPr>
          <w:rFonts w:ascii="ITC Avant Garde" w:hAnsi="ITC Avant Garde" w:cs="Arial"/>
          <w:color w:val="000000" w:themeColor="text1"/>
        </w:rPr>
        <w:t>[ _</w:t>
      </w:r>
      <w:proofErr w:type="gramEnd"/>
      <w:r w:rsidRPr="008762D1">
        <w:rPr>
          <w:rFonts w:ascii="ITC Avant Garde" w:hAnsi="ITC Avant Garde" w:cs="Arial"/>
          <w:color w:val="000000" w:themeColor="text1"/>
        </w:rPr>
        <w:t>_________ ] sobre la disponibilidad de los insumos y adecuaciones aludidos y verificados por Telmex.</w:t>
      </w:r>
    </w:p>
    <w:p w14:paraId="2C433F93" w14:textId="77777777" w:rsidR="000F0B9F"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Una vez que Telmex notifique a </w:t>
      </w:r>
      <w:proofErr w:type="gramStart"/>
      <w:r w:rsidRPr="008762D1">
        <w:rPr>
          <w:rFonts w:ascii="ITC Avant Garde" w:hAnsi="ITC Avant Garde" w:cs="Arial"/>
          <w:color w:val="000000" w:themeColor="text1"/>
        </w:rPr>
        <w:t>[ _</w:t>
      </w:r>
      <w:proofErr w:type="gramEnd"/>
      <w:r w:rsidRPr="008762D1">
        <w:rPr>
          <w:rFonts w:ascii="ITC Avant Garde" w:hAnsi="ITC Avant Garde" w:cs="Arial"/>
          <w:color w:val="000000" w:themeColor="text1"/>
        </w:rPr>
        <w:t xml:space="preserve">_________ ] que el servicio se encuentra terminado, instalado y listo para realizar las pruebas se detendrá el cómputo del plazo de entrega. Las partes tendrán un plazo de 2 días para realizar las pruebas de transmisión y conmutación y concluir la entrega del servicio. En caso de que dichas pruebas no sean realizables por causas imputables a </w:t>
      </w:r>
      <w:proofErr w:type="gramStart"/>
      <w:r w:rsidRPr="008762D1">
        <w:rPr>
          <w:rFonts w:ascii="ITC Avant Garde" w:hAnsi="ITC Avant Garde" w:cs="Arial"/>
          <w:color w:val="000000" w:themeColor="text1"/>
        </w:rPr>
        <w:t>[ _</w:t>
      </w:r>
      <w:proofErr w:type="gramEnd"/>
      <w:r w:rsidRPr="008762D1">
        <w:rPr>
          <w:rFonts w:ascii="ITC Avant Garde" w:hAnsi="ITC Avant Garde" w:cs="Arial"/>
          <w:color w:val="000000" w:themeColor="text1"/>
        </w:rPr>
        <w:t xml:space="preserve">_________ ] y se venza este plazo, Telmex iniciará la facturación correspondiente y se </w:t>
      </w:r>
      <w:proofErr w:type="spellStart"/>
      <w:r w:rsidRPr="008762D1">
        <w:rPr>
          <w:rFonts w:ascii="ITC Avant Garde" w:hAnsi="ITC Avant Garde" w:cs="Arial"/>
          <w:color w:val="000000" w:themeColor="text1"/>
        </w:rPr>
        <w:t>reagendará</w:t>
      </w:r>
      <w:proofErr w:type="spellEnd"/>
      <w:r w:rsidRPr="008762D1">
        <w:rPr>
          <w:rFonts w:ascii="ITC Avant Garde" w:hAnsi="ITC Avant Garde" w:cs="Arial"/>
          <w:color w:val="000000" w:themeColor="text1"/>
        </w:rPr>
        <w:t xml:space="preserve"> la entrega del servicio cuando [ __________ ] notifique que se encuentra listo para recibirlo.</w:t>
      </w:r>
    </w:p>
    <w:p w14:paraId="0680C95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2.4.1.2 Para los casos en que el Concesionario Solicitante requiera Enlaces de manera anticipada (tiempos de entrega menores a los señalados en la tabla respectiva), Telmex responderá a esta petición en un plazo máximo de 2 (dos) días hábiles;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 Una vez realizada la aceptación y pago por parte del Concesionario Solicitante se iniciará el conteo del tiempo de entrega acordado entre el Concesionario Solicitante y Telmex, el cual no podrá exceder de la mitad de los tiempos establecidos, y deberá cumplirse al 100% (cien por ciento) de los casos. </w:t>
      </w:r>
    </w:p>
    <w:p w14:paraId="0B6B0731" w14:textId="77777777" w:rsidR="000F0B9F" w:rsidRPr="008762D1" w:rsidRDefault="00526FE9" w:rsidP="000F0B9F">
      <w:pPr>
        <w:autoSpaceDE w:val="0"/>
        <w:autoSpaceDN w:val="0"/>
        <w:adjustRightInd w:val="0"/>
        <w:spacing w:before="240"/>
        <w:jc w:val="both"/>
        <w:rPr>
          <w:rFonts w:ascii="ITC Avant Garde" w:hAnsi="ITC Avant Garde" w:cs="Times New Roman"/>
          <w:color w:val="000000" w:themeColor="text1"/>
          <w:lang w:val="es-ES"/>
        </w:rPr>
      </w:pPr>
      <w:r w:rsidRPr="008762D1">
        <w:rPr>
          <w:rFonts w:ascii="ITC Avant Garde" w:hAnsi="ITC Avant Garde" w:cs="Arial"/>
          <w:color w:val="000000" w:themeColor="text1"/>
        </w:rPr>
        <w:lastRenderedPageBreak/>
        <w:t>2.4.1.3 El Concesionario Solicitante podrá cancelar los servicios solicitados sin cargo alguno, siempre y cuando dicha cancelación se efectúe antes que le sea notificada la fecha de entrega vinculante. En caso de que la cancelación se realice con posterioridad al plazo anteriormente señalado, el Concesionario Solicitante pagará a Telmex los Gastos de Instalación correspondientes, en términos de lo estipulado en el Anexo “B” del convenio.</w:t>
      </w:r>
    </w:p>
    <w:p w14:paraId="2065A5C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2.4.1.4 En caso de que los servicios solicitados excedan un 20% o más de los pronosticados, los Enlaces excedentes serán instalados en un plazo definido por mutuo acuerdo bajo esquema fecha compromiso (</w:t>
      </w:r>
      <w:proofErr w:type="spellStart"/>
      <w:r w:rsidRPr="008762D1">
        <w:rPr>
          <w:rFonts w:ascii="ITC Avant Garde" w:hAnsi="ITC Avant Garde" w:cs="Arial"/>
          <w:color w:val="000000" w:themeColor="text1"/>
        </w:rPr>
        <w:t>Due</w:t>
      </w:r>
      <w:proofErr w:type="spellEnd"/>
      <w:r w:rsidRPr="008762D1">
        <w:rPr>
          <w:rFonts w:ascii="ITC Avant Garde" w:hAnsi="ITC Avant Garde" w:cs="Arial"/>
          <w:color w:val="000000" w:themeColor="text1"/>
        </w:rPr>
        <w:t xml:space="preserve"> Date). Situación que será informada al Instituto, junto con las nuevas fechas de entrega.</w:t>
      </w:r>
    </w:p>
    <w:p w14:paraId="45B0D87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2.4.2 Reprogramación o modificación de fecha de entrega vinculante</w:t>
      </w:r>
    </w:p>
    <w:p w14:paraId="08F5AC9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El Concesionario Solicitante podrá reprogramar o modificar la fecha de entrega vinculante para que sea posterior a la fecha que resulte de aplicar lo acordado en el punto 2.4.1.1, esto antes de que Telmex haya informado que el servicio se encuentra terminado y listo para realizar las pruebas, en este caso la fecha de reprogramación o modificación de entrega se acordará entre las partes:</w:t>
      </w:r>
    </w:p>
    <w:p w14:paraId="4ADDA47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2.4.3 Medición del cumplimiento de los plazos de entrega.</w:t>
      </w:r>
    </w:p>
    <w:p w14:paraId="66410D8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2.4.3.1 Para la medición del cumplimento de los plazos de entrega no se computarán los días de retraso atribuibles a:</w:t>
      </w:r>
    </w:p>
    <w:p w14:paraId="0369E61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a) Caso Fortuito o Fuerza Mayor no imputables a Telmex ni al Concesionario Solicitante.</w:t>
      </w:r>
    </w:p>
    <w:p w14:paraId="51108F4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b) Causas imputables al Concesionario Solicitante </w:t>
      </w:r>
    </w:p>
    <w:p w14:paraId="0C39F97E" w14:textId="77777777" w:rsidR="000F0B9F" w:rsidRPr="008762D1" w:rsidRDefault="00526FE9" w:rsidP="000F0B9F">
      <w:pPr>
        <w:numPr>
          <w:ilvl w:val="0"/>
          <w:numId w:val="78"/>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Los retrasos imputables al Concesionario Solicitante en la obtención de permisos para acceder a los sitios del propio Concesionario Solicitante.</w:t>
      </w:r>
    </w:p>
    <w:p w14:paraId="540F7F06" w14:textId="77777777" w:rsidR="000F0B9F" w:rsidRPr="008762D1" w:rsidRDefault="00526FE9" w:rsidP="000F0B9F">
      <w:pPr>
        <w:numPr>
          <w:ilvl w:val="0"/>
          <w:numId w:val="78"/>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14:paraId="2C15418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c) Causas imputables a terceros</w:t>
      </w:r>
    </w:p>
    <w:p w14:paraId="0A6D7DA7" w14:textId="77777777" w:rsidR="000F0B9F" w:rsidRPr="008762D1" w:rsidRDefault="00526FE9" w:rsidP="000F0B9F">
      <w:pPr>
        <w:numPr>
          <w:ilvl w:val="0"/>
          <w:numId w:val="79"/>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57C5E995" w14:textId="77777777" w:rsidR="000F0B9F" w:rsidRPr="008762D1" w:rsidRDefault="00526FE9" w:rsidP="000F0B9F">
      <w:pPr>
        <w:numPr>
          <w:ilvl w:val="0"/>
          <w:numId w:val="79"/>
        </w:numPr>
        <w:autoSpaceDE w:val="0"/>
        <w:autoSpaceDN w:val="0"/>
        <w:adjustRightInd w:val="0"/>
        <w:spacing w:before="240" w:after="200" w:line="240" w:lineRule="auto"/>
        <w:ind w:left="709" w:hanging="357"/>
        <w:contextualSpacing/>
        <w:jc w:val="both"/>
        <w:rPr>
          <w:rFonts w:ascii="ITC Avant Garde" w:hAnsi="ITC Avant Garde" w:cs="Times New Roman"/>
          <w:color w:val="000000" w:themeColor="text1"/>
        </w:rPr>
      </w:pPr>
      <w:r w:rsidRPr="008762D1">
        <w:rPr>
          <w:rFonts w:ascii="ITC Avant Garde" w:hAnsi="ITC Avant Garde" w:cs="Arial"/>
          <w:color w:val="000000" w:themeColor="text1"/>
        </w:rPr>
        <w:t xml:space="preserve">En situaciones de inseguridad en las que se requiera el apoyo de la fuerza pública para desplazarse o circular a horas específicas del día, se informará mediante una llamada telefónica y/o vía correo electrónico al Concesionario Solicitante </w:t>
      </w:r>
      <w:r w:rsidRPr="008762D1">
        <w:rPr>
          <w:rFonts w:ascii="ITC Avant Garde" w:hAnsi="ITC Avant Garde" w:cs="Arial"/>
          <w:color w:val="000000" w:themeColor="text1"/>
        </w:rPr>
        <w:lastRenderedPageBreak/>
        <w:t>para hacer de su conocimiento que se detendrá el conteo del tiempo de instalación, y una vez restablecidas las condiciones de seguridad se informará la reanudación de los trabajos, ofreciendo pruebas fehacientes al Concesionario Solicitante o al Instituto, que justifiquen las causas del retraso de que se trate.</w:t>
      </w:r>
    </w:p>
    <w:p w14:paraId="0D07D1A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2.4.3.2 Cuando se requiera el despliegue de nueva obra civil, que implique la obtención de permisos de autoridades federales, estatales o municipales y que excedan un kilómetro lineal, o mayor a 500 metros lineales sí el despliegue está destinado a atender zonas turísticas, industriales, residenciales, comerciales de alta relevancia, el conteo del plazo de instalación se detendrá conforme a los términos y condiciones de la Oferta de Compartición de Infraestructura que para este efecto establezca.</w:t>
      </w:r>
    </w:p>
    <w:p w14:paraId="171447CB"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solicitudes serán válidas y exigibles en el momento que Telmex entregue el número de referencia asociado a cada servicio, lo cual sucederá en un plazo máximo de 2 (dos) días hábiles posteriores a la recepción de las solicitudes.</w:t>
      </w:r>
    </w:p>
    <w:p w14:paraId="7123670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2.4.3.3 Una vez que Telmex notifique al Concesionario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y se venza este plazo, Telmex iniciará la facturación correspondiente y se reprogramará la entrega del servicio cuando el Concesionario Solicitante notifique que se encuentra listo para recibirlo.</w:t>
      </w:r>
    </w:p>
    <w:p w14:paraId="542F3D5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2.5 Proceso de Validación de las solicitudes de Servicios.</w:t>
      </w:r>
    </w:p>
    <w:p w14:paraId="32B9B08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2.5.1 Las solicitudes serán válidas y exigibles en el momento que Telmex entregue el número de referencia asociado a cada servicio, lo cual sucederá en un plazo máximo de 2 (dos) días hábiles posteriores a la recepción de las solicitudes. En caso de ser rechazada por información incompleta o incorrecta, se presentará una nueva solicitud.</w:t>
      </w:r>
    </w:p>
    <w:p w14:paraId="1B22558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2.5.2 Las solicitudes incluirán en caso de requerirse un plano con las coordenadas (latitud y longitud) y croquis de localización del nodo, así como la ubicación específica del punto donde se entregará el servicio.</w:t>
      </w:r>
    </w:p>
    <w:p w14:paraId="0E9C5A5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2.5.3 Una vez aceptada la solicitud y entregada la referencia correspondiente, en caso de requerirse el Concesionario Solicitante, proporcionará dentro de los 3 (tres) días hábiles siguientes el diagrama con las indicaciones de las trayectorias de los cableados desde las acometidas del predio hasta el punto del sitio donde se entrega el servicio.</w:t>
      </w:r>
      <w:r w:rsidRPr="008762D1">
        <w:rPr>
          <w:rFonts w:ascii="ITC Avant Garde" w:eastAsia="Calibri" w:hAnsi="ITC Avant Garde" w:cs="Arial"/>
          <w:iCs/>
          <w:color w:val="000000" w:themeColor="text1"/>
        </w:rPr>
        <w:t xml:space="preserve"> </w:t>
      </w:r>
      <w:r w:rsidRPr="008762D1">
        <w:rPr>
          <w:rFonts w:ascii="ITC Avant Garde" w:hAnsi="ITC Avant Garde" w:cs="Arial"/>
          <w:iCs/>
          <w:color w:val="000000" w:themeColor="text1"/>
        </w:rPr>
        <w:t xml:space="preserve">En caso de que el Concesionario Solicitante no proporcione el diagrama, se realizará un paro de reloj hasta que el diagrama sea entregado o el Concesionario Solicitante podrá solicitar a Telmex el </w:t>
      </w:r>
      <w:proofErr w:type="spellStart"/>
      <w:r w:rsidRPr="008762D1">
        <w:rPr>
          <w:rFonts w:ascii="ITC Avant Garde" w:hAnsi="ITC Avant Garde" w:cs="Arial"/>
          <w:iCs/>
          <w:color w:val="000000" w:themeColor="text1"/>
        </w:rPr>
        <w:t>site</w:t>
      </w:r>
      <w:proofErr w:type="spellEnd"/>
      <w:r w:rsidRPr="008762D1">
        <w:rPr>
          <w:rFonts w:ascii="ITC Avant Garde" w:hAnsi="ITC Avant Garde" w:cs="Arial"/>
          <w:iCs/>
          <w:color w:val="000000" w:themeColor="text1"/>
        </w:rPr>
        <w:t xml:space="preserve"> </w:t>
      </w:r>
      <w:proofErr w:type="spellStart"/>
      <w:r w:rsidRPr="008762D1">
        <w:rPr>
          <w:rFonts w:ascii="ITC Avant Garde" w:hAnsi="ITC Avant Garde" w:cs="Arial"/>
          <w:iCs/>
          <w:color w:val="000000" w:themeColor="text1"/>
        </w:rPr>
        <w:t>survey</w:t>
      </w:r>
      <w:proofErr w:type="spellEnd"/>
      <w:r w:rsidRPr="008762D1">
        <w:rPr>
          <w:rFonts w:ascii="ITC Avant Garde" w:hAnsi="ITC Avant Garde" w:cs="Arial"/>
          <w:iCs/>
          <w:color w:val="000000" w:themeColor="text1"/>
        </w:rPr>
        <w:t xml:space="preserve"> y se hará un paro de reloj hasta que se concluya el mismo, el cual incluirá previamente una cotización para la realización de este trabajo de acuerdo a las condiciones particulares de cada sitio, en este último caso, Telmex tendrá </w:t>
      </w:r>
      <w:r w:rsidRPr="008762D1">
        <w:rPr>
          <w:rFonts w:ascii="ITC Avant Garde" w:hAnsi="ITC Avant Garde" w:cs="Arial"/>
          <w:iCs/>
          <w:color w:val="000000" w:themeColor="text1"/>
        </w:rPr>
        <w:lastRenderedPageBreak/>
        <w:t>1 (un) día hábil para cotizar el trabajo, el CS tendrá 1 (un) día hábil para aceptar o rechazar la cotización y Telmex tendrá 4 (cuatro) días hábiles para realizar la visita.</w:t>
      </w:r>
    </w:p>
    <w:p w14:paraId="390131F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2.5.4 El Concesionario Solicitante llevará a cabo todas las acciones necesarias con la finalidad de que Telmex acceda a los sitios en la hora y día indicados por ésta para la realización de los trabajos correspondientes, lo cual implica, de manera enunciativa mas no limitativa,  permisos, condiciones de seguridad y documentación que sea requerida.</w:t>
      </w:r>
    </w:p>
    <w:p w14:paraId="701C9F7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2.5.5 Telmex notificará la fecha de entrega vinculante de los Enlaces Dedicados de Interconexión al Concesionario Solicitante en un plazo máximo 5 (cinco) días hábiles a partir de la entrega del número de referencia.</w:t>
      </w:r>
    </w:p>
    <w:p w14:paraId="6B92832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2.6 Operación y mantenimiento.</w:t>
      </w:r>
    </w:p>
    <w:p w14:paraId="010FA95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2.6.1 La operación y mantenimiento de los Servicios, será responsabilidad de Telmex a partir de la fecha de entrega y recepción de los mismos, fecha que será considerada en este documento para el inicio de la facturación correspondiente.</w:t>
      </w:r>
    </w:p>
    <w:p w14:paraId="656B33F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2.6.2 Los reportes de afectaciones que pudieran ocurrir en la prestación de los Enlaces Dedicados de Interconexión podrán presentarse mediante el Sistema Electrónico de Gestión (SEG), el cual se mantendrá operando las 24 (veinticuatro) horas del día, los 7 (siete) días de la semana.</w:t>
      </w:r>
    </w:p>
    <w:p w14:paraId="2EFD900C" w14:textId="50E1118D"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relación con las afectaciones que pudieran ocurrir con el Servicio de Arrendamiento de Enlaces Dedicados de Interconexión, Telmex se compromete a solucionarlos considerando su ubicación y gravedad, contados a partir de la debida y formal notificación a Telmex, de conformidad con los siguientes plazos:</w:t>
      </w:r>
    </w:p>
    <w:p w14:paraId="508BD9E0" w14:textId="77777777"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p>
    <w:tbl>
      <w:tblPr>
        <w:tblStyle w:val="Cuadrculadetablaclara"/>
        <w:tblW w:w="0" w:type="auto"/>
        <w:jc w:val="center"/>
        <w:tblLayout w:type="fixed"/>
        <w:tblLook w:val="04A0" w:firstRow="1" w:lastRow="0" w:firstColumn="1" w:lastColumn="0" w:noHBand="0" w:noVBand="1"/>
        <w:tblCaption w:val="Tabla"/>
        <w:tblDescription w:val="Tipo de servicio"/>
      </w:tblPr>
      <w:tblGrid>
        <w:gridCol w:w="1690"/>
        <w:gridCol w:w="1730"/>
        <w:gridCol w:w="2072"/>
        <w:gridCol w:w="2250"/>
      </w:tblGrid>
      <w:tr w:rsidR="008762D1" w:rsidRPr="008762D1" w14:paraId="1A678B96" w14:textId="77777777" w:rsidTr="000703A0">
        <w:trPr>
          <w:tblHeader/>
          <w:jc w:val="center"/>
        </w:trPr>
        <w:tc>
          <w:tcPr>
            <w:tcW w:w="1690" w:type="dxa"/>
            <w:hideMark/>
          </w:tcPr>
          <w:p w14:paraId="20324516" w14:textId="77777777" w:rsidR="00526FE9" w:rsidRPr="008762D1" w:rsidRDefault="00526FE9" w:rsidP="000703A0">
            <w:pPr>
              <w:pStyle w:val="Textoindependiente3"/>
              <w:spacing w:before="240"/>
              <w:rPr>
                <w:rStyle w:val="Textoennegrita"/>
                <w:rFonts w:ascii="ITC Avant Garde" w:hAnsi="ITC Avant Garde" w:cs="Arial"/>
                <w:color w:val="000000" w:themeColor="text1"/>
                <w:sz w:val="24"/>
                <w:lang w:val="es-ES" w:eastAsia="es-ES"/>
              </w:rPr>
            </w:pPr>
            <w:r w:rsidRPr="008762D1">
              <w:rPr>
                <w:rStyle w:val="Textoennegrita"/>
                <w:rFonts w:ascii="ITC Avant Garde" w:hAnsi="ITC Avant Garde"/>
                <w:color w:val="000000" w:themeColor="text1"/>
                <w:sz w:val="22"/>
                <w:szCs w:val="22"/>
              </w:rPr>
              <w:t>Tipo de</w:t>
            </w:r>
            <w:r w:rsidRPr="008762D1">
              <w:rPr>
                <w:rFonts w:ascii="ITC Avant Garde" w:hAnsi="ITC Avant Garde"/>
                <w:b/>
                <w:color w:val="000000" w:themeColor="text1"/>
                <w:sz w:val="22"/>
                <w:szCs w:val="22"/>
              </w:rPr>
              <w:br/>
            </w:r>
            <w:r w:rsidRPr="008762D1">
              <w:rPr>
                <w:rStyle w:val="Textoennegrita"/>
                <w:rFonts w:ascii="ITC Avant Garde" w:hAnsi="ITC Avant Garde"/>
                <w:color w:val="000000" w:themeColor="text1"/>
                <w:sz w:val="22"/>
                <w:szCs w:val="22"/>
              </w:rPr>
              <w:t>Servicio</w:t>
            </w:r>
          </w:p>
        </w:tc>
        <w:tc>
          <w:tcPr>
            <w:tcW w:w="1730" w:type="dxa"/>
            <w:hideMark/>
          </w:tcPr>
          <w:p w14:paraId="4391273F" w14:textId="77777777" w:rsidR="00526FE9" w:rsidRPr="008762D1" w:rsidRDefault="00526FE9" w:rsidP="000703A0">
            <w:pPr>
              <w:pStyle w:val="Textoindependiente3"/>
              <w:spacing w:before="240"/>
              <w:rPr>
                <w:rStyle w:val="Textoennegrita"/>
                <w:rFonts w:ascii="ITC Avant Garde" w:hAnsi="ITC Avant Garde"/>
                <w:b w:val="0"/>
                <w:bCs/>
                <w:color w:val="000000" w:themeColor="text1"/>
                <w:sz w:val="20"/>
                <w:szCs w:val="22"/>
              </w:rPr>
            </w:pPr>
            <w:r w:rsidRPr="008762D1">
              <w:rPr>
                <w:rStyle w:val="Textoennegrita"/>
                <w:rFonts w:ascii="ITC Avant Garde" w:hAnsi="ITC Avant Garde"/>
                <w:color w:val="000000" w:themeColor="text1"/>
                <w:sz w:val="22"/>
                <w:szCs w:val="22"/>
              </w:rPr>
              <w:t>Prioridad 1</w:t>
            </w:r>
          </w:p>
        </w:tc>
        <w:tc>
          <w:tcPr>
            <w:tcW w:w="2072" w:type="dxa"/>
            <w:hideMark/>
          </w:tcPr>
          <w:p w14:paraId="329B75F4" w14:textId="77777777" w:rsidR="00526FE9" w:rsidRPr="008762D1" w:rsidRDefault="00526FE9" w:rsidP="000703A0">
            <w:pPr>
              <w:pStyle w:val="Textoindependiente3"/>
              <w:spacing w:before="240"/>
              <w:rPr>
                <w:rStyle w:val="Textoennegrita"/>
                <w:rFonts w:ascii="ITC Avant Garde" w:hAnsi="ITC Avant Garde"/>
                <w:b w:val="0"/>
                <w:bCs/>
                <w:color w:val="000000" w:themeColor="text1"/>
                <w:szCs w:val="22"/>
              </w:rPr>
            </w:pPr>
            <w:r w:rsidRPr="008762D1">
              <w:rPr>
                <w:rStyle w:val="Textoennegrita"/>
                <w:rFonts w:ascii="ITC Avant Garde" w:hAnsi="ITC Avant Garde"/>
                <w:color w:val="000000" w:themeColor="text1"/>
                <w:sz w:val="22"/>
                <w:szCs w:val="22"/>
              </w:rPr>
              <w:t>Prioridad 2</w:t>
            </w:r>
          </w:p>
        </w:tc>
        <w:tc>
          <w:tcPr>
            <w:tcW w:w="2250" w:type="dxa"/>
            <w:hideMark/>
          </w:tcPr>
          <w:p w14:paraId="1108D1DB" w14:textId="77777777" w:rsidR="00526FE9" w:rsidRPr="008762D1" w:rsidRDefault="00526FE9" w:rsidP="000703A0">
            <w:pPr>
              <w:pStyle w:val="Textoindependiente3"/>
              <w:spacing w:before="240"/>
              <w:rPr>
                <w:rStyle w:val="Textoennegrita"/>
                <w:rFonts w:ascii="ITC Avant Garde" w:hAnsi="ITC Avant Garde"/>
                <w:b w:val="0"/>
                <w:bCs/>
                <w:color w:val="000000" w:themeColor="text1"/>
                <w:szCs w:val="22"/>
              </w:rPr>
            </w:pPr>
            <w:r w:rsidRPr="008762D1">
              <w:rPr>
                <w:rStyle w:val="Textoennegrita"/>
                <w:rFonts w:ascii="ITC Avant Garde" w:hAnsi="ITC Avant Garde"/>
                <w:color w:val="000000" w:themeColor="text1"/>
                <w:sz w:val="22"/>
                <w:szCs w:val="22"/>
              </w:rPr>
              <w:t>Prioridad 3</w:t>
            </w:r>
          </w:p>
        </w:tc>
      </w:tr>
      <w:tr w:rsidR="00526FE9" w:rsidRPr="008762D1" w14:paraId="02344270" w14:textId="77777777" w:rsidTr="000703A0">
        <w:trPr>
          <w:trHeight w:val="419"/>
          <w:jc w:val="center"/>
        </w:trPr>
        <w:tc>
          <w:tcPr>
            <w:tcW w:w="1690" w:type="dxa"/>
            <w:hideMark/>
          </w:tcPr>
          <w:p w14:paraId="1162C8D8" w14:textId="77777777" w:rsidR="00526FE9" w:rsidRPr="008762D1" w:rsidRDefault="00526FE9" w:rsidP="000703A0">
            <w:pPr>
              <w:pStyle w:val="Textoindependiente3"/>
              <w:spacing w:before="240"/>
              <w:rPr>
                <w:rStyle w:val="Textoennegrita"/>
                <w:rFonts w:ascii="ITC Avant Garde" w:hAnsi="ITC Avant Garde"/>
                <w:color w:val="000000" w:themeColor="text1"/>
                <w:szCs w:val="22"/>
                <w:highlight w:val="yellow"/>
              </w:rPr>
            </w:pPr>
            <w:r w:rsidRPr="008762D1">
              <w:rPr>
                <w:rStyle w:val="Textoennegrita"/>
                <w:rFonts w:ascii="ITC Avant Garde" w:hAnsi="ITC Avant Garde"/>
                <w:b w:val="0"/>
                <w:bCs/>
                <w:color w:val="000000" w:themeColor="text1"/>
                <w:sz w:val="22"/>
                <w:szCs w:val="22"/>
              </w:rPr>
              <w:t>Interconexión</w:t>
            </w:r>
          </w:p>
        </w:tc>
        <w:tc>
          <w:tcPr>
            <w:tcW w:w="1730" w:type="dxa"/>
            <w:hideMark/>
          </w:tcPr>
          <w:p w14:paraId="15BFC7A9" w14:textId="77777777" w:rsidR="00526FE9" w:rsidRPr="008762D1" w:rsidRDefault="00526FE9" w:rsidP="000703A0">
            <w:pPr>
              <w:pStyle w:val="Textoindependiente3"/>
              <w:spacing w:before="240"/>
              <w:rPr>
                <w:rStyle w:val="Textoennegrita"/>
                <w:rFonts w:ascii="ITC Avant Garde" w:hAnsi="ITC Avant Garde"/>
                <w:b w:val="0"/>
                <w:bCs/>
                <w:color w:val="000000" w:themeColor="text1"/>
                <w:szCs w:val="22"/>
              </w:rPr>
            </w:pPr>
            <w:r w:rsidRPr="008762D1">
              <w:rPr>
                <w:rStyle w:val="Textoennegrita"/>
                <w:rFonts w:ascii="ITC Avant Garde" w:hAnsi="ITC Avant Garde"/>
                <w:b w:val="0"/>
                <w:bCs/>
                <w:color w:val="000000" w:themeColor="text1"/>
                <w:sz w:val="22"/>
                <w:szCs w:val="22"/>
              </w:rPr>
              <w:t xml:space="preserve"> 1 </w:t>
            </w:r>
            <w:proofErr w:type="spellStart"/>
            <w:r w:rsidRPr="008762D1">
              <w:rPr>
                <w:rStyle w:val="Textoennegrita"/>
                <w:rFonts w:ascii="ITC Avant Garde" w:hAnsi="ITC Avant Garde"/>
                <w:b w:val="0"/>
                <w:bCs/>
                <w:color w:val="000000" w:themeColor="text1"/>
                <w:sz w:val="22"/>
                <w:szCs w:val="22"/>
              </w:rPr>
              <w:t>Hrs</w:t>
            </w:r>
            <w:proofErr w:type="spellEnd"/>
          </w:p>
        </w:tc>
        <w:tc>
          <w:tcPr>
            <w:tcW w:w="2072" w:type="dxa"/>
            <w:hideMark/>
          </w:tcPr>
          <w:p w14:paraId="795B52EB" w14:textId="77777777" w:rsidR="00526FE9" w:rsidRPr="008762D1" w:rsidRDefault="00526FE9" w:rsidP="000703A0">
            <w:pPr>
              <w:pStyle w:val="Textoindependiente3"/>
              <w:spacing w:before="240"/>
              <w:rPr>
                <w:rStyle w:val="Textoennegrita"/>
                <w:rFonts w:ascii="ITC Avant Garde" w:hAnsi="ITC Avant Garde"/>
                <w:b w:val="0"/>
                <w:bCs/>
                <w:color w:val="000000" w:themeColor="text1"/>
                <w:szCs w:val="22"/>
              </w:rPr>
            </w:pPr>
            <w:r w:rsidRPr="008762D1">
              <w:rPr>
                <w:rStyle w:val="Textoennegrita"/>
                <w:rFonts w:ascii="ITC Avant Garde" w:hAnsi="ITC Avant Garde"/>
                <w:b w:val="0"/>
                <w:bCs/>
                <w:color w:val="000000" w:themeColor="text1"/>
                <w:sz w:val="22"/>
                <w:szCs w:val="22"/>
              </w:rPr>
              <w:t>2Hrs</w:t>
            </w:r>
          </w:p>
        </w:tc>
        <w:tc>
          <w:tcPr>
            <w:tcW w:w="2250" w:type="dxa"/>
            <w:hideMark/>
          </w:tcPr>
          <w:p w14:paraId="3F88E7E0" w14:textId="77777777" w:rsidR="00526FE9" w:rsidRPr="008762D1" w:rsidRDefault="00526FE9" w:rsidP="000703A0">
            <w:pPr>
              <w:pStyle w:val="Textoindependiente3"/>
              <w:spacing w:before="240"/>
              <w:rPr>
                <w:rStyle w:val="Textoennegrita"/>
                <w:rFonts w:ascii="ITC Avant Garde" w:hAnsi="ITC Avant Garde"/>
                <w:b w:val="0"/>
                <w:bCs/>
                <w:color w:val="000000" w:themeColor="text1"/>
                <w:szCs w:val="22"/>
              </w:rPr>
            </w:pPr>
            <w:r w:rsidRPr="008762D1">
              <w:rPr>
                <w:rStyle w:val="Textoennegrita"/>
                <w:rFonts w:ascii="ITC Avant Garde" w:hAnsi="ITC Avant Garde"/>
                <w:b w:val="0"/>
                <w:bCs/>
                <w:color w:val="000000" w:themeColor="text1"/>
                <w:sz w:val="22"/>
                <w:szCs w:val="22"/>
              </w:rPr>
              <w:t xml:space="preserve"> 5 </w:t>
            </w:r>
            <w:proofErr w:type="spellStart"/>
            <w:r w:rsidRPr="008762D1">
              <w:rPr>
                <w:rStyle w:val="Textoennegrita"/>
                <w:rFonts w:ascii="ITC Avant Garde" w:hAnsi="ITC Avant Garde"/>
                <w:b w:val="0"/>
                <w:bCs/>
                <w:color w:val="000000" w:themeColor="text1"/>
                <w:sz w:val="22"/>
                <w:szCs w:val="22"/>
              </w:rPr>
              <w:t>Hrs</w:t>
            </w:r>
            <w:proofErr w:type="spellEnd"/>
          </w:p>
        </w:tc>
      </w:tr>
    </w:tbl>
    <w:p w14:paraId="29E56FCC" w14:textId="77777777" w:rsidR="00526FE9" w:rsidRPr="008762D1" w:rsidRDefault="00526FE9" w:rsidP="000F0B9F">
      <w:pPr>
        <w:widowControl w:val="0"/>
        <w:numPr>
          <w:ilvl w:val="12"/>
          <w:numId w:val="0"/>
        </w:numPr>
        <w:spacing w:before="240"/>
        <w:jc w:val="both"/>
        <w:rPr>
          <w:rFonts w:ascii="ITC Avant Garde" w:hAnsi="ITC Avant Garde" w:cs="Arial"/>
          <w:color w:val="000000" w:themeColor="text1"/>
          <w:szCs w:val="24"/>
          <w:lang w:eastAsia="es-ES"/>
        </w:rPr>
      </w:pPr>
    </w:p>
    <w:p w14:paraId="46EE6244" w14:textId="77777777" w:rsidR="000F0B9F" w:rsidRPr="008762D1" w:rsidRDefault="00526FE9" w:rsidP="000F0B9F">
      <w:pPr>
        <w:widowControl w:val="0"/>
        <w:numPr>
          <w:ilvl w:val="12"/>
          <w:numId w:val="0"/>
        </w:numPr>
        <w:spacing w:before="240"/>
        <w:jc w:val="both"/>
        <w:rPr>
          <w:rFonts w:ascii="ITC Avant Garde" w:hAnsi="ITC Avant Garde" w:cs="Arial"/>
          <w:color w:val="000000" w:themeColor="text1"/>
        </w:rPr>
      </w:pPr>
      <w:r w:rsidRPr="008762D1">
        <w:rPr>
          <w:rFonts w:ascii="ITC Avant Garde" w:hAnsi="ITC Avant Garde" w:cs="Arial"/>
          <w:color w:val="000000" w:themeColor="text1"/>
        </w:rPr>
        <w:t>Para los plazos de atención de fallas no se computará el tiempo de traslado al sitio de la falla fuera de las ciudades o los retrasos atribuibles a prestadores de servicios o terceros.</w:t>
      </w:r>
    </w:p>
    <w:p w14:paraId="33B3317C" w14:textId="5CB5D662" w:rsidR="00526FE9" w:rsidRPr="008762D1" w:rsidRDefault="00526FE9" w:rsidP="000F0B9F">
      <w:pPr>
        <w:tabs>
          <w:tab w:val="center" w:pos="1814"/>
          <w:tab w:val="center" w:pos="5216"/>
          <w:tab w:val="center" w:pos="9214"/>
        </w:tabs>
        <w:spacing w:before="240" w:after="200" w:line="240" w:lineRule="atLeast"/>
        <w:jc w:val="both"/>
        <w:rPr>
          <w:rFonts w:ascii="ITC Avant Garde" w:hAnsi="ITC Avant Garde" w:cs="Arial"/>
          <w:color w:val="000000" w:themeColor="text1"/>
        </w:rPr>
      </w:pPr>
      <w:r w:rsidRPr="008762D1">
        <w:rPr>
          <w:rFonts w:ascii="ITC Avant Garde" w:hAnsi="ITC Avant Garde" w:cs="Arial"/>
          <w:color w:val="000000" w:themeColor="text1"/>
        </w:rPr>
        <w:t>La medición del cumplimento de los plazos de reparación de incidencias, se comenzarán a computar a partir de que el concesionario levante el reporte y se genere el folio correspondiente en el  Sistema Electrónico de Gestión.</w:t>
      </w:r>
    </w:p>
    <w:p w14:paraId="7C7E270E" w14:textId="77777777" w:rsidR="00526FE9" w:rsidRPr="008762D1" w:rsidRDefault="00526FE9" w:rsidP="000F0B9F">
      <w:pPr>
        <w:tabs>
          <w:tab w:val="center" w:pos="1814"/>
          <w:tab w:val="center" w:pos="5216"/>
          <w:tab w:val="center" w:pos="9214"/>
        </w:tabs>
        <w:spacing w:before="240" w:after="200" w:line="240" w:lineRule="atLeast"/>
        <w:jc w:val="both"/>
        <w:rPr>
          <w:rFonts w:ascii="ITC Avant Garde" w:hAnsi="ITC Avant Garde" w:cs="Arial"/>
          <w:color w:val="000000" w:themeColor="text1"/>
        </w:rPr>
      </w:pPr>
      <w:r w:rsidRPr="008762D1">
        <w:rPr>
          <w:rFonts w:ascii="ITC Avant Garde" w:hAnsi="ITC Avant Garde" w:cs="Arial"/>
          <w:color w:val="000000" w:themeColor="text1"/>
        </w:rPr>
        <w:lastRenderedPageBreak/>
        <w:t xml:space="preserve">No se computarán aquellos retrasos que deriven de un Caso Fortuito o Fuerza Mayor ni aquellos no imputables a Telmex, los que de manera enunciativa más no limitativa, pueden consistir en: cortes de fibra óptica o cables por terceros; vandalismo por robo o daño de cable, infraestructura o combustible. Así como los casos atribuibles al Concesionario Solicitante del servicio respectivo, los que de manera enunciativa más no limitativa, pueden consistir en: negación de accesos a las instalaciones del Concesionario, fallas en sus equipos o instalaciones, </w:t>
      </w:r>
      <w:r w:rsidRPr="008762D1">
        <w:rPr>
          <w:rFonts w:ascii="ITC Avant Garde" w:hAnsi="ITC Avant Garde" w:cs="Arial"/>
          <w:color w:val="000000" w:themeColor="text1"/>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2A702675"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2.6.3 Para el caso de falla en Enlaces Dedicados de Interconexión y con el fin de evitar en lo posible la pérdida de tráfico, Telmex y el concesionario realizarán lo siguiente:</w:t>
      </w:r>
    </w:p>
    <w:p w14:paraId="6DE194D0" w14:textId="423C9D6D" w:rsidR="00526FE9" w:rsidRPr="008762D1" w:rsidRDefault="00526FE9" w:rsidP="000F0B9F">
      <w:pPr>
        <w:numPr>
          <w:ilvl w:val="0"/>
          <w:numId w:val="80"/>
        </w:numPr>
        <w:autoSpaceDE w:val="0"/>
        <w:autoSpaceDN w:val="0"/>
        <w:adjustRightInd w:val="0"/>
        <w:spacing w:before="240" w:after="200" w:line="276" w:lineRule="auto"/>
        <w:ind w:left="709"/>
        <w:jc w:val="both"/>
        <w:rPr>
          <w:rFonts w:ascii="ITC Avant Garde" w:hAnsi="ITC Avant Garde" w:cs="Arial"/>
          <w:color w:val="000000" w:themeColor="text1"/>
        </w:rPr>
      </w:pPr>
      <w:r w:rsidRPr="008762D1">
        <w:rPr>
          <w:rFonts w:ascii="ITC Avant Garde" w:hAnsi="ITC Avant Garde" w:cs="Arial"/>
          <w:color w:val="000000" w:themeColor="text1"/>
        </w:rPr>
        <w:t>Los Enlaces Dedicados de interconexión que estén configurados como unidireccionales, ambas redes procederán a configurarlos temporalmente (mientras dure la falla) como bidireccionales para que el Concesionario Solicitante envíe el tráfico público conmutado de interconexión por la ruta habilitada por Telmex y de igual forma, Telmex envíe el tráfico público conmutado a través de la ruta habilitada por el Concesionario Solicitante y hasta 30 (treinta) minutos después de solucionada la falla.</w:t>
      </w:r>
    </w:p>
    <w:p w14:paraId="0216F384" w14:textId="77777777" w:rsidR="00526FE9" w:rsidRPr="008762D1" w:rsidRDefault="00526FE9" w:rsidP="000F0B9F">
      <w:pPr>
        <w:numPr>
          <w:ilvl w:val="0"/>
          <w:numId w:val="80"/>
        </w:numPr>
        <w:autoSpaceDE w:val="0"/>
        <w:autoSpaceDN w:val="0"/>
        <w:adjustRightInd w:val="0"/>
        <w:spacing w:before="240" w:after="200" w:line="276" w:lineRule="auto"/>
        <w:ind w:left="709"/>
        <w:jc w:val="both"/>
        <w:rPr>
          <w:rFonts w:ascii="ITC Avant Garde" w:hAnsi="ITC Avant Garde" w:cs="Arial"/>
          <w:color w:val="000000" w:themeColor="text1"/>
        </w:rPr>
      </w:pPr>
      <w:r w:rsidRPr="008762D1">
        <w:rPr>
          <w:rFonts w:ascii="ITC Avant Garde" w:hAnsi="ITC Avant Garde" w:cs="Arial"/>
          <w:color w:val="000000" w:themeColor="text1"/>
        </w:rPr>
        <w:t xml:space="preserve">Los concesionarios afectados podrán </w:t>
      </w:r>
      <w:proofErr w:type="spellStart"/>
      <w:r w:rsidRPr="008762D1">
        <w:rPr>
          <w:rFonts w:ascii="ITC Avant Garde" w:hAnsi="ITC Avant Garde" w:cs="Arial"/>
          <w:color w:val="000000" w:themeColor="text1"/>
        </w:rPr>
        <w:t>redireccionar</w:t>
      </w:r>
      <w:proofErr w:type="spellEnd"/>
      <w:r w:rsidRPr="008762D1">
        <w:rPr>
          <w:rFonts w:ascii="ITC Avant Garde" w:hAnsi="ITC Avant Garde" w:cs="Arial"/>
          <w:color w:val="000000" w:themeColor="text1"/>
        </w:rPr>
        <w:t xml:space="preserve"> el tráfico del enlace con falla a través de otros enlaces propios, esto bajo la obligación que tiene los concesionarios de recibir tráfico de interconexión de cualquier origen en cualquiera de sus puntos de interconexión.</w:t>
      </w:r>
    </w:p>
    <w:p w14:paraId="6B28470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En virtud de que el servicio ya fue restaurado habilitando la ruta alterna de manera bidireccional o </w:t>
      </w:r>
      <w:proofErr w:type="spellStart"/>
      <w:r w:rsidRPr="008762D1">
        <w:rPr>
          <w:rFonts w:ascii="ITC Avant Garde" w:hAnsi="ITC Avant Garde" w:cs="Arial"/>
          <w:color w:val="000000" w:themeColor="text1"/>
        </w:rPr>
        <w:t>redireccionando</w:t>
      </w:r>
      <w:proofErr w:type="spellEnd"/>
      <w:r w:rsidRPr="008762D1">
        <w:rPr>
          <w:rFonts w:ascii="ITC Avant Garde" w:hAnsi="ITC Avant Garde" w:cs="Arial"/>
          <w:color w:val="000000" w:themeColor="text1"/>
        </w:rPr>
        <w:t xml:space="preserve"> el tráfico por otras rutas alternas, en este momento se detiene el tiempo establecido para determinar la disponibilidad del servicio, sin embargo se continúa con los trabajos necesarios para reparar de forma definitiva la falla reportada en los tiempos acordados con el Concesionario Solicitante.</w:t>
      </w:r>
    </w:p>
    <w:p w14:paraId="7BDD8993"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2.6.4 El alcance de cada Prioridad se enuncia a continuación:</w:t>
      </w:r>
    </w:p>
    <w:p w14:paraId="2D5F7D31"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Prioridad 1: Se considerarán con tal carácter a las que consistan en lo siguiente:</w:t>
      </w:r>
    </w:p>
    <w:p w14:paraId="76D62112" w14:textId="7CF3BB25" w:rsidR="00526FE9" w:rsidRPr="008762D1" w:rsidRDefault="00526FE9" w:rsidP="000F0B9F">
      <w:pPr>
        <w:pStyle w:val="Prrafodelista1"/>
        <w:numPr>
          <w:ilvl w:val="0"/>
          <w:numId w:val="81"/>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Enlace Dedicado de interconexión caído totalmente.</w:t>
      </w:r>
    </w:p>
    <w:p w14:paraId="0FBFB9C9" w14:textId="77777777" w:rsidR="00526FE9" w:rsidRPr="008762D1" w:rsidRDefault="00526FE9" w:rsidP="000F0B9F">
      <w:pPr>
        <w:pStyle w:val="Prrafodelista1"/>
        <w:numPr>
          <w:ilvl w:val="0"/>
          <w:numId w:val="81"/>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Pérdida total de llamadas en algún punto entre ambas redes o grave deterioro de la calidad del servicio.</w:t>
      </w:r>
    </w:p>
    <w:p w14:paraId="49470C71" w14:textId="77777777" w:rsidR="00526FE9" w:rsidRPr="008762D1" w:rsidRDefault="00526FE9" w:rsidP="000F0B9F">
      <w:pPr>
        <w:pStyle w:val="Prrafodelista1"/>
        <w:numPr>
          <w:ilvl w:val="0"/>
          <w:numId w:val="81"/>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Corte permanente de circuito SIN redundancia.</w:t>
      </w:r>
    </w:p>
    <w:p w14:paraId="45B51C46" w14:textId="77777777" w:rsidR="00526FE9" w:rsidRPr="008762D1" w:rsidRDefault="00526FE9" w:rsidP="000F0B9F">
      <w:pPr>
        <w:pStyle w:val="Prrafodelista1"/>
        <w:numPr>
          <w:ilvl w:val="0"/>
          <w:numId w:val="81"/>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Cortes intermitentes o errores en circuito SIN redundancia.</w:t>
      </w:r>
    </w:p>
    <w:p w14:paraId="52CF9994" w14:textId="77777777" w:rsidR="000F0B9F" w:rsidRPr="008762D1" w:rsidRDefault="00526FE9" w:rsidP="000F0B9F">
      <w:pPr>
        <w:pStyle w:val="Prrafodelista1"/>
        <w:numPr>
          <w:ilvl w:val="0"/>
          <w:numId w:val="81"/>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Degradación total del servicio.</w:t>
      </w:r>
    </w:p>
    <w:p w14:paraId="1968BD2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Prioridad 2: Se considerarán con tal carácter a las que consistan en lo siguiente:</w:t>
      </w:r>
    </w:p>
    <w:p w14:paraId="5E2E7DD7" w14:textId="0143999D" w:rsidR="00526FE9" w:rsidRPr="008762D1" w:rsidRDefault="00526FE9" w:rsidP="000F0B9F">
      <w:pPr>
        <w:numPr>
          <w:ilvl w:val="0"/>
          <w:numId w:val="82"/>
        </w:numPr>
        <w:autoSpaceDE w:val="0"/>
        <w:autoSpaceDN w:val="0"/>
        <w:adjustRightInd w:val="0"/>
        <w:spacing w:before="240" w:after="0" w:line="276" w:lineRule="auto"/>
        <w:ind w:left="709"/>
        <w:contextualSpacing/>
        <w:jc w:val="both"/>
        <w:rPr>
          <w:rFonts w:ascii="ITC Avant Garde" w:hAnsi="ITC Avant Garde" w:cs="Arial"/>
          <w:color w:val="000000" w:themeColor="text1"/>
        </w:rPr>
      </w:pPr>
      <w:r w:rsidRPr="008762D1">
        <w:rPr>
          <w:rFonts w:ascii="ITC Avant Garde" w:hAnsi="ITC Avant Garde" w:cs="Arial"/>
          <w:color w:val="000000" w:themeColor="text1"/>
        </w:rPr>
        <w:lastRenderedPageBreak/>
        <w:t>Cortes intermitentes o errores en circuito SIN redundancia NO suponiendo incomunicación sino degradación del servicio.</w:t>
      </w:r>
    </w:p>
    <w:p w14:paraId="389E90C0" w14:textId="77777777" w:rsidR="00526FE9" w:rsidRPr="008762D1" w:rsidRDefault="00526FE9" w:rsidP="000F0B9F">
      <w:pPr>
        <w:numPr>
          <w:ilvl w:val="0"/>
          <w:numId w:val="82"/>
        </w:numPr>
        <w:autoSpaceDE w:val="0"/>
        <w:autoSpaceDN w:val="0"/>
        <w:adjustRightInd w:val="0"/>
        <w:spacing w:before="240" w:after="0" w:line="276" w:lineRule="auto"/>
        <w:ind w:left="709"/>
        <w:contextualSpacing/>
        <w:jc w:val="both"/>
        <w:rPr>
          <w:rFonts w:ascii="ITC Avant Garde" w:hAnsi="ITC Avant Garde" w:cs="Arial"/>
          <w:color w:val="000000" w:themeColor="text1"/>
        </w:rPr>
      </w:pPr>
      <w:r w:rsidRPr="008762D1">
        <w:rPr>
          <w:rFonts w:ascii="ITC Avant Garde" w:hAnsi="ITC Avant Garde" w:cs="Arial"/>
          <w:color w:val="000000" w:themeColor="text1"/>
        </w:rPr>
        <w:t>Corte permanente de circuito CON redundancia.</w:t>
      </w:r>
    </w:p>
    <w:p w14:paraId="3623E1F4" w14:textId="77777777" w:rsidR="00526FE9" w:rsidRPr="008762D1" w:rsidRDefault="00526FE9" w:rsidP="000F0B9F">
      <w:pPr>
        <w:pStyle w:val="Prrafodelista1"/>
        <w:numPr>
          <w:ilvl w:val="0"/>
          <w:numId w:val="82"/>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Degradación parcial del Servicio de Interconexión.</w:t>
      </w:r>
    </w:p>
    <w:p w14:paraId="02ACE606" w14:textId="77777777" w:rsidR="000F0B9F" w:rsidRPr="008762D1" w:rsidRDefault="00526FE9" w:rsidP="000F0B9F">
      <w:pPr>
        <w:pStyle w:val="Prrafodelista1"/>
        <w:numPr>
          <w:ilvl w:val="0"/>
          <w:numId w:val="82"/>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Cruces de llamadas en una ruta de Interconexión.</w:t>
      </w:r>
    </w:p>
    <w:p w14:paraId="4B8C5E8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Prioridad 3: Se considerarán con tal carácter a las que consistan en lo siguiente:</w:t>
      </w:r>
    </w:p>
    <w:p w14:paraId="178216D4" w14:textId="3E011B98" w:rsidR="00526FE9" w:rsidRPr="008762D1" w:rsidRDefault="00526FE9" w:rsidP="000F0B9F">
      <w:pPr>
        <w:pStyle w:val="Prrafodelista1"/>
        <w:numPr>
          <w:ilvl w:val="0"/>
          <w:numId w:val="83"/>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Corte parcial del servicio sin pérdida de Tráfico.</w:t>
      </w:r>
    </w:p>
    <w:p w14:paraId="74B281E1" w14:textId="77777777" w:rsidR="00526FE9" w:rsidRPr="008762D1" w:rsidRDefault="00526FE9" w:rsidP="000F0B9F">
      <w:pPr>
        <w:pStyle w:val="Prrafodelista1"/>
        <w:numPr>
          <w:ilvl w:val="0"/>
          <w:numId w:val="83"/>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Cortes intermitentes o errores en circuito de cliente final SIN redundancia NO suponiendo la incomunicación del servicio.</w:t>
      </w:r>
    </w:p>
    <w:p w14:paraId="731A4988" w14:textId="77777777" w:rsidR="000F0B9F" w:rsidRPr="008762D1" w:rsidRDefault="00526FE9" w:rsidP="000F0B9F">
      <w:pPr>
        <w:pStyle w:val="Prrafodelista1"/>
        <w:numPr>
          <w:ilvl w:val="0"/>
          <w:numId w:val="83"/>
        </w:numPr>
        <w:autoSpaceDE w:val="0"/>
        <w:autoSpaceDN w:val="0"/>
        <w:adjustRightInd w:val="0"/>
        <w:spacing w:before="240"/>
        <w:ind w:left="709"/>
        <w:contextualSpacing/>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Otros que afecten la calidad del servicio.</w:t>
      </w:r>
    </w:p>
    <w:p w14:paraId="25F125E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2.6.5 En caso de que ocurra alguno de los siguientes eventos listados a continuación, Telmex habiendo demostrado fehacientemente el hecho de que se trate, su tiempo de duración no se tomará en cuenta para la medición de los tiempos de reparación de cada una de las fallas y disponibilidad de los enlaces:</w:t>
      </w:r>
    </w:p>
    <w:p w14:paraId="13522BB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 xml:space="preserve">a) Cuando se requiera el traslado al sitio de la falla; dicho tiempo se manejará en función de la localidad y de conformidad con el </w:t>
      </w:r>
      <w:proofErr w:type="spellStart"/>
      <w:r w:rsidRPr="008762D1">
        <w:rPr>
          <w:rFonts w:ascii="ITC Avant Garde" w:hAnsi="ITC Avant Garde" w:cs="Arial"/>
          <w:color w:val="000000" w:themeColor="text1"/>
        </w:rPr>
        <w:t>Subanexo</w:t>
      </w:r>
      <w:proofErr w:type="spellEnd"/>
      <w:r w:rsidRPr="008762D1">
        <w:rPr>
          <w:rFonts w:ascii="ITC Avant Garde" w:hAnsi="ITC Avant Garde" w:cs="Arial"/>
          <w:color w:val="000000" w:themeColor="text1"/>
        </w:rPr>
        <w:t xml:space="preserve"> “G-4”.</w:t>
      </w:r>
    </w:p>
    <w:p w14:paraId="7BA40FE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b) Casos Fortuitos o Fuerza Mayor  no imputables a Telmex ni al Concesionario Solicitante.</w:t>
      </w:r>
    </w:p>
    <w:p w14:paraId="103F18A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c) Causas imputables al Concesionario Solicitante.</w:t>
      </w:r>
    </w:p>
    <w:p w14:paraId="5C85D2C6" w14:textId="77777777" w:rsidR="000F0B9F" w:rsidRPr="008762D1" w:rsidRDefault="00526FE9" w:rsidP="000F0B9F">
      <w:pPr>
        <w:numPr>
          <w:ilvl w:val="0"/>
          <w:numId w:val="84"/>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Los retrasos imputables al Concesionario Solicitante en la obtención de permisos para acceder a los sitios del propio Concesionario Solicitante.</w:t>
      </w:r>
    </w:p>
    <w:p w14:paraId="6CEBB6E5" w14:textId="77777777" w:rsidR="000F0B9F" w:rsidRPr="008762D1" w:rsidRDefault="00526FE9" w:rsidP="000F0B9F">
      <w:pPr>
        <w:numPr>
          <w:ilvl w:val="0"/>
          <w:numId w:val="84"/>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14:paraId="51F99318" w14:textId="77777777" w:rsidR="000F0B9F" w:rsidRPr="008762D1" w:rsidRDefault="00526FE9" w:rsidP="000F0B9F">
      <w:pPr>
        <w:numPr>
          <w:ilvl w:val="0"/>
          <w:numId w:val="84"/>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El tiempo en que tarde en llegar el personal técnico del Concesionario Solicitante a sus instalaciones para la atención de manera conjunta de fallas de interconexión.</w:t>
      </w:r>
    </w:p>
    <w:p w14:paraId="2FB09006" w14:textId="77777777" w:rsidR="000F0B9F" w:rsidRPr="008762D1" w:rsidRDefault="00526FE9" w:rsidP="000F0B9F">
      <w:pPr>
        <w:numPr>
          <w:ilvl w:val="0"/>
          <w:numId w:val="84"/>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El tiempo que tarde Telmex en identificar el servicio con falla debido a que el Concesionario Solicitante reportó una falla con datos erróneos.</w:t>
      </w:r>
    </w:p>
    <w:p w14:paraId="3321BCA6" w14:textId="77777777" w:rsidR="000F0B9F" w:rsidRPr="008762D1" w:rsidRDefault="00526FE9" w:rsidP="000F0B9F">
      <w:pPr>
        <w:numPr>
          <w:ilvl w:val="0"/>
          <w:numId w:val="84"/>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Cuando la falla fue provocada por problemas en los sitios del Concesionario Solicitante y hasta que sean reparados, como sucede en remodelaciones, cambio de ubicación de sus equipos, goteras, suministro de energía, clima, plagas de roedores, etc.</w:t>
      </w:r>
    </w:p>
    <w:p w14:paraId="6010A91D"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d) Causas imputables a terceros.</w:t>
      </w:r>
    </w:p>
    <w:p w14:paraId="53DB9348" w14:textId="77777777" w:rsidR="000F0B9F" w:rsidRPr="008762D1" w:rsidRDefault="00526FE9" w:rsidP="000F0B9F">
      <w:pPr>
        <w:numPr>
          <w:ilvl w:val="0"/>
          <w:numId w:val="85"/>
        </w:numPr>
        <w:autoSpaceDE w:val="0"/>
        <w:autoSpaceDN w:val="0"/>
        <w:adjustRightInd w:val="0"/>
        <w:spacing w:before="240" w:after="200" w:line="276" w:lineRule="auto"/>
        <w:ind w:left="709"/>
        <w:contextualSpacing/>
        <w:jc w:val="both"/>
        <w:rPr>
          <w:rFonts w:ascii="ITC Avant Garde" w:hAnsi="ITC Avant Garde" w:cs="Arial"/>
          <w:color w:val="000000" w:themeColor="text1"/>
          <w:u w:val="single"/>
        </w:rPr>
      </w:pPr>
      <w:r w:rsidRPr="008762D1">
        <w:rPr>
          <w:rFonts w:ascii="ITC Avant Garde" w:hAnsi="ITC Avant Garde" w:cs="Arial"/>
          <w:color w:val="000000" w:themeColor="text1"/>
        </w:rPr>
        <w:lastRenderedPageBreak/>
        <w:t>El tiempo de suministro de equipos por parte de proveedores, cuando la falla requiere el remplazo del equipo completo o refacciones, no pudiendo ser mayor al 5% de las incidencias totales</w:t>
      </w:r>
      <w:r w:rsidRPr="008762D1">
        <w:rPr>
          <w:rFonts w:ascii="ITC Avant Garde" w:hAnsi="ITC Avant Garde" w:cs="Arial"/>
          <w:color w:val="000000" w:themeColor="text1"/>
          <w:u w:val="single"/>
        </w:rPr>
        <w:t>:</w:t>
      </w:r>
    </w:p>
    <w:p w14:paraId="23CCFD57" w14:textId="7A34BA4A" w:rsidR="00526FE9" w:rsidRPr="008762D1" w:rsidRDefault="00526FE9" w:rsidP="000F0B9F">
      <w:pPr>
        <w:numPr>
          <w:ilvl w:val="2"/>
          <w:numId w:val="85"/>
        </w:numPr>
        <w:autoSpaceDE w:val="0"/>
        <w:autoSpaceDN w:val="0"/>
        <w:adjustRightInd w:val="0"/>
        <w:spacing w:before="240" w:after="200" w:line="276" w:lineRule="auto"/>
        <w:contextualSpacing/>
        <w:rPr>
          <w:rFonts w:ascii="ITC Avant Garde" w:hAnsi="ITC Avant Garde" w:cs="Arial"/>
          <w:color w:val="000000" w:themeColor="text1"/>
        </w:rPr>
      </w:pPr>
      <w:r w:rsidRPr="008762D1">
        <w:rPr>
          <w:rFonts w:ascii="ITC Avant Garde" w:hAnsi="ITC Avant Garde" w:cs="Arial"/>
          <w:color w:val="000000" w:themeColor="text1"/>
        </w:rPr>
        <w:t>Con afectación en zona urbana: 3 horas</w:t>
      </w:r>
    </w:p>
    <w:p w14:paraId="0A1FC27C" w14:textId="77777777" w:rsidR="00526FE9" w:rsidRPr="008762D1" w:rsidRDefault="00526FE9" w:rsidP="000F0B9F">
      <w:pPr>
        <w:numPr>
          <w:ilvl w:val="2"/>
          <w:numId w:val="85"/>
        </w:numPr>
        <w:autoSpaceDE w:val="0"/>
        <w:autoSpaceDN w:val="0"/>
        <w:adjustRightInd w:val="0"/>
        <w:spacing w:before="240" w:after="200" w:line="276" w:lineRule="auto"/>
        <w:contextualSpacing/>
        <w:rPr>
          <w:rFonts w:ascii="ITC Avant Garde" w:hAnsi="ITC Avant Garde" w:cs="Arial"/>
          <w:color w:val="000000" w:themeColor="text1"/>
        </w:rPr>
      </w:pPr>
      <w:r w:rsidRPr="008762D1">
        <w:rPr>
          <w:rFonts w:ascii="ITC Avant Garde" w:hAnsi="ITC Avant Garde" w:cs="Arial"/>
          <w:color w:val="000000" w:themeColor="text1"/>
        </w:rPr>
        <w:t>Con afectación en zona Suburbana y Rural: 24 horas</w:t>
      </w:r>
    </w:p>
    <w:p w14:paraId="14812EF8" w14:textId="77777777" w:rsidR="000F0B9F" w:rsidRPr="008762D1" w:rsidRDefault="00526FE9" w:rsidP="000F0B9F">
      <w:pPr>
        <w:numPr>
          <w:ilvl w:val="2"/>
          <w:numId w:val="85"/>
        </w:numPr>
        <w:autoSpaceDE w:val="0"/>
        <w:autoSpaceDN w:val="0"/>
        <w:adjustRightInd w:val="0"/>
        <w:spacing w:before="240" w:after="200" w:line="276" w:lineRule="auto"/>
        <w:contextualSpacing/>
        <w:rPr>
          <w:rFonts w:ascii="ITC Avant Garde" w:hAnsi="ITC Avant Garde" w:cs="Arial"/>
          <w:color w:val="000000" w:themeColor="text1"/>
        </w:rPr>
      </w:pPr>
      <w:r w:rsidRPr="008762D1">
        <w:rPr>
          <w:rFonts w:ascii="ITC Avant Garde" w:hAnsi="ITC Avant Garde" w:cs="Arial"/>
          <w:color w:val="000000" w:themeColor="text1"/>
        </w:rPr>
        <w:t>Sin afectación cualquier zona: 48 horas</w:t>
      </w:r>
    </w:p>
    <w:p w14:paraId="2C9C6348" w14:textId="77777777" w:rsidR="000F0B9F" w:rsidRPr="008762D1" w:rsidRDefault="00526FE9" w:rsidP="000F0B9F">
      <w:pPr>
        <w:numPr>
          <w:ilvl w:val="0"/>
          <w:numId w:val="85"/>
        </w:numPr>
        <w:autoSpaceDE w:val="0"/>
        <w:autoSpaceDN w:val="0"/>
        <w:adjustRightInd w:val="0"/>
        <w:spacing w:before="240" w:after="200" w:line="276" w:lineRule="auto"/>
        <w:ind w:left="709"/>
        <w:contextualSpacing/>
        <w:jc w:val="both"/>
        <w:rPr>
          <w:rFonts w:ascii="ITC Avant Garde" w:hAnsi="ITC Avant Garde" w:cs="Arial"/>
          <w:color w:val="000000" w:themeColor="text1"/>
        </w:rPr>
      </w:pPr>
      <w:r w:rsidRPr="008762D1">
        <w:rPr>
          <w:rFonts w:ascii="ITC Avant Garde" w:hAnsi="ITC Avant Garde" w:cs="Arial"/>
          <w:color w:val="000000" w:themeColor="text1"/>
        </w:rPr>
        <w:t>Los anteriores son plazos máximos, no obstante Telmex se obliga a reiniciar el cómputo de los plazos de reparación una vez que cuente con las refacciones necesarias y no pudiendo ser mayor al 5% de las incidencias totales.</w:t>
      </w:r>
    </w:p>
    <w:p w14:paraId="4D7FFE72" w14:textId="77777777" w:rsidR="000F0B9F" w:rsidRPr="008762D1" w:rsidRDefault="00526FE9" w:rsidP="000F0B9F">
      <w:pPr>
        <w:numPr>
          <w:ilvl w:val="0"/>
          <w:numId w:val="85"/>
        </w:numPr>
        <w:autoSpaceDE w:val="0"/>
        <w:autoSpaceDN w:val="0"/>
        <w:adjustRightInd w:val="0"/>
        <w:spacing w:before="240" w:after="0" w:line="240" w:lineRule="auto"/>
        <w:ind w:left="709"/>
        <w:contextualSpacing/>
        <w:rPr>
          <w:rFonts w:ascii="ITC Avant Garde" w:hAnsi="ITC Avant Garde" w:cs="Arial"/>
          <w:color w:val="000000" w:themeColor="text1"/>
        </w:rPr>
      </w:pPr>
      <w:r w:rsidRPr="008762D1">
        <w:rPr>
          <w:rFonts w:ascii="ITC Avant Garde" w:hAnsi="ITC Avant Garde" w:cs="Arial"/>
          <w:color w:val="000000" w:themeColor="text1"/>
        </w:rPr>
        <w:t>En los casos de cortes de fibra óptica, no pudiendo ser mayor de 12 horas y no pudiendo ser mayor al 5% de las incidencias totales.</w:t>
      </w:r>
    </w:p>
    <w:p w14:paraId="42E77418" w14:textId="77777777" w:rsidR="000F0B9F" w:rsidRPr="008762D1" w:rsidRDefault="00526FE9" w:rsidP="000F0B9F">
      <w:pPr>
        <w:autoSpaceDE w:val="0"/>
        <w:autoSpaceDN w:val="0"/>
        <w:adjustRightInd w:val="0"/>
        <w:spacing w:before="240"/>
        <w:ind w:left="709"/>
        <w:contextualSpacing/>
        <w:jc w:val="both"/>
        <w:rPr>
          <w:rFonts w:ascii="ITC Avant Garde" w:hAnsi="ITC Avant Garde" w:cs="Arial"/>
          <w:color w:val="000000" w:themeColor="text1"/>
        </w:rPr>
      </w:pPr>
      <w:r w:rsidRPr="008762D1">
        <w:rPr>
          <w:rFonts w:ascii="ITC Avant Garde" w:hAnsi="ITC Avant Garde" w:cs="Arial"/>
          <w:color w:val="000000" w:themeColor="text1"/>
        </w:rPr>
        <w:t>El Instituto podrá realizar las verificaciones que resulten pertinentes.</w:t>
      </w:r>
    </w:p>
    <w:p w14:paraId="52ED5A12" w14:textId="77777777" w:rsidR="000F0B9F" w:rsidRPr="008762D1" w:rsidRDefault="00526FE9" w:rsidP="000F0B9F">
      <w:pPr>
        <w:numPr>
          <w:ilvl w:val="0"/>
          <w:numId w:val="85"/>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Vandalismo (daño de fibra o infraestructura).</w:t>
      </w:r>
    </w:p>
    <w:p w14:paraId="3FE8F7C9" w14:textId="77777777" w:rsidR="000F0B9F" w:rsidRPr="008762D1" w:rsidRDefault="00526FE9" w:rsidP="000F0B9F">
      <w:pPr>
        <w:numPr>
          <w:ilvl w:val="0"/>
          <w:numId w:val="85"/>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4EE1DBF9" w14:textId="77777777" w:rsidR="000F0B9F" w:rsidRPr="008762D1" w:rsidRDefault="00526FE9" w:rsidP="000F0B9F">
      <w:pPr>
        <w:numPr>
          <w:ilvl w:val="0"/>
          <w:numId w:val="85"/>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reparación de falla, y una vez restablecidas las condiciones de seguridad se informará la reanudación de los trabajos.</w:t>
      </w:r>
    </w:p>
    <w:p w14:paraId="041B0D0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Las fallas provocadas por cortes generalizados en el suministro eléctrico de CFE por un tiempo mayor a 4 (cuatro) horas que afecten a instalaciones de Telmex.</w:t>
      </w:r>
    </w:p>
    <w:p w14:paraId="0AB707E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En todos los casos mencionados anteriormente que detienen el tiempo de reparación de la falla se llevará un registro que será del conocimiento tanto del Concesionario Solicitante como del Instituto mediante el Sistema Electrónico de Gestión.</w:t>
      </w:r>
    </w:p>
    <w:p w14:paraId="54CA6138"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Todas aquellas actividades efectuadas por Telmex tales como: pruebas, desplazamientos, y trabajos necesarios para la reparación de fallas reportadas por el Concesionario Solicitante que le resulten imputables a este último, serán facturadas con cargo al Concesionario Solicitante.</w:t>
      </w:r>
    </w:p>
    <w:p w14:paraId="75C47D4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2.6.6 Telmex garantizará el cumplimiento anual por enlace de calidad para los Enlaces Dedicados de Interconexión:</w:t>
      </w:r>
    </w:p>
    <w:p w14:paraId="1E889729" w14:textId="73008392" w:rsidR="00526FE9" w:rsidRPr="008762D1" w:rsidRDefault="00526FE9" w:rsidP="000F0B9F">
      <w:pPr>
        <w:pStyle w:val="Prrafodelista"/>
        <w:numPr>
          <w:ilvl w:val="0"/>
          <w:numId w:val="86"/>
        </w:numPr>
        <w:autoSpaceDE w:val="0"/>
        <w:autoSpaceDN w:val="0"/>
        <w:adjustRightInd w:val="0"/>
        <w:spacing w:before="240" w:after="0" w:line="240" w:lineRule="auto"/>
        <w:ind w:left="1701"/>
        <w:jc w:val="both"/>
        <w:rPr>
          <w:rFonts w:ascii="ITC Avant Garde" w:hAnsi="ITC Avant Garde" w:cs="Arial"/>
          <w:color w:val="000000" w:themeColor="text1"/>
        </w:rPr>
      </w:pPr>
      <w:r w:rsidRPr="008762D1">
        <w:rPr>
          <w:rFonts w:ascii="ITC Avant Garde" w:hAnsi="ITC Avant Garde" w:cs="Arial"/>
          <w:color w:val="000000" w:themeColor="text1"/>
        </w:rPr>
        <w:t>Sin redundancia 99.92% (noventa y nueve punto noventa y dos por ciento).</w:t>
      </w:r>
    </w:p>
    <w:p w14:paraId="2292320C" w14:textId="77777777" w:rsidR="000F0B9F" w:rsidRPr="008762D1" w:rsidRDefault="00526FE9" w:rsidP="000F0B9F">
      <w:pPr>
        <w:pStyle w:val="Prrafodelista"/>
        <w:numPr>
          <w:ilvl w:val="0"/>
          <w:numId w:val="86"/>
        </w:numPr>
        <w:autoSpaceDE w:val="0"/>
        <w:autoSpaceDN w:val="0"/>
        <w:adjustRightInd w:val="0"/>
        <w:spacing w:before="240" w:after="0" w:line="240" w:lineRule="auto"/>
        <w:ind w:left="1701"/>
        <w:jc w:val="both"/>
        <w:rPr>
          <w:rFonts w:ascii="ITC Avant Garde" w:hAnsi="ITC Avant Garde" w:cs="Arial"/>
          <w:color w:val="000000" w:themeColor="text1"/>
          <w:sz w:val="24"/>
          <w:szCs w:val="24"/>
        </w:rPr>
      </w:pPr>
      <w:r w:rsidRPr="008762D1">
        <w:rPr>
          <w:rFonts w:ascii="ITC Avant Garde" w:hAnsi="ITC Avant Garde" w:cs="Arial"/>
          <w:color w:val="000000" w:themeColor="text1"/>
        </w:rPr>
        <w:t>Con redundancia 99.9595% (noventa y nueve punto nueve mil quinientos noventa y cinco por ciento).</w:t>
      </w:r>
    </w:p>
    <w:p w14:paraId="79D2D355" w14:textId="77777777" w:rsidR="000F0B9F" w:rsidRPr="008762D1" w:rsidRDefault="00526FE9" w:rsidP="000F0B9F">
      <w:pPr>
        <w:autoSpaceDE w:val="0"/>
        <w:autoSpaceDN w:val="0"/>
        <w:spacing w:before="240" w:line="276" w:lineRule="auto"/>
        <w:jc w:val="both"/>
        <w:rPr>
          <w:rFonts w:ascii="ITC Avant Garde" w:hAnsi="ITC Avant Garde" w:cs="Arial"/>
          <w:color w:val="000000" w:themeColor="text1"/>
          <w:szCs w:val="24"/>
          <w:lang w:eastAsia="es-ES"/>
        </w:rPr>
      </w:pPr>
      <w:r w:rsidRPr="008762D1">
        <w:rPr>
          <w:rFonts w:ascii="ITC Avant Garde" w:hAnsi="ITC Avant Garde" w:cs="Arial"/>
          <w:color w:val="000000" w:themeColor="text1"/>
        </w:rPr>
        <w:lastRenderedPageBreak/>
        <w:t>En los servicios Ethernet los parámetros de Calidad se validarán a la entrega de los Enlaces Dedicados de Interconexión basándose en la aplicación del estándar RFC 2544 del IETF considerando los siguientes valores:</w:t>
      </w:r>
    </w:p>
    <w:p w14:paraId="4F9D4EB2" w14:textId="5D96B60C" w:rsidR="00526FE9" w:rsidRPr="008762D1" w:rsidRDefault="00526FE9" w:rsidP="000F0B9F">
      <w:pPr>
        <w:numPr>
          <w:ilvl w:val="0"/>
          <w:numId w:val="87"/>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Tasa máxima de pérdida de paquetes de 10</w:t>
      </w:r>
      <w:r w:rsidRPr="008762D1">
        <w:rPr>
          <w:rFonts w:ascii="ITC Avant Garde" w:hAnsi="ITC Avant Garde" w:cs="Arial"/>
          <w:color w:val="000000" w:themeColor="text1"/>
          <w:vertAlign w:val="superscript"/>
        </w:rPr>
        <w:t>-4</w:t>
      </w:r>
    </w:p>
    <w:p w14:paraId="60E0DA8E" w14:textId="77777777" w:rsidR="00526FE9" w:rsidRPr="008762D1" w:rsidRDefault="00526FE9" w:rsidP="000F0B9F">
      <w:pPr>
        <w:numPr>
          <w:ilvl w:val="0"/>
          <w:numId w:val="87"/>
        </w:numPr>
        <w:autoSpaceDE w:val="0"/>
        <w:autoSpaceDN w:val="0"/>
        <w:adjustRightInd w:val="0"/>
        <w:spacing w:before="240" w:after="200" w:line="276" w:lineRule="auto"/>
        <w:ind w:left="709"/>
        <w:contextualSpacing/>
        <w:jc w:val="both"/>
        <w:rPr>
          <w:rFonts w:ascii="ITC Avant Garde" w:hAnsi="ITC Avant Garde" w:cs="Arial"/>
          <w:color w:val="000000" w:themeColor="text1"/>
        </w:rPr>
      </w:pPr>
      <w:r w:rsidRPr="008762D1">
        <w:rPr>
          <w:rFonts w:ascii="ITC Avant Garde" w:hAnsi="ITC Avant Garde" w:cs="Arial"/>
          <w:color w:val="000000" w:themeColor="text1"/>
        </w:rPr>
        <w:t>Porcentaje de ancho de banda de la interfaz garantizada: 100% en la interfaz física de interconexión con el cliente.</w:t>
      </w:r>
    </w:p>
    <w:p w14:paraId="7BC6CDD4" w14:textId="77777777" w:rsidR="000F0B9F" w:rsidRPr="008762D1" w:rsidRDefault="00526FE9" w:rsidP="000F0B9F">
      <w:pPr>
        <w:numPr>
          <w:ilvl w:val="0"/>
          <w:numId w:val="87"/>
        </w:numPr>
        <w:autoSpaceDE w:val="0"/>
        <w:autoSpaceDN w:val="0"/>
        <w:adjustRightInd w:val="0"/>
        <w:spacing w:before="240" w:after="200" w:line="276" w:lineRule="auto"/>
        <w:ind w:left="709"/>
        <w:contextualSpacing/>
        <w:jc w:val="both"/>
        <w:rPr>
          <w:rFonts w:ascii="ITC Avant Garde" w:hAnsi="ITC Avant Garde" w:cs="Arial"/>
          <w:color w:val="000000" w:themeColor="text1"/>
        </w:rPr>
      </w:pPr>
      <w:r w:rsidRPr="008762D1">
        <w:rPr>
          <w:rFonts w:ascii="ITC Avant Garde" w:hAnsi="ITC Avant Garde" w:cs="Arial"/>
          <w:color w:val="000000" w:themeColor="text1"/>
        </w:rPr>
        <w:t>Retardo de Transmisión de Trama (en un solo sentido): 6.2 mili segundos</w:t>
      </w:r>
    </w:p>
    <w:p w14:paraId="0520F20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Estos parámetros se cumplirán de acuerdo con lo siguiente:</w:t>
      </w:r>
    </w:p>
    <w:p w14:paraId="5E3D1435" w14:textId="77777777" w:rsidR="000F0B9F" w:rsidRPr="008762D1" w:rsidRDefault="00526FE9" w:rsidP="000F0B9F">
      <w:pPr>
        <w:numPr>
          <w:ilvl w:val="0"/>
          <w:numId w:val="88"/>
        </w:numPr>
        <w:autoSpaceDE w:val="0"/>
        <w:autoSpaceDN w:val="0"/>
        <w:adjustRightInd w:val="0"/>
        <w:spacing w:before="240" w:after="200" w:line="276"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Respecto al porcentaje del ancho de banda de la interfaz de capa física de interconexión con el Concesionario se garantiza el 100%.</w:t>
      </w:r>
    </w:p>
    <w:p w14:paraId="0A6D3267" w14:textId="77777777" w:rsidR="000F0B9F" w:rsidRPr="008762D1" w:rsidRDefault="00526FE9" w:rsidP="000F0B9F">
      <w:pPr>
        <w:autoSpaceDE w:val="0"/>
        <w:autoSpaceDN w:val="0"/>
        <w:spacing w:before="240" w:line="276" w:lineRule="auto"/>
        <w:jc w:val="both"/>
        <w:rPr>
          <w:rFonts w:ascii="ITC Avant Garde" w:hAnsi="ITC Avant Garde" w:cs="Arial"/>
          <w:color w:val="000000" w:themeColor="text1"/>
        </w:rPr>
      </w:pPr>
      <w:r w:rsidRPr="008762D1">
        <w:rPr>
          <w:rFonts w:ascii="ITC Avant Garde" w:hAnsi="ITC Avant Garde" w:cs="Arial"/>
          <w:color w:val="000000" w:themeColor="text1"/>
        </w:rPr>
        <w:t>La medición del cumplimento de los plazos de reparación de fallas y disponibilidad de servicio, se comenzarán a computar a partir de que el Concesionario Solicitante levante el reporte correspondiente  en el Sistema Electrónico de Gestión.</w:t>
      </w:r>
    </w:p>
    <w:p w14:paraId="3C47E84E"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Una vez reparada la falla Telmex notificará al Concesionario Solicitante con la finalidad de que este realice las pruebas correspondientes. El tiempo durante el cual el Concesionario Solicitante lleve a cabo dichas pruebas no será tomado en cuenta para el plazo establecido para llevar a cabo la reparación de fallas.</w:t>
      </w:r>
    </w:p>
    <w:p w14:paraId="193CC54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2.7 Penalizaciones.</w:t>
      </w:r>
    </w:p>
    <w:p w14:paraId="0ECF3CD7"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2.7.1 La penalización por entregas tardías se calculará considerando el monto económico correspondiente al 10% de la renta mensual del enlace por cada día (hábil) de retraso en la entrega, respecto a las fechas comprometidas del servicio en cuestión, hasta por un máximo de seis rentas mensuales.</w:t>
      </w:r>
    </w:p>
    <w:p w14:paraId="0CE7D7CF"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2.7.2 Por incumplimiento en los parámetros de disponibilidad, se calculará de acuerdo a lo siguiente:</w:t>
      </w:r>
    </w:p>
    <w:p w14:paraId="72D5C29D" w14:textId="3F5DCF55" w:rsidR="00526FE9" w:rsidRPr="008762D1" w:rsidRDefault="00526FE9" w:rsidP="000F0B9F">
      <w:pPr>
        <w:autoSpaceDE w:val="0"/>
        <w:autoSpaceDN w:val="0"/>
        <w:adjustRightInd w:val="0"/>
        <w:spacing w:before="240"/>
        <w:ind w:firstLine="567"/>
        <w:jc w:val="both"/>
        <w:rPr>
          <w:rFonts w:ascii="ITC Avant Garde" w:hAnsi="ITC Avant Garde" w:cs="Arial"/>
          <w:color w:val="000000" w:themeColor="text1"/>
        </w:rPr>
      </w:pPr>
      <w:r w:rsidRPr="008762D1">
        <w:rPr>
          <w:rFonts w:ascii="ITC Avant Garde" w:hAnsi="ITC Avant Garde" w:cs="Arial"/>
          <w:color w:val="000000" w:themeColor="text1"/>
        </w:rPr>
        <w:t>Para Enlaces Dedicados de Interconexión:</w:t>
      </w:r>
    </w:p>
    <w:p w14:paraId="0D9805F6" w14:textId="77777777" w:rsidR="00526FE9" w:rsidRPr="008762D1" w:rsidRDefault="00526FE9" w:rsidP="000F0B9F">
      <w:pPr>
        <w:autoSpaceDE w:val="0"/>
        <w:autoSpaceDN w:val="0"/>
        <w:adjustRightInd w:val="0"/>
        <w:spacing w:before="240"/>
        <w:ind w:firstLine="567"/>
        <w:jc w:val="both"/>
        <w:rPr>
          <w:rFonts w:ascii="ITC Avant Garde" w:hAnsi="ITC Avant Garde" w:cs="Arial"/>
          <w:color w:val="000000" w:themeColor="text1"/>
          <w:szCs w:val="24"/>
          <w:lang w:eastAsia="es-ES"/>
        </w:rPr>
      </w:pPr>
    </w:p>
    <w:tbl>
      <w:tblPr>
        <w:tblStyle w:val="Cuadrculadetablaclara"/>
        <w:tblW w:w="8080" w:type="dxa"/>
        <w:jc w:val="center"/>
        <w:tblLook w:val="00A0" w:firstRow="1" w:lastRow="0" w:firstColumn="1" w:lastColumn="0" w:noHBand="0" w:noVBand="0"/>
        <w:tblCaption w:val="Tabla"/>
        <w:tblDescription w:val="Para Enlaces Dedicados de Interconexión:"/>
      </w:tblPr>
      <w:tblGrid>
        <w:gridCol w:w="2126"/>
        <w:gridCol w:w="2976"/>
        <w:gridCol w:w="2978"/>
      </w:tblGrid>
      <w:tr w:rsidR="008762D1" w:rsidRPr="008762D1" w14:paraId="083A7D3B" w14:textId="77777777" w:rsidTr="000703A0">
        <w:trPr>
          <w:tblHeader/>
          <w:jc w:val="center"/>
        </w:trPr>
        <w:tc>
          <w:tcPr>
            <w:tcW w:w="2126" w:type="dxa"/>
            <w:hideMark/>
          </w:tcPr>
          <w:p w14:paraId="1C296AD6"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sz w:val="24"/>
              </w:rPr>
            </w:pPr>
            <w:r w:rsidRPr="008762D1">
              <w:rPr>
                <w:rFonts w:ascii="ITC Avant Garde" w:hAnsi="ITC Avant Garde" w:cs="Arial"/>
                <w:color w:val="000000" w:themeColor="text1"/>
              </w:rPr>
              <w:t>Rango disponibilidad anual sin redundancia</w:t>
            </w:r>
          </w:p>
        </w:tc>
        <w:tc>
          <w:tcPr>
            <w:tcW w:w="2976" w:type="dxa"/>
            <w:hideMark/>
          </w:tcPr>
          <w:p w14:paraId="7BF45D9E"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Rango disponibilidad anual con redundancia</w:t>
            </w:r>
          </w:p>
        </w:tc>
        <w:tc>
          <w:tcPr>
            <w:tcW w:w="2978" w:type="dxa"/>
            <w:hideMark/>
          </w:tcPr>
          <w:p w14:paraId="68B87A58"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Porcentaje de la renta anual del servicio con falla.</w:t>
            </w:r>
          </w:p>
        </w:tc>
      </w:tr>
      <w:tr w:rsidR="008762D1" w:rsidRPr="008762D1" w14:paraId="2880C245" w14:textId="77777777" w:rsidTr="000703A0">
        <w:trPr>
          <w:jc w:val="center"/>
        </w:trPr>
        <w:tc>
          <w:tcPr>
            <w:tcW w:w="2126" w:type="dxa"/>
            <w:hideMark/>
          </w:tcPr>
          <w:p w14:paraId="46E2EC31"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 xml:space="preserve"> 99% a  &lt;99.92%</w:t>
            </w:r>
          </w:p>
        </w:tc>
        <w:tc>
          <w:tcPr>
            <w:tcW w:w="2976" w:type="dxa"/>
            <w:hideMark/>
          </w:tcPr>
          <w:p w14:paraId="0A8BF0A4"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 xml:space="preserve"> 99% a  &lt;99.9595%</w:t>
            </w:r>
          </w:p>
        </w:tc>
        <w:tc>
          <w:tcPr>
            <w:tcW w:w="2978" w:type="dxa"/>
            <w:hideMark/>
          </w:tcPr>
          <w:p w14:paraId="359B7914"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 xml:space="preserve"> 0.55%</w:t>
            </w:r>
          </w:p>
        </w:tc>
      </w:tr>
      <w:tr w:rsidR="008762D1" w:rsidRPr="008762D1" w14:paraId="46076363" w14:textId="77777777" w:rsidTr="000703A0">
        <w:trPr>
          <w:jc w:val="center"/>
        </w:trPr>
        <w:tc>
          <w:tcPr>
            <w:tcW w:w="2126" w:type="dxa"/>
            <w:hideMark/>
          </w:tcPr>
          <w:p w14:paraId="6EA987E9"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 xml:space="preserve"> 98% a &lt;  99%</w:t>
            </w:r>
          </w:p>
        </w:tc>
        <w:tc>
          <w:tcPr>
            <w:tcW w:w="2976" w:type="dxa"/>
            <w:hideMark/>
          </w:tcPr>
          <w:p w14:paraId="78CFF458"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 xml:space="preserve"> 98% a &lt;  99%</w:t>
            </w:r>
          </w:p>
        </w:tc>
        <w:tc>
          <w:tcPr>
            <w:tcW w:w="2978" w:type="dxa"/>
            <w:hideMark/>
          </w:tcPr>
          <w:p w14:paraId="5CDDDA2A"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 xml:space="preserve"> 0.85%</w:t>
            </w:r>
          </w:p>
        </w:tc>
      </w:tr>
      <w:tr w:rsidR="00526FE9" w:rsidRPr="008762D1" w14:paraId="470771A0" w14:textId="77777777" w:rsidTr="000703A0">
        <w:trPr>
          <w:jc w:val="center"/>
        </w:trPr>
        <w:tc>
          <w:tcPr>
            <w:tcW w:w="2126" w:type="dxa"/>
            <w:hideMark/>
          </w:tcPr>
          <w:p w14:paraId="247C968C"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&lt;  98%</w:t>
            </w:r>
          </w:p>
        </w:tc>
        <w:tc>
          <w:tcPr>
            <w:tcW w:w="2976" w:type="dxa"/>
            <w:hideMark/>
          </w:tcPr>
          <w:p w14:paraId="5AA83A92"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&lt; 98%</w:t>
            </w:r>
          </w:p>
        </w:tc>
        <w:tc>
          <w:tcPr>
            <w:tcW w:w="2978" w:type="dxa"/>
            <w:hideMark/>
          </w:tcPr>
          <w:p w14:paraId="02DBD859" w14:textId="77777777" w:rsidR="00526FE9" w:rsidRPr="008762D1" w:rsidRDefault="00526FE9" w:rsidP="000703A0">
            <w:pPr>
              <w:autoSpaceDE w:val="0"/>
              <w:autoSpaceDN w:val="0"/>
              <w:adjustRightInd w:val="0"/>
              <w:spacing w:before="240"/>
              <w:jc w:val="center"/>
              <w:rPr>
                <w:rFonts w:ascii="ITC Avant Garde" w:hAnsi="ITC Avant Garde" w:cs="Arial"/>
                <w:color w:val="000000" w:themeColor="text1"/>
              </w:rPr>
            </w:pPr>
            <w:r w:rsidRPr="008762D1">
              <w:rPr>
                <w:rFonts w:ascii="ITC Avant Garde" w:hAnsi="ITC Avant Garde" w:cs="Arial"/>
                <w:color w:val="000000" w:themeColor="text1"/>
              </w:rPr>
              <w:t xml:space="preserve"> 1.25%</w:t>
            </w:r>
          </w:p>
        </w:tc>
      </w:tr>
    </w:tbl>
    <w:p w14:paraId="039ECFD0" w14:textId="77777777" w:rsidR="00526FE9" w:rsidRPr="008762D1" w:rsidRDefault="00526FE9" w:rsidP="000F0B9F">
      <w:pPr>
        <w:autoSpaceDE w:val="0"/>
        <w:autoSpaceDN w:val="0"/>
        <w:adjustRightInd w:val="0"/>
        <w:spacing w:before="240"/>
        <w:jc w:val="both"/>
        <w:rPr>
          <w:rFonts w:ascii="ITC Avant Garde" w:hAnsi="ITC Avant Garde" w:cs="Arial"/>
          <w:color w:val="000000" w:themeColor="text1"/>
        </w:rPr>
      </w:pPr>
    </w:p>
    <w:p w14:paraId="2BBC89C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2.7.3 En todos aquellos casos donde se demuestre que la falla es imputable al Concesionario Solicitante o a su cliente final, el tiempo de indisponibilidad se restará al final del periodo para efectos de cómputo de las penas del trimestre.</w:t>
      </w:r>
    </w:p>
    <w:p w14:paraId="1CD72F4A"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2.7.4 Procedimiento de liquidación de penalizaciones.</w:t>
      </w:r>
    </w:p>
    <w:p w14:paraId="12333820"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Todas las penalidades en que hayan incurrido los contratantes deberán ser identificadas y aceptadas por Telmex y el Concesionario Solicitante. Asimismo, cuando incurran en una penalización, se procederá a determinar el monto en moneda de circulación nacional.</w:t>
      </w:r>
    </w:p>
    <w:p w14:paraId="6E80F356"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La liquidación de las penalizaciones se llevará a cabo facturándose de manera independiente al resto de conceptos facturables asociados a la prestación de servicio. Los mismos términos y condiciones de pago que son aplicables a las facturas por prestación de servicios serán también de aplicación al pago de las penalizaciones.</w:t>
      </w:r>
    </w:p>
    <w:p w14:paraId="0B8A4F7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Para la liquidación de las penalizaciones, las partes se comprometen a pagar el monto de las mismas en términos de lo establecido en el numeral 4.4 del Convenio, o si así lo deciden ambas partes será en los tiempos que acuerden y de la forma en que convengan.</w:t>
      </w:r>
    </w:p>
    <w:p w14:paraId="7D6ACDB2"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2.8 Aclaración de facturas.</w:t>
      </w:r>
    </w:p>
    <w:p w14:paraId="2042739C" w14:textId="77777777" w:rsidR="000F0B9F" w:rsidRPr="008762D1" w:rsidRDefault="00526FE9" w:rsidP="000F0B9F">
      <w:pPr>
        <w:numPr>
          <w:ilvl w:val="0"/>
          <w:numId w:val="89"/>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Telmex enviará mensualmente una factura por los servicios solicitados al Concesionario Solicitante, la cual deberá pagar u objetar en un plazo de 18 (dieciocho) días naturales después de su recepción. La objeción deberá referirse a las unidades y servicios que no reconozca mas no por la tarifa.</w:t>
      </w:r>
    </w:p>
    <w:p w14:paraId="0355A5AD" w14:textId="77777777" w:rsidR="000F0B9F" w:rsidRPr="008762D1" w:rsidRDefault="00526FE9" w:rsidP="000F0B9F">
      <w:pPr>
        <w:numPr>
          <w:ilvl w:val="0"/>
          <w:numId w:val="89"/>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El Concesionario Solicitante deberá presentar la Solicitud de aclaración, acompañada del soporte correspondiente con los datos necesarios para atenderla (servicios reclamados, referencias, importes, justificación).</w:t>
      </w:r>
    </w:p>
    <w:p w14:paraId="29F9376B" w14:textId="77777777" w:rsidR="000F0B9F" w:rsidRPr="008762D1" w:rsidRDefault="00526FE9" w:rsidP="000F0B9F">
      <w:pPr>
        <w:numPr>
          <w:ilvl w:val="0"/>
          <w:numId w:val="89"/>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Telmex analizará los datos enviados por el Concesionario Solicitante para determinar la procedencia o improcedencia del mismo e informará del resultado del reclamo.</w:t>
      </w:r>
    </w:p>
    <w:p w14:paraId="36DB9EEC" w14:textId="77777777" w:rsidR="000F0B9F" w:rsidRPr="008762D1" w:rsidRDefault="00526FE9" w:rsidP="000F0B9F">
      <w:pPr>
        <w:numPr>
          <w:ilvl w:val="0"/>
          <w:numId w:val="89"/>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Para los montos objetados que sean procedentes, Telmex emitirá la nota de crédito correspondiente, para los reclamos improcedentes el Concesionario Solicitante deberá realizar el pago.</w:t>
      </w:r>
    </w:p>
    <w:p w14:paraId="3BFFC0E9"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2.9 Aclaración de Instalaciones.</w:t>
      </w:r>
    </w:p>
    <w:p w14:paraId="3F3EF94C" w14:textId="77777777" w:rsidR="000F0B9F" w:rsidRPr="008762D1" w:rsidRDefault="00526FE9" w:rsidP="000F0B9F">
      <w:pPr>
        <w:numPr>
          <w:ilvl w:val="0"/>
          <w:numId w:val="90"/>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El Concesionario Solicitante en cualquier momento podrá solicitar aclaraciones o informes de avance de los servicios en proceso de instalación mediante correo electrónico a su Ejecutivo de cuenta o vía el SEG.</w:t>
      </w:r>
    </w:p>
    <w:p w14:paraId="78242440" w14:textId="77777777" w:rsidR="000F0B9F" w:rsidRPr="008762D1" w:rsidRDefault="00526FE9" w:rsidP="000F0B9F">
      <w:pPr>
        <w:numPr>
          <w:ilvl w:val="0"/>
          <w:numId w:val="90"/>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Telmex proporcionará la información necesaria de ser posible, esto vía correo electrónico y mediante el Sistema Electrónico de Gestión).</w:t>
      </w:r>
    </w:p>
    <w:p w14:paraId="29896BB8" w14:textId="77777777" w:rsidR="000F0B9F" w:rsidRPr="008762D1" w:rsidRDefault="00526FE9" w:rsidP="000F0B9F">
      <w:pPr>
        <w:numPr>
          <w:ilvl w:val="0"/>
          <w:numId w:val="90"/>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lastRenderedPageBreak/>
        <w:t>Si el Concesionario Solicitante desea alguna otra aclaración o información procederá nuevamente al paso a), de lo contrario se termina el proceso.</w:t>
      </w:r>
    </w:p>
    <w:p w14:paraId="5D9477D3" w14:textId="77777777" w:rsidR="000F0B9F" w:rsidRPr="008762D1" w:rsidRDefault="00526FE9" w:rsidP="000F0B9F">
      <w:pPr>
        <w:autoSpaceDE w:val="0"/>
        <w:autoSpaceDN w:val="0"/>
        <w:adjustRightInd w:val="0"/>
        <w:spacing w:before="240"/>
        <w:jc w:val="both"/>
        <w:rPr>
          <w:rFonts w:ascii="ITC Avant Garde" w:hAnsi="ITC Avant Garde" w:cs="Times New Roman"/>
          <w:color w:val="000000" w:themeColor="text1"/>
          <w:sz w:val="24"/>
          <w:lang w:val="es-ES"/>
        </w:rPr>
      </w:pPr>
      <w:r w:rsidRPr="008762D1">
        <w:rPr>
          <w:rFonts w:ascii="ITC Avant Garde" w:hAnsi="ITC Avant Garde" w:cs="Arial"/>
          <w:color w:val="000000" w:themeColor="text1"/>
        </w:rPr>
        <w:t>2.10 Trabajos Programados.</w:t>
      </w:r>
    </w:p>
    <w:p w14:paraId="740D88BA" w14:textId="77777777" w:rsidR="000F0B9F" w:rsidRPr="008762D1" w:rsidRDefault="00526FE9" w:rsidP="000F0B9F">
      <w:pPr>
        <w:numPr>
          <w:ilvl w:val="0"/>
          <w:numId w:val="91"/>
        </w:numPr>
        <w:autoSpaceDE w:val="0"/>
        <w:autoSpaceDN w:val="0"/>
        <w:adjustRightInd w:val="0"/>
        <w:spacing w:before="240" w:after="0" w:line="240" w:lineRule="auto"/>
        <w:ind w:left="709"/>
        <w:contextualSpacing/>
        <w:jc w:val="both"/>
        <w:rPr>
          <w:rFonts w:ascii="ITC Avant Garde" w:hAnsi="ITC Avant Garde" w:cs="Arial"/>
          <w:color w:val="000000" w:themeColor="text1"/>
        </w:rPr>
      </w:pPr>
      <w:r w:rsidRPr="008762D1">
        <w:rPr>
          <w:rFonts w:ascii="ITC Avant Garde" w:hAnsi="ITC Avant Garde"/>
          <w:color w:val="000000" w:themeColor="text1"/>
        </w:rPr>
        <w:t>Telmex notificará vía correo electrónico o el Sistema Electrónico de Gestión con 48 (cuarenta y ocho) horas de anticipación y en casos excepcionales con 24 (veinticuatro) horas de anticipación, los mantenimientos programados por fallas en su red.</w:t>
      </w:r>
    </w:p>
    <w:p w14:paraId="19F518FE" w14:textId="77777777" w:rsidR="000F0B9F" w:rsidRPr="008762D1" w:rsidRDefault="00526FE9" w:rsidP="000F0B9F">
      <w:pPr>
        <w:numPr>
          <w:ilvl w:val="0"/>
          <w:numId w:val="91"/>
        </w:numPr>
        <w:autoSpaceDE w:val="0"/>
        <w:autoSpaceDN w:val="0"/>
        <w:adjustRightInd w:val="0"/>
        <w:spacing w:before="240" w:after="0" w:line="240" w:lineRule="auto"/>
        <w:ind w:left="709"/>
        <w:contextualSpacing/>
        <w:jc w:val="both"/>
        <w:rPr>
          <w:rFonts w:ascii="ITC Avant Garde" w:hAnsi="ITC Avant Garde" w:cs="Arial"/>
          <w:color w:val="000000" w:themeColor="text1"/>
          <w:sz w:val="24"/>
        </w:rPr>
      </w:pPr>
      <w:r w:rsidRPr="008762D1">
        <w:rPr>
          <w:rFonts w:ascii="ITC Avant Garde" w:hAnsi="ITC Avant Garde" w:cs="Arial"/>
          <w:color w:val="000000" w:themeColor="text1"/>
        </w:rPr>
        <w:t>El Concesionario Solicitante enviará acuse de recibo en 2 (dos) horas y en casos excepcionales solicitará ajustes en la ventana de mantenimiento.</w:t>
      </w:r>
    </w:p>
    <w:p w14:paraId="441E4A9E" w14:textId="77777777" w:rsidR="000F0B9F" w:rsidRPr="008762D1" w:rsidRDefault="00526FE9" w:rsidP="000F0B9F">
      <w:pPr>
        <w:numPr>
          <w:ilvl w:val="0"/>
          <w:numId w:val="91"/>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De ser necesario, el Concesionario Solicitante dará seguimiento al mantenimiento programado mediante una conferencia con el Centro de Atención a Operadores.</w:t>
      </w:r>
    </w:p>
    <w:p w14:paraId="7133E1D0" w14:textId="77777777" w:rsidR="000F0B9F" w:rsidRPr="008762D1" w:rsidRDefault="00526FE9" w:rsidP="000F0B9F">
      <w:pPr>
        <w:numPr>
          <w:ilvl w:val="0"/>
          <w:numId w:val="91"/>
        </w:numPr>
        <w:autoSpaceDE w:val="0"/>
        <w:autoSpaceDN w:val="0"/>
        <w:adjustRightInd w:val="0"/>
        <w:spacing w:before="240" w:after="0" w:line="240" w:lineRule="auto"/>
        <w:ind w:left="709"/>
        <w:contextualSpacing/>
        <w:jc w:val="both"/>
        <w:rPr>
          <w:rFonts w:ascii="ITC Avant Garde" w:hAnsi="ITC Avant Garde" w:cs="Arial"/>
          <w:color w:val="000000" w:themeColor="text1"/>
          <w:sz w:val="24"/>
          <w:lang w:val="es-ES"/>
        </w:rPr>
      </w:pPr>
      <w:r w:rsidRPr="008762D1">
        <w:rPr>
          <w:rFonts w:ascii="ITC Avant Garde" w:hAnsi="ITC Avant Garde" w:cs="Arial"/>
          <w:color w:val="000000" w:themeColor="text1"/>
        </w:rPr>
        <w:t>El mantenimiento programado, concluirá con la validación de los servicios por parte de Telmex y del Concesionario Solicitante.</w:t>
      </w:r>
    </w:p>
    <w:p w14:paraId="153A06EC" w14:textId="77777777" w:rsidR="000F0B9F" w:rsidRPr="008762D1" w:rsidRDefault="00526FE9" w:rsidP="000F0B9F">
      <w:pPr>
        <w:autoSpaceDE w:val="0"/>
        <w:autoSpaceDN w:val="0"/>
        <w:adjustRightInd w:val="0"/>
        <w:spacing w:before="240"/>
        <w:jc w:val="both"/>
        <w:rPr>
          <w:rFonts w:ascii="ITC Avant Garde" w:hAnsi="ITC Avant Garde" w:cs="Arial"/>
          <w:color w:val="000000" w:themeColor="text1"/>
        </w:rPr>
      </w:pPr>
      <w:r w:rsidRPr="008762D1">
        <w:rPr>
          <w:rFonts w:ascii="ITC Avant Garde" w:hAnsi="ITC Avant Garde" w:cs="Arial"/>
          <w:color w:val="000000" w:themeColor="text1"/>
        </w:rPr>
        <w:t>2.11 Aclaración de Incidencias y reclamaciones por fallas.</w:t>
      </w:r>
    </w:p>
    <w:p w14:paraId="17C05B4B" w14:textId="77777777" w:rsidR="000F0B9F" w:rsidRPr="008762D1" w:rsidRDefault="00526FE9" w:rsidP="000F0B9F">
      <w:pPr>
        <w:numPr>
          <w:ilvl w:val="0"/>
          <w:numId w:val="92"/>
        </w:numPr>
        <w:autoSpaceDE w:val="0"/>
        <w:autoSpaceDN w:val="0"/>
        <w:adjustRightInd w:val="0"/>
        <w:spacing w:before="240" w:after="0" w:line="240" w:lineRule="auto"/>
        <w:ind w:left="709"/>
        <w:contextualSpacing/>
        <w:jc w:val="both"/>
        <w:rPr>
          <w:rFonts w:ascii="ITC Avant Garde" w:hAnsi="ITC Avant Garde" w:cs="Arial"/>
          <w:color w:val="000000" w:themeColor="text1"/>
          <w:lang w:val="es-ES"/>
        </w:rPr>
      </w:pPr>
      <w:r w:rsidRPr="008762D1">
        <w:rPr>
          <w:rFonts w:ascii="ITC Avant Garde" w:hAnsi="ITC Avant Garde" w:cs="Arial"/>
          <w:color w:val="000000" w:themeColor="text1"/>
        </w:rPr>
        <w:t>El Concesionario Solicitante en cualquier momento podrá solicitar aclaraciones o informes de avance de la solución de fallas resueltas, mediante correo electrónico a su Ejecutivo de cuenta o vía el Sistema Electrónico de Gestión.</w:t>
      </w:r>
    </w:p>
    <w:p w14:paraId="114C0FE1" w14:textId="77777777" w:rsidR="000F0B9F" w:rsidRPr="008762D1" w:rsidRDefault="00526FE9" w:rsidP="000F0B9F">
      <w:pPr>
        <w:numPr>
          <w:ilvl w:val="0"/>
          <w:numId w:val="92"/>
        </w:numPr>
        <w:autoSpaceDE w:val="0"/>
        <w:autoSpaceDN w:val="0"/>
        <w:adjustRightInd w:val="0"/>
        <w:spacing w:before="240" w:after="0" w:line="240" w:lineRule="auto"/>
        <w:ind w:left="709"/>
        <w:contextualSpacing/>
        <w:jc w:val="both"/>
        <w:rPr>
          <w:rFonts w:ascii="ITC Avant Garde" w:hAnsi="ITC Avant Garde" w:cs="Arial"/>
          <w:color w:val="000000" w:themeColor="text1"/>
          <w:lang w:val="es-ES"/>
        </w:rPr>
      </w:pPr>
      <w:r w:rsidRPr="008762D1">
        <w:rPr>
          <w:rFonts w:ascii="ITC Avant Garde" w:hAnsi="ITC Avant Garde" w:cs="Arial"/>
          <w:color w:val="000000" w:themeColor="text1"/>
        </w:rPr>
        <w:t>Telmex proporcionará la información necesaria de ser posible, esto vía correo electrónico y mediante el Sistema Electrónico de Gestión.</w:t>
      </w:r>
    </w:p>
    <w:p w14:paraId="4C007141" w14:textId="77777777" w:rsidR="000F0B9F" w:rsidRPr="008762D1" w:rsidRDefault="00526FE9" w:rsidP="000F0B9F">
      <w:pPr>
        <w:numPr>
          <w:ilvl w:val="0"/>
          <w:numId w:val="92"/>
        </w:numPr>
        <w:autoSpaceDE w:val="0"/>
        <w:autoSpaceDN w:val="0"/>
        <w:adjustRightInd w:val="0"/>
        <w:spacing w:before="240" w:after="0" w:line="240" w:lineRule="auto"/>
        <w:ind w:left="709"/>
        <w:contextualSpacing/>
        <w:rPr>
          <w:rFonts w:ascii="ITC Avant Garde" w:hAnsi="ITC Avant Garde" w:cs="Arial"/>
          <w:color w:val="000000" w:themeColor="text1"/>
        </w:rPr>
      </w:pPr>
      <w:r w:rsidRPr="008762D1">
        <w:rPr>
          <w:rFonts w:ascii="ITC Avant Garde" w:hAnsi="ITC Avant Garde" w:cs="Arial"/>
          <w:color w:val="000000" w:themeColor="text1"/>
        </w:rPr>
        <w:t>Si el Concesionario Solicitante desea alguna otra aclaración o información deberá proceder nuevamente al paso a), de lo contrario se termina el proceso.</w:t>
      </w:r>
    </w:p>
    <w:p w14:paraId="328B97B3" w14:textId="77777777" w:rsidR="000F0B9F" w:rsidRPr="008762D1" w:rsidRDefault="00526FE9" w:rsidP="000F0B9F">
      <w:pPr>
        <w:pStyle w:val="Textosinformato"/>
        <w:spacing w:before="240"/>
        <w:jc w:val="both"/>
        <w:rPr>
          <w:rFonts w:ascii="ITC Avant Garde" w:hAnsi="ITC Avant Garde" w:cs="Arial"/>
          <w:color w:val="000000" w:themeColor="text1"/>
          <w:sz w:val="22"/>
          <w:szCs w:val="22"/>
        </w:rPr>
      </w:pPr>
      <w:r w:rsidRPr="008762D1">
        <w:rPr>
          <w:rFonts w:ascii="ITC Avant Garde" w:hAnsi="ITC Avant Garde" w:cs="Arial"/>
          <w:color w:val="000000" w:themeColor="text1"/>
          <w:sz w:val="22"/>
          <w:szCs w:val="22"/>
        </w:rPr>
        <w:t xml:space="preserve">El presente Anexo “G” se firma por triplicado, por los representantes debidamente facultados de las partes, en la Ciudad de México, el ____ de __________ </w:t>
      </w:r>
      <w:proofErr w:type="spellStart"/>
      <w:r w:rsidRPr="008762D1">
        <w:rPr>
          <w:rFonts w:ascii="ITC Avant Garde" w:hAnsi="ITC Avant Garde" w:cs="Arial"/>
          <w:color w:val="000000" w:themeColor="text1"/>
          <w:sz w:val="22"/>
          <w:szCs w:val="22"/>
        </w:rPr>
        <w:t>de</w:t>
      </w:r>
      <w:proofErr w:type="spellEnd"/>
      <w:r w:rsidRPr="008762D1">
        <w:rPr>
          <w:rFonts w:ascii="ITC Avant Garde" w:hAnsi="ITC Avant Garde" w:cs="Arial"/>
          <w:color w:val="000000" w:themeColor="text1"/>
          <w:sz w:val="22"/>
          <w:szCs w:val="22"/>
        </w:rPr>
        <w:t xml:space="preserve"> 20__</w:t>
      </w:r>
      <w:proofErr w:type="gramStart"/>
      <w:r w:rsidRPr="008762D1">
        <w:rPr>
          <w:rFonts w:ascii="ITC Avant Garde" w:hAnsi="ITC Avant Garde" w:cs="Arial"/>
          <w:color w:val="000000" w:themeColor="text1"/>
          <w:sz w:val="22"/>
          <w:szCs w:val="22"/>
        </w:rPr>
        <w:t>_ .</w:t>
      </w:r>
      <w:proofErr w:type="gramEnd"/>
      <w:r w:rsidRPr="008762D1">
        <w:rPr>
          <w:rFonts w:ascii="ITC Avant Garde" w:hAnsi="ITC Avant Garde" w:cs="Arial"/>
          <w:color w:val="000000" w:themeColor="text1"/>
          <w:sz w:val="22"/>
          <w:szCs w:val="22"/>
        </w:rPr>
        <w:t xml:space="preserve"> </w:t>
      </w:r>
    </w:p>
    <w:p w14:paraId="1B1837AA" w14:textId="64ABEC0D" w:rsidR="00526FE9" w:rsidRPr="008762D1" w:rsidRDefault="00526FE9" w:rsidP="000F0B9F">
      <w:pPr>
        <w:pStyle w:val="Textosinformato"/>
        <w:spacing w:before="240"/>
        <w:jc w:val="both"/>
        <w:rPr>
          <w:rFonts w:ascii="ITC Avant Garde" w:hAnsi="ITC Avant Garde" w:cs="Arial"/>
          <w:color w:val="000000" w:themeColor="text1"/>
          <w:sz w:val="24"/>
          <w:szCs w:val="24"/>
          <w:lang w:val="es-ES"/>
        </w:rPr>
      </w:pPr>
    </w:p>
    <w:tbl>
      <w:tblPr>
        <w:tblStyle w:val="Cuadrculadetablaclara"/>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Tabla de firmas"/>
      </w:tblPr>
      <w:tblGrid>
        <w:gridCol w:w="4752"/>
        <w:gridCol w:w="4608"/>
      </w:tblGrid>
      <w:tr w:rsidR="008762D1" w:rsidRPr="008762D1" w14:paraId="069BB4D3" w14:textId="77777777" w:rsidTr="000703A0">
        <w:trPr>
          <w:tblHeader/>
          <w:jc w:val="center"/>
        </w:trPr>
        <w:tc>
          <w:tcPr>
            <w:tcW w:w="4752" w:type="dxa"/>
          </w:tcPr>
          <w:p w14:paraId="0B1C471C" w14:textId="77777777" w:rsidR="00526FE9"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TELÉFONOS DE MÉXICO</w:t>
            </w:r>
          </w:p>
          <w:p w14:paraId="4034A3DA" w14:textId="77777777" w:rsidR="000F0B9F"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 S.A.B DE C.V.</w:t>
            </w:r>
          </w:p>
          <w:p w14:paraId="6D550901" w14:textId="304773DD" w:rsidR="00526FE9"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LIC. ALEJANDRO COCA SÁNCHEZ</w:t>
            </w:r>
          </w:p>
          <w:p w14:paraId="72476E1C" w14:textId="77777777" w:rsidR="00526FE9"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c>
          <w:tcPr>
            <w:tcW w:w="4608" w:type="dxa"/>
          </w:tcPr>
          <w:p w14:paraId="2070C0B1" w14:textId="77777777" w:rsidR="000F0B9F"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__________ ]</w:t>
            </w:r>
          </w:p>
          <w:p w14:paraId="010DB9C0" w14:textId="1415B941" w:rsidR="00526FE9"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Apoderado Legal</w:t>
            </w:r>
          </w:p>
        </w:tc>
      </w:tr>
      <w:tr w:rsidR="00526FE9" w:rsidRPr="008762D1" w14:paraId="4D9B460D" w14:textId="77777777" w:rsidTr="000703A0">
        <w:trPr>
          <w:tblHeader/>
          <w:jc w:val="center"/>
        </w:trPr>
        <w:tc>
          <w:tcPr>
            <w:tcW w:w="4752" w:type="dxa"/>
          </w:tcPr>
          <w:p w14:paraId="2363ED6C" w14:textId="6FB14B6B" w:rsidR="000F0B9F" w:rsidRPr="008762D1" w:rsidRDefault="00F67F46"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Testigo</w:t>
            </w:r>
          </w:p>
          <w:p w14:paraId="6EBE96AF" w14:textId="77777777" w:rsidR="000F0B9F"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__________________________________</w:t>
            </w:r>
          </w:p>
          <w:p w14:paraId="2A876D4D" w14:textId="296DA779" w:rsidR="00526FE9"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Por: Teléfonos de México, S.A.B. de C.V.</w:t>
            </w:r>
          </w:p>
        </w:tc>
        <w:tc>
          <w:tcPr>
            <w:tcW w:w="4608" w:type="dxa"/>
          </w:tcPr>
          <w:p w14:paraId="4B97FD82" w14:textId="7FA73B1B" w:rsidR="000F0B9F" w:rsidRPr="008762D1" w:rsidRDefault="00F67F46"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Testigo</w:t>
            </w:r>
          </w:p>
          <w:p w14:paraId="0F02395D" w14:textId="77777777" w:rsidR="00526FE9"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_________________________________</w:t>
            </w:r>
          </w:p>
          <w:p w14:paraId="635F4AD9" w14:textId="77777777" w:rsidR="00526FE9"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 xml:space="preserve"> </w:t>
            </w:r>
          </w:p>
          <w:p w14:paraId="59C74B29" w14:textId="77777777" w:rsidR="00526FE9" w:rsidRPr="008762D1" w:rsidRDefault="00526FE9" w:rsidP="000703A0">
            <w:pPr>
              <w:spacing w:before="240"/>
              <w:jc w:val="center"/>
              <w:rPr>
                <w:rFonts w:ascii="ITC Avant Garde" w:hAnsi="ITC Avant Garde" w:cs="Arial"/>
                <w:b/>
                <w:color w:val="000000" w:themeColor="text1"/>
                <w:lang w:val="es-ES_tradnl"/>
              </w:rPr>
            </w:pPr>
            <w:r w:rsidRPr="008762D1">
              <w:rPr>
                <w:rFonts w:ascii="ITC Avant Garde" w:hAnsi="ITC Avant Garde" w:cs="Arial"/>
                <w:b/>
                <w:color w:val="000000" w:themeColor="text1"/>
                <w:lang w:val="es-ES_tradnl"/>
              </w:rPr>
              <w:t>Por [ __________ ]</w:t>
            </w:r>
          </w:p>
        </w:tc>
      </w:tr>
    </w:tbl>
    <w:p w14:paraId="58DB389D" w14:textId="77777777" w:rsidR="00526FE9" w:rsidRPr="008762D1" w:rsidRDefault="00526FE9" w:rsidP="000F0B9F">
      <w:pPr>
        <w:autoSpaceDE w:val="0"/>
        <w:autoSpaceDN w:val="0"/>
        <w:adjustRightInd w:val="0"/>
        <w:spacing w:before="240" w:after="200" w:line="276" w:lineRule="auto"/>
        <w:contextualSpacing/>
        <w:rPr>
          <w:rFonts w:ascii="ITC Avant Garde" w:hAnsi="ITC Avant Garde" w:cs="Arial"/>
          <w:color w:val="000000" w:themeColor="text1"/>
        </w:rPr>
      </w:pPr>
    </w:p>
    <w:p w14:paraId="6D17BB58" w14:textId="77777777" w:rsidR="00526FE9" w:rsidRPr="008762D1" w:rsidRDefault="00526FE9" w:rsidP="000F0B9F">
      <w:pPr>
        <w:autoSpaceDE w:val="0"/>
        <w:autoSpaceDN w:val="0"/>
        <w:adjustRightInd w:val="0"/>
        <w:spacing w:before="240"/>
        <w:jc w:val="center"/>
        <w:rPr>
          <w:rFonts w:ascii="ITC Avant Garde" w:hAnsi="ITC Avant Garde" w:cs="Arial"/>
          <w:color w:val="000000" w:themeColor="text1"/>
          <w:lang w:val="es-ES" w:eastAsia="es-ES"/>
        </w:rPr>
      </w:pPr>
      <w:r w:rsidRPr="008762D1">
        <w:rPr>
          <w:rFonts w:ascii="ITC Avant Garde" w:hAnsi="ITC Avant Garde" w:cs="Arial"/>
          <w:color w:val="000000" w:themeColor="text1"/>
        </w:rPr>
        <w:t>.</w:t>
      </w:r>
    </w:p>
    <w:p w14:paraId="427B16C7" w14:textId="77777777" w:rsidR="00526FE9" w:rsidRPr="008762D1" w:rsidRDefault="00526FE9" w:rsidP="000F0B9F">
      <w:pPr>
        <w:spacing w:before="240"/>
        <w:rPr>
          <w:rFonts w:ascii="ITC Avant Garde" w:hAnsi="ITC Avant Garde"/>
          <w:color w:val="000000" w:themeColor="text1"/>
        </w:rPr>
        <w:sectPr w:rsidR="00526FE9" w:rsidRPr="008762D1">
          <w:pgSz w:w="12240" w:h="15840"/>
          <w:pgMar w:top="1843" w:right="1183" w:bottom="567" w:left="1701" w:header="720" w:footer="720" w:gutter="0"/>
          <w:pgNumType w:start="1"/>
          <w:cols w:space="720"/>
        </w:sectPr>
      </w:pPr>
    </w:p>
    <w:p w14:paraId="374561DC" w14:textId="77777777" w:rsidR="000F0B9F" w:rsidRPr="008762D1" w:rsidRDefault="00526FE9" w:rsidP="002C0F86">
      <w:pPr>
        <w:pStyle w:val="Ttulo3"/>
        <w:spacing w:before="240"/>
        <w:jc w:val="center"/>
        <w:rPr>
          <w:rFonts w:ascii="ITC Avant Garde" w:hAnsi="ITC Avant Garde" w:cs="Arial"/>
          <w:color w:val="000000" w:themeColor="text1"/>
          <w:szCs w:val="22"/>
        </w:rPr>
      </w:pPr>
      <w:r w:rsidRPr="008762D1">
        <w:rPr>
          <w:rFonts w:ascii="ITC Avant Garde" w:hAnsi="ITC Avant Garde"/>
          <w:color w:val="000000" w:themeColor="text1"/>
        </w:rPr>
        <w:lastRenderedPageBreak/>
        <w:t>SUBANEXO “G-1”</w:t>
      </w:r>
    </w:p>
    <w:p w14:paraId="466C4F2F" w14:textId="77777777" w:rsidR="000F0B9F" w:rsidRPr="008762D1" w:rsidRDefault="00526FE9" w:rsidP="002C0F86">
      <w:pPr>
        <w:pStyle w:val="Textoindependiente"/>
        <w:spacing w:before="240"/>
        <w:jc w:val="center"/>
        <w:rPr>
          <w:rFonts w:ascii="ITC Avant Garde" w:hAnsi="ITC Avant Garde"/>
          <w:b/>
          <w:color w:val="000000" w:themeColor="text1"/>
        </w:rPr>
      </w:pPr>
      <w:r w:rsidRPr="008762D1">
        <w:rPr>
          <w:rFonts w:ascii="ITC Avant Garde" w:hAnsi="ITC Avant Garde"/>
          <w:b/>
          <w:color w:val="000000" w:themeColor="text1"/>
        </w:rPr>
        <w:t>PROCEDIMIENTO DE ENTREGA / RECEPCIÓN</w:t>
      </w:r>
    </w:p>
    <w:p w14:paraId="1548D895" w14:textId="77777777" w:rsidR="000F0B9F" w:rsidRPr="008762D1" w:rsidRDefault="00526FE9" w:rsidP="002C0F86">
      <w:pPr>
        <w:spacing w:before="240"/>
        <w:jc w:val="both"/>
        <w:rPr>
          <w:rFonts w:ascii="ITC Avant Garde" w:hAnsi="ITC Avant Garde"/>
          <w:color w:val="000000" w:themeColor="text1"/>
        </w:rPr>
      </w:pPr>
      <w:r w:rsidRPr="008762D1">
        <w:rPr>
          <w:rFonts w:ascii="ITC Avant Garde" w:hAnsi="ITC Avant Garde"/>
          <w:color w:val="000000" w:themeColor="text1"/>
        </w:rPr>
        <w:t>Telmex notificará vía correo electrónico o bien, mediante el sistema informático una vez que entre en operación (llamado Sistema Electrónico de Gestión), al Concesionario Solicitante cuando un servicio esté listo para ser entregado, con la finalidad de que ambas partes acuerden la fecha y hora de entrega para realizar las pruebas correspondientes, en el entendido de que las pruebas deberán realizarse dentro de los dos (2) días hábiles siguientes a la notificación antes citada.</w:t>
      </w:r>
    </w:p>
    <w:p w14:paraId="5179D8FF" w14:textId="77777777" w:rsidR="000F0B9F" w:rsidRPr="008762D1" w:rsidRDefault="00526FE9" w:rsidP="002C0F86">
      <w:pPr>
        <w:pStyle w:val="Sangradetextonormal"/>
        <w:numPr>
          <w:ilvl w:val="0"/>
          <w:numId w:val="93"/>
        </w:numPr>
        <w:spacing w:before="240" w:after="0" w:line="240" w:lineRule="auto"/>
        <w:ind w:left="426" w:hanging="426"/>
        <w:jc w:val="both"/>
        <w:rPr>
          <w:rFonts w:ascii="ITC Avant Garde" w:hAnsi="ITC Avant Garde"/>
          <w:color w:val="000000" w:themeColor="text1"/>
          <w:lang w:val="es-ES_tradnl"/>
        </w:rPr>
      </w:pPr>
      <w:r w:rsidRPr="008762D1">
        <w:rPr>
          <w:rFonts w:ascii="ITC Avant Garde" w:hAnsi="ITC Avant Garde"/>
          <w:color w:val="000000" w:themeColor="text1"/>
          <w:lang w:val="es-ES_tradnl"/>
        </w:rPr>
        <w:t xml:space="preserve">Una vez que Telmex notifique al Concesionario Solicitante que el servicio se encuentra terminado, instalado y listo para realizar las pruebas se detendrá el cómputo del plazo de entrega. Las partes tendrán un plazo de dos (2) días hábiles para realizar las pruebas de transmisión y concluir la entrega del servicio. En caso de que dicha prueba no sea realizable por causas imputables al Concesionario Solicitante y se venza este plazo, Telmex iniciará la facturación correspondiente y se </w:t>
      </w:r>
      <w:proofErr w:type="spellStart"/>
      <w:r w:rsidRPr="008762D1">
        <w:rPr>
          <w:rFonts w:ascii="ITC Avant Garde" w:hAnsi="ITC Avant Garde"/>
          <w:color w:val="000000" w:themeColor="text1"/>
          <w:lang w:val="es-ES_tradnl"/>
        </w:rPr>
        <w:t>reagendará</w:t>
      </w:r>
      <w:proofErr w:type="spellEnd"/>
      <w:r w:rsidRPr="008762D1">
        <w:rPr>
          <w:rFonts w:ascii="ITC Avant Garde" w:hAnsi="ITC Avant Garde"/>
          <w:color w:val="000000" w:themeColor="text1"/>
          <w:lang w:val="es-ES_tradnl"/>
        </w:rPr>
        <w:t xml:space="preserve"> la entrega del servicio cuando el Concesionario Solicitante notifique que se encuentra listo para recibirlo.</w:t>
      </w:r>
    </w:p>
    <w:p w14:paraId="249C141A" w14:textId="77777777" w:rsidR="000F0B9F" w:rsidRPr="008762D1" w:rsidRDefault="00526FE9" w:rsidP="002C0F86">
      <w:pPr>
        <w:pStyle w:val="Textoindependiente3"/>
        <w:numPr>
          <w:ilvl w:val="0"/>
          <w:numId w:val="93"/>
        </w:numPr>
        <w:autoSpaceDN w:val="0"/>
        <w:spacing w:before="240" w:after="0" w:line="240" w:lineRule="auto"/>
        <w:jc w:val="both"/>
        <w:rPr>
          <w:rFonts w:ascii="ITC Avant Garde" w:hAnsi="ITC Avant Garde"/>
          <w:color w:val="000000" w:themeColor="text1"/>
          <w:sz w:val="22"/>
          <w:lang w:val="es-ES"/>
        </w:rPr>
      </w:pPr>
      <w:r w:rsidRPr="008762D1">
        <w:rPr>
          <w:rFonts w:ascii="ITC Avant Garde" w:hAnsi="ITC Avant Garde"/>
          <w:b/>
          <w:color w:val="000000" w:themeColor="text1"/>
          <w:sz w:val="22"/>
        </w:rPr>
        <w:t>Si dentro del periodo de pruebas de dos (2) días el Concesionario Solicitante observa que el servicio presenta fallas o problemas, lo notificará al Área de Suministro de Telmex correspondiente, mediante correo electrónico o bien una conferencia telefónica, organizada por el Concesionario Solicitante con el responsable local del Concesionario Solicitante, indicando la causa exacta que impide la aceptación del servicio para su atención y solución.</w:t>
      </w:r>
    </w:p>
    <w:p w14:paraId="4C3F5998" w14:textId="77777777" w:rsidR="000F0B9F" w:rsidRPr="008762D1" w:rsidRDefault="00526FE9" w:rsidP="002C0F86">
      <w:pPr>
        <w:pStyle w:val="Textoindependiente2"/>
        <w:numPr>
          <w:ilvl w:val="0"/>
          <w:numId w:val="93"/>
        </w:numPr>
        <w:spacing w:before="240" w:after="0" w:line="240" w:lineRule="auto"/>
        <w:jc w:val="both"/>
        <w:rPr>
          <w:rFonts w:ascii="ITC Avant Garde" w:hAnsi="ITC Avant Garde"/>
          <w:color w:val="000000" w:themeColor="text1"/>
          <w:sz w:val="22"/>
        </w:rPr>
      </w:pPr>
      <w:r w:rsidRPr="008762D1">
        <w:rPr>
          <w:rFonts w:ascii="ITC Avant Garde" w:hAnsi="ITC Avant Garde"/>
          <w:color w:val="000000" w:themeColor="text1"/>
          <w:sz w:val="22"/>
        </w:rPr>
        <w:t xml:space="preserve">Si el Concesionario Solicitante reportó falla en el servicio y no se encuentra problema en el mismo, el área Operativa de Telmex deberá de </w:t>
      </w:r>
      <w:proofErr w:type="spellStart"/>
      <w:r w:rsidRPr="008762D1">
        <w:rPr>
          <w:rFonts w:ascii="ITC Avant Garde" w:hAnsi="ITC Avant Garde"/>
          <w:color w:val="000000" w:themeColor="text1"/>
          <w:sz w:val="22"/>
        </w:rPr>
        <w:t>reentregar</w:t>
      </w:r>
      <w:proofErr w:type="spellEnd"/>
      <w:r w:rsidRPr="008762D1">
        <w:rPr>
          <w:rFonts w:ascii="ITC Avant Garde" w:hAnsi="ITC Avant Garde"/>
          <w:color w:val="000000" w:themeColor="text1"/>
          <w:sz w:val="22"/>
        </w:rPr>
        <w:t xml:space="preserve"> el servicio a Concesionario Solicitante.</w:t>
      </w:r>
    </w:p>
    <w:p w14:paraId="4D214F0C" w14:textId="77777777" w:rsidR="000F0B9F" w:rsidRPr="008762D1" w:rsidRDefault="00526FE9" w:rsidP="002C0F86">
      <w:pPr>
        <w:pStyle w:val="Textoindependiente2"/>
        <w:numPr>
          <w:ilvl w:val="0"/>
          <w:numId w:val="93"/>
        </w:numPr>
        <w:spacing w:before="240" w:after="0" w:line="240" w:lineRule="auto"/>
        <w:jc w:val="both"/>
        <w:rPr>
          <w:rFonts w:ascii="ITC Avant Garde" w:hAnsi="ITC Avant Garde"/>
          <w:color w:val="000000" w:themeColor="text1"/>
          <w:sz w:val="22"/>
        </w:rPr>
      </w:pPr>
      <w:r w:rsidRPr="008762D1">
        <w:rPr>
          <w:rFonts w:ascii="ITC Avant Garde" w:hAnsi="ITC Avant Garde"/>
          <w:color w:val="000000" w:themeColor="text1"/>
          <w:sz w:val="22"/>
        </w:rPr>
        <w:t>A partir de la aceptación de los servicios, las actividades de mantenimiento serán coordinadas mediante la interacción del Concesionario Solicitante y el Área de Mantenimiento de Telmex.</w:t>
      </w:r>
    </w:p>
    <w:p w14:paraId="42B3C71E" w14:textId="77777777" w:rsidR="000F0B9F" w:rsidRPr="008762D1" w:rsidRDefault="00526FE9" w:rsidP="002C0F86">
      <w:pPr>
        <w:pStyle w:val="Textoindependiente2"/>
        <w:spacing w:before="240" w:line="240" w:lineRule="auto"/>
        <w:jc w:val="both"/>
        <w:rPr>
          <w:rFonts w:ascii="ITC Avant Garde" w:hAnsi="ITC Avant Garde"/>
          <w:color w:val="000000" w:themeColor="text1"/>
          <w:sz w:val="22"/>
        </w:rPr>
      </w:pPr>
      <w:r w:rsidRPr="008762D1">
        <w:rPr>
          <w:rFonts w:ascii="ITC Avant Garde" w:hAnsi="ITC Avant Garde"/>
          <w:color w:val="000000" w:themeColor="text1"/>
          <w:sz w:val="22"/>
        </w:rPr>
        <w:t xml:space="preserve">En caso del reporte de una falla, la retroalimentación del avance y tiempos probables de solución de los servicios, podrá darse directamente entre los Responsables del Concesionario Solicitante y los responsables del Área de Mantenimiento de Telmex, o bien, mediante el sistema informático una vez que entre en operación ( Sistema Electrónico de Gestión). </w:t>
      </w:r>
    </w:p>
    <w:p w14:paraId="1656CE40" w14:textId="209D041E" w:rsidR="00526FE9" w:rsidRPr="008762D1" w:rsidRDefault="00526FE9" w:rsidP="002C0F86">
      <w:pPr>
        <w:pStyle w:val="Textoindependiente"/>
        <w:spacing w:before="240"/>
        <w:rPr>
          <w:rFonts w:ascii="ITC Avant Garde" w:hAnsi="ITC Avant Garde"/>
          <w:b/>
          <w:color w:val="000000" w:themeColor="text1"/>
        </w:rPr>
      </w:pPr>
      <w:r w:rsidRPr="008762D1">
        <w:rPr>
          <w:rFonts w:ascii="ITC Avant Garde" w:hAnsi="ITC Avant Garde"/>
          <w:b/>
          <w:color w:val="000000" w:themeColor="text1"/>
        </w:rPr>
        <w:t>APÉNDICE A-LISTA DE CONTACTOS Y ESCALACION CONCESIONARIO SOLICITANTE</w:t>
      </w:r>
    </w:p>
    <w:p w14:paraId="1B332825" w14:textId="77777777" w:rsidR="00526FE9" w:rsidRPr="008762D1" w:rsidRDefault="00526FE9" w:rsidP="002C0F86">
      <w:pPr>
        <w:pStyle w:val="Textoindependiente3"/>
        <w:spacing w:before="240"/>
        <w:rPr>
          <w:rFonts w:ascii="ITC Avant Garde" w:hAnsi="ITC Avant Garde"/>
          <w:b/>
          <w:color w:val="000000" w:themeColor="text1"/>
          <w:sz w:val="22"/>
        </w:rPr>
      </w:pPr>
    </w:p>
    <w:tbl>
      <w:tblPr>
        <w:tblStyle w:val="Cuadrculadetablaclara"/>
        <w:tblW w:w="0" w:type="auto"/>
        <w:jc w:val="center"/>
        <w:tblLayout w:type="fixed"/>
        <w:tblLook w:val="04A0" w:firstRow="1" w:lastRow="0" w:firstColumn="1" w:lastColumn="0" w:noHBand="0" w:noVBand="1"/>
        <w:tblCaption w:val="Tabla"/>
        <w:tblDescription w:val="APÉNDICE A-LISTA DE CONTACTOS Y ESCALACION CONCESIONARIO SOLICITANTE"/>
      </w:tblPr>
      <w:tblGrid>
        <w:gridCol w:w="2538"/>
        <w:gridCol w:w="4050"/>
        <w:gridCol w:w="2817"/>
      </w:tblGrid>
      <w:tr w:rsidR="008762D1" w:rsidRPr="008762D1" w14:paraId="5BB02614" w14:textId="77777777" w:rsidTr="000703A0">
        <w:trPr>
          <w:tblHeader/>
          <w:jc w:val="center"/>
        </w:trPr>
        <w:tc>
          <w:tcPr>
            <w:tcW w:w="2538" w:type="dxa"/>
            <w:hideMark/>
          </w:tcPr>
          <w:p w14:paraId="1497E471"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lastRenderedPageBreak/>
              <w:t>ESCALACIÓN</w:t>
            </w:r>
          </w:p>
        </w:tc>
        <w:tc>
          <w:tcPr>
            <w:tcW w:w="4050" w:type="dxa"/>
            <w:hideMark/>
          </w:tcPr>
          <w:p w14:paraId="22238417" w14:textId="77777777" w:rsidR="00526FE9" w:rsidRPr="008762D1" w:rsidRDefault="00526FE9" w:rsidP="002C0F86">
            <w:pPr>
              <w:pStyle w:val="Textoindependiente3"/>
              <w:rPr>
                <w:rFonts w:ascii="ITC Avant Garde" w:hAnsi="ITC Avant Garde"/>
                <w:b/>
                <w:color w:val="000000" w:themeColor="text1"/>
                <w:sz w:val="22"/>
              </w:rPr>
            </w:pPr>
            <w:r w:rsidRPr="008762D1">
              <w:rPr>
                <w:rFonts w:ascii="ITC Avant Garde" w:hAnsi="ITC Avant Garde"/>
                <w:color w:val="000000" w:themeColor="text1"/>
                <w:sz w:val="22"/>
              </w:rPr>
              <w:t>Ing. Operador de Turno</w:t>
            </w:r>
          </w:p>
        </w:tc>
        <w:tc>
          <w:tcPr>
            <w:tcW w:w="2817" w:type="dxa"/>
            <w:hideMark/>
          </w:tcPr>
          <w:p w14:paraId="478F334F" w14:textId="77777777" w:rsidR="00526FE9" w:rsidRPr="008762D1" w:rsidRDefault="00526FE9" w:rsidP="002C0F86">
            <w:pPr>
              <w:pStyle w:val="Textoindependiente3"/>
              <w:rPr>
                <w:rFonts w:ascii="ITC Avant Garde" w:hAnsi="ITC Avant Garde"/>
                <w:b/>
                <w:color w:val="000000" w:themeColor="text1"/>
                <w:sz w:val="22"/>
              </w:rPr>
            </w:pPr>
            <w:r w:rsidRPr="008762D1">
              <w:rPr>
                <w:rFonts w:ascii="ITC Avant Garde" w:hAnsi="ITC Avant Garde"/>
                <w:color w:val="000000" w:themeColor="text1"/>
                <w:sz w:val="22"/>
              </w:rPr>
              <w:t>TELÉFONOS</w:t>
            </w:r>
          </w:p>
        </w:tc>
      </w:tr>
      <w:tr w:rsidR="008762D1" w:rsidRPr="008762D1" w14:paraId="0D01D291" w14:textId="77777777" w:rsidTr="000703A0">
        <w:trPr>
          <w:jc w:val="center"/>
        </w:trPr>
        <w:tc>
          <w:tcPr>
            <w:tcW w:w="2538" w:type="dxa"/>
            <w:hideMark/>
          </w:tcPr>
          <w:p w14:paraId="0FB1B8F1" w14:textId="77777777" w:rsidR="00526FE9" w:rsidRPr="008762D1" w:rsidRDefault="00526FE9" w:rsidP="002C0F86">
            <w:pPr>
              <w:pStyle w:val="Textoindependiente3"/>
              <w:rPr>
                <w:rFonts w:ascii="ITC Avant Garde" w:hAnsi="ITC Avant Garde"/>
                <w:b/>
                <w:color w:val="000000" w:themeColor="text1"/>
                <w:sz w:val="22"/>
              </w:rPr>
            </w:pPr>
            <w:r w:rsidRPr="008762D1">
              <w:rPr>
                <w:rFonts w:ascii="ITC Avant Garde" w:hAnsi="ITC Avant Garde"/>
                <w:color w:val="000000" w:themeColor="text1"/>
                <w:sz w:val="22"/>
              </w:rPr>
              <w:t xml:space="preserve">1er </w:t>
            </w:r>
            <w:proofErr w:type="spellStart"/>
            <w:r w:rsidRPr="008762D1">
              <w:rPr>
                <w:rFonts w:ascii="ITC Avant Garde" w:hAnsi="ITC Avant Garde"/>
                <w:color w:val="000000" w:themeColor="text1"/>
                <w:sz w:val="22"/>
              </w:rPr>
              <w:t>escalación</w:t>
            </w:r>
            <w:proofErr w:type="spellEnd"/>
            <w:r w:rsidRPr="008762D1">
              <w:rPr>
                <w:rFonts w:ascii="ITC Avant Garde" w:hAnsi="ITC Avant Garde"/>
                <w:color w:val="000000" w:themeColor="text1"/>
                <w:sz w:val="22"/>
              </w:rPr>
              <w:t>:</w:t>
            </w:r>
          </w:p>
        </w:tc>
        <w:tc>
          <w:tcPr>
            <w:tcW w:w="4050" w:type="dxa"/>
            <w:hideMark/>
          </w:tcPr>
          <w:p w14:paraId="3010A9B4"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Ing. </w:t>
            </w:r>
          </w:p>
        </w:tc>
        <w:tc>
          <w:tcPr>
            <w:tcW w:w="2817" w:type="dxa"/>
            <w:hideMark/>
          </w:tcPr>
          <w:p w14:paraId="0A4B220E"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Tel. (55) </w:t>
            </w:r>
          </w:p>
          <w:p w14:paraId="7F662762"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Móvil: </w:t>
            </w:r>
          </w:p>
        </w:tc>
      </w:tr>
      <w:tr w:rsidR="008762D1" w:rsidRPr="008762D1" w14:paraId="38D0987E" w14:textId="77777777" w:rsidTr="000703A0">
        <w:trPr>
          <w:jc w:val="center"/>
        </w:trPr>
        <w:tc>
          <w:tcPr>
            <w:tcW w:w="2538" w:type="dxa"/>
            <w:hideMark/>
          </w:tcPr>
          <w:p w14:paraId="19F7B0D0"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2 da </w:t>
            </w:r>
            <w:proofErr w:type="spellStart"/>
            <w:r w:rsidRPr="008762D1">
              <w:rPr>
                <w:rFonts w:ascii="ITC Avant Garde" w:hAnsi="ITC Avant Garde"/>
                <w:color w:val="000000" w:themeColor="text1"/>
                <w:sz w:val="22"/>
              </w:rPr>
              <w:t>escalación</w:t>
            </w:r>
            <w:proofErr w:type="spellEnd"/>
          </w:p>
        </w:tc>
        <w:tc>
          <w:tcPr>
            <w:tcW w:w="4050" w:type="dxa"/>
            <w:hideMark/>
          </w:tcPr>
          <w:p w14:paraId="4E46CE83"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Ing. </w:t>
            </w:r>
          </w:p>
        </w:tc>
        <w:tc>
          <w:tcPr>
            <w:tcW w:w="2817" w:type="dxa"/>
            <w:hideMark/>
          </w:tcPr>
          <w:p w14:paraId="0D6D6537"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Tel. </w:t>
            </w:r>
          </w:p>
        </w:tc>
      </w:tr>
      <w:tr w:rsidR="00526FE9" w:rsidRPr="008762D1" w14:paraId="03961F25" w14:textId="77777777" w:rsidTr="000703A0">
        <w:trPr>
          <w:jc w:val="center"/>
        </w:trPr>
        <w:tc>
          <w:tcPr>
            <w:tcW w:w="2538" w:type="dxa"/>
            <w:hideMark/>
          </w:tcPr>
          <w:p w14:paraId="3576E561"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3 </w:t>
            </w:r>
            <w:proofErr w:type="spellStart"/>
            <w:r w:rsidRPr="008762D1">
              <w:rPr>
                <w:rFonts w:ascii="ITC Avant Garde" w:hAnsi="ITC Avant Garde"/>
                <w:color w:val="000000" w:themeColor="text1"/>
                <w:sz w:val="22"/>
              </w:rPr>
              <w:t>er</w:t>
            </w:r>
            <w:proofErr w:type="spellEnd"/>
            <w:r w:rsidRPr="008762D1">
              <w:rPr>
                <w:rFonts w:ascii="ITC Avant Garde" w:hAnsi="ITC Avant Garde"/>
                <w:color w:val="000000" w:themeColor="text1"/>
                <w:sz w:val="22"/>
              </w:rPr>
              <w:t xml:space="preserve"> </w:t>
            </w:r>
            <w:proofErr w:type="spellStart"/>
            <w:r w:rsidRPr="008762D1">
              <w:rPr>
                <w:rFonts w:ascii="ITC Avant Garde" w:hAnsi="ITC Avant Garde"/>
                <w:color w:val="000000" w:themeColor="text1"/>
                <w:sz w:val="22"/>
              </w:rPr>
              <w:t>escalación</w:t>
            </w:r>
            <w:proofErr w:type="spellEnd"/>
            <w:r w:rsidRPr="008762D1">
              <w:rPr>
                <w:rFonts w:ascii="ITC Avant Garde" w:hAnsi="ITC Avant Garde"/>
                <w:color w:val="000000" w:themeColor="text1"/>
                <w:sz w:val="22"/>
              </w:rPr>
              <w:t xml:space="preserve">  </w:t>
            </w:r>
          </w:p>
        </w:tc>
        <w:tc>
          <w:tcPr>
            <w:tcW w:w="4050" w:type="dxa"/>
            <w:hideMark/>
          </w:tcPr>
          <w:p w14:paraId="2D4A7848"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Ing. </w:t>
            </w:r>
          </w:p>
        </w:tc>
        <w:tc>
          <w:tcPr>
            <w:tcW w:w="2817" w:type="dxa"/>
            <w:hideMark/>
          </w:tcPr>
          <w:p w14:paraId="1CF524EB" w14:textId="77777777" w:rsidR="00526FE9" w:rsidRPr="008762D1" w:rsidRDefault="00526FE9" w:rsidP="002C0F8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Tel. </w:t>
            </w:r>
          </w:p>
        </w:tc>
      </w:tr>
    </w:tbl>
    <w:p w14:paraId="313584C4" w14:textId="77777777" w:rsidR="00526FE9" w:rsidRPr="008762D1" w:rsidRDefault="00526FE9" w:rsidP="002C0F86">
      <w:pPr>
        <w:rPr>
          <w:color w:val="000000" w:themeColor="text1"/>
        </w:rPr>
      </w:pPr>
    </w:p>
    <w:p w14:paraId="6D332120" w14:textId="77777777" w:rsidR="00526FE9" w:rsidRPr="008762D1" w:rsidRDefault="00526FE9" w:rsidP="000F0B9F">
      <w:pPr>
        <w:pStyle w:val="Textoindependiente"/>
        <w:spacing w:before="240"/>
        <w:rPr>
          <w:rFonts w:ascii="ITC Avant Garde" w:hAnsi="ITC Avant Garde"/>
          <w:b/>
          <w:color w:val="000000" w:themeColor="text1"/>
        </w:rPr>
      </w:pPr>
      <w:r w:rsidRPr="008762D1">
        <w:rPr>
          <w:rFonts w:ascii="ITC Avant Garde" w:hAnsi="ITC Avant Garde"/>
          <w:b/>
          <w:color w:val="000000" w:themeColor="text1"/>
        </w:rPr>
        <w:t>APÉNDICE B-LISTA DE CONTACTOS Y ESCALACION TELMEX</w:t>
      </w:r>
    </w:p>
    <w:tbl>
      <w:tblPr>
        <w:tblStyle w:val="Cuadrculadetablaclara"/>
        <w:tblW w:w="0" w:type="auto"/>
        <w:jc w:val="center"/>
        <w:tblLayout w:type="fixed"/>
        <w:tblLook w:val="04A0" w:firstRow="1" w:lastRow="0" w:firstColumn="1" w:lastColumn="0" w:noHBand="0" w:noVBand="1"/>
        <w:tblCaption w:val="Tabla"/>
        <w:tblDescription w:val="APÉNDICE B-LISTA DE CONTACTOS Y ESCALACION TELMEX"/>
      </w:tblPr>
      <w:tblGrid>
        <w:gridCol w:w="2538"/>
        <w:gridCol w:w="4050"/>
        <w:gridCol w:w="2734"/>
      </w:tblGrid>
      <w:tr w:rsidR="008762D1" w:rsidRPr="008762D1" w14:paraId="7F137E43" w14:textId="77777777" w:rsidTr="000703A0">
        <w:trPr>
          <w:tblHeader/>
          <w:jc w:val="center"/>
        </w:trPr>
        <w:tc>
          <w:tcPr>
            <w:tcW w:w="2538" w:type="dxa"/>
            <w:hideMark/>
          </w:tcPr>
          <w:p w14:paraId="2FBD44F9" w14:textId="77777777" w:rsidR="00526FE9" w:rsidRPr="008762D1" w:rsidRDefault="00526FE9" w:rsidP="00F67F4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ESCALACIÓN</w:t>
            </w:r>
          </w:p>
        </w:tc>
        <w:tc>
          <w:tcPr>
            <w:tcW w:w="4050" w:type="dxa"/>
            <w:hideMark/>
          </w:tcPr>
          <w:p w14:paraId="0B0BC473" w14:textId="77777777" w:rsidR="00526FE9" w:rsidRPr="008762D1" w:rsidRDefault="00526FE9" w:rsidP="00F67F46">
            <w:pPr>
              <w:pStyle w:val="Textoindependiente3"/>
              <w:rPr>
                <w:rFonts w:ascii="ITC Avant Garde" w:hAnsi="ITC Avant Garde"/>
                <w:b/>
                <w:color w:val="000000" w:themeColor="text1"/>
                <w:sz w:val="22"/>
              </w:rPr>
            </w:pPr>
            <w:r w:rsidRPr="008762D1">
              <w:rPr>
                <w:rFonts w:ascii="ITC Avant Garde" w:hAnsi="ITC Avant Garde"/>
                <w:color w:val="000000" w:themeColor="text1"/>
                <w:sz w:val="22"/>
              </w:rPr>
              <w:t>Ing. Operador de Turno</w:t>
            </w:r>
          </w:p>
        </w:tc>
        <w:tc>
          <w:tcPr>
            <w:tcW w:w="2734" w:type="dxa"/>
            <w:hideMark/>
          </w:tcPr>
          <w:p w14:paraId="5D7C27E6" w14:textId="77777777" w:rsidR="00526FE9" w:rsidRPr="008762D1" w:rsidRDefault="00526FE9" w:rsidP="00F67F46">
            <w:pPr>
              <w:pStyle w:val="Textoindependiente3"/>
              <w:rPr>
                <w:rFonts w:ascii="ITC Avant Garde" w:hAnsi="ITC Avant Garde"/>
                <w:b/>
                <w:color w:val="000000" w:themeColor="text1"/>
                <w:sz w:val="22"/>
              </w:rPr>
            </w:pPr>
            <w:r w:rsidRPr="008762D1">
              <w:rPr>
                <w:rFonts w:ascii="ITC Avant Garde" w:hAnsi="ITC Avant Garde"/>
                <w:color w:val="000000" w:themeColor="text1"/>
                <w:sz w:val="22"/>
              </w:rPr>
              <w:t>TELÉFONOS</w:t>
            </w:r>
          </w:p>
        </w:tc>
      </w:tr>
      <w:tr w:rsidR="008762D1" w:rsidRPr="008762D1" w14:paraId="0164F246" w14:textId="77777777" w:rsidTr="000703A0">
        <w:trPr>
          <w:jc w:val="center"/>
        </w:trPr>
        <w:tc>
          <w:tcPr>
            <w:tcW w:w="2538" w:type="dxa"/>
            <w:hideMark/>
          </w:tcPr>
          <w:p w14:paraId="29DFDD22" w14:textId="77777777" w:rsidR="00526FE9" w:rsidRPr="008762D1" w:rsidRDefault="00526FE9" w:rsidP="00F67F46">
            <w:pPr>
              <w:pStyle w:val="Textoindependiente3"/>
              <w:rPr>
                <w:rFonts w:ascii="ITC Avant Garde" w:hAnsi="ITC Avant Garde"/>
                <w:b/>
                <w:color w:val="000000" w:themeColor="text1"/>
                <w:sz w:val="22"/>
              </w:rPr>
            </w:pPr>
            <w:r w:rsidRPr="008762D1">
              <w:rPr>
                <w:rFonts w:ascii="ITC Avant Garde" w:hAnsi="ITC Avant Garde"/>
                <w:color w:val="000000" w:themeColor="text1"/>
                <w:sz w:val="22"/>
              </w:rPr>
              <w:t xml:space="preserve">1er. </w:t>
            </w:r>
            <w:proofErr w:type="spellStart"/>
            <w:r w:rsidRPr="008762D1">
              <w:rPr>
                <w:rFonts w:ascii="ITC Avant Garde" w:hAnsi="ITC Avant Garde"/>
                <w:color w:val="000000" w:themeColor="text1"/>
                <w:sz w:val="22"/>
              </w:rPr>
              <w:t>escalación</w:t>
            </w:r>
            <w:proofErr w:type="spellEnd"/>
            <w:r w:rsidRPr="008762D1">
              <w:rPr>
                <w:rFonts w:ascii="ITC Avant Garde" w:hAnsi="ITC Avant Garde"/>
                <w:color w:val="000000" w:themeColor="text1"/>
                <w:sz w:val="22"/>
              </w:rPr>
              <w:t>:</w:t>
            </w:r>
          </w:p>
        </w:tc>
        <w:tc>
          <w:tcPr>
            <w:tcW w:w="4050" w:type="dxa"/>
          </w:tcPr>
          <w:p w14:paraId="0C332085" w14:textId="77777777" w:rsidR="00526FE9" w:rsidRPr="008762D1" w:rsidRDefault="00526FE9" w:rsidP="00F67F46">
            <w:pPr>
              <w:pStyle w:val="Textoindependiente3"/>
              <w:rPr>
                <w:rFonts w:ascii="ITC Avant Garde" w:hAnsi="ITC Avant Garde"/>
                <w:color w:val="000000" w:themeColor="text1"/>
                <w:sz w:val="22"/>
              </w:rPr>
            </w:pPr>
          </w:p>
        </w:tc>
        <w:tc>
          <w:tcPr>
            <w:tcW w:w="2734" w:type="dxa"/>
          </w:tcPr>
          <w:p w14:paraId="20734684" w14:textId="77777777" w:rsidR="00526FE9" w:rsidRPr="008762D1" w:rsidRDefault="00526FE9" w:rsidP="00F67F46">
            <w:pPr>
              <w:pStyle w:val="Textoindependiente3"/>
              <w:rPr>
                <w:rFonts w:ascii="ITC Avant Garde" w:hAnsi="ITC Avant Garde"/>
                <w:color w:val="000000" w:themeColor="text1"/>
                <w:sz w:val="22"/>
              </w:rPr>
            </w:pPr>
          </w:p>
        </w:tc>
      </w:tr>
      <w:tr w:rsidR="008762D1" w:rsidRPr="008762D1" w14:paraId="223EA532" w14:textId="77777777" w:rsidTr="000703A0">
        <w:trPr>
          <w:jc w:val="center"/>
        </w:trPr>
        <w:tc>
          <w:tcPr>
            <w:tcW w:w="2538" w:type="dxa"/>
            <w:hideMark/>
          </w:tcPr>
          <w:p w14:paraId="18AF2360" w14:textId="77777777" w:rsidR="00526FE9" w:rsidRPr="008762D1" w:rsidRDefault="00526FE9" w:rsidP="00F67F4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2da. </w:t>
            </w:r>
            <w:proofErr w:type="spellStart"/>
            <w:r w:rsidRPr="008762D1">
              <w:rPr>
                <w:rFonts w:ascii="ITC Avant Garde" w:hAnsi="ITC Avant Garde"/>
                <w:color w:val="000000" w:themeColor="text1"/>
                <w:sz w:val="22"/>
              </w:rPr>
              <w:t>escalación</w:t>
            </w:r>
            <w:proofErr w:type="spellEnd"/>
          </w:p>
        </w:tc>
        <w:tc>
          <w:tcPr>
            <w:tcW w:w="4050" w:type="dxa"/>
          </w:tcPr>
          <w:p w14:paraId="11ECD958" w14:textId="77777777" w:rsidR="00526FE9" w:rsidRPr="008762D1" w:rsidRDefault="00526FE9" w:rsidP="00F67F46">
            <w:pPr>
              <w:pStyle w:val="Textoindependiente3"/>
              <w:rPr>
                <w:rFonts w:ascii="ITC Avant Garde" w:hAnsi="ITC Avant Garde"/>
                <w:color w:val="000000" w:themeColor="text1"/>
                <w:sz w:val="22"/>
              </w:rPr>
            </w:pPr>
          </w:p>
        </w:tc>
        <w:tc>
          <w:tcPr>
            <w:tcW w:w="2734" w:type="dxa"/>
          </w:tcPr>
          <w:p w14:paraId="465ABE2D" w14:textId="77777777" w:rsidR="00526FE9" w:rsidRPr="008762D1" w:rsidRDefault="00526FE9" w:rsidP="00F67F46">
            <w:pPr>
              <w:pStyle w:val="Textoindependiente3"/>
              <w:rPr>
                <w:rFonts w:ascii="ITC Avant Garde" w:hAnsi="ITC Avant Garde"/>
                <w:color w:val="000000" w:themeColor="text1"/>
                <w:sz w:val="22"/>
              </w:rPr>
            </w:pPr>
          </w:p>
        </w:tc>
      </w:tr>
      <w:tr w:rsidR="008762D1" w:rsidRPr="008762D1" w14:paraId="527D94FD" w14:textId="77777777" w:rsidTr="000703A0">
        <w:trPr>
          <w:trHeight w:val="345"/>
          <w:jc w:val="center"/>
        </w:trPr>
        <w:tc>
          <w:tcPr>
            <w:tcW w:w="2538" w:type="dxa"/>
            <w:hideMark/>
          </w:tcPr>
          <w:p w14:paraId="58542D0E" w14:textId="77777777" w:rsidR="00526FE9" w:rsidRPr="008762D1" w:rsidRDefault="00526FE9" w:rsidP="00F67F46">
            <w:pPr>
              <w:pStyle w:val="Textoindependiente3"/>
              <w:rPr>
                <w:rFonts w:ascii="ITC Avant Garde" w:hAnsi="ITC Avant Garde"/>
                <w:color w:val="000000" w:themeColor="text1"/>
                <w:sz w:val="22"/>
              </w:rPr>
            </w:pPr>
            <w:r w:rsidRPr="008762D1">
              <w:rPr>
                <w:rFonts w:ascii="ITC Avant Garde" w:hAnsi="ITC Avant Garde"/>
                <w:color w:val="000000" w:themeColor="text1"/>
                <w:sz w:val="22"/>
              </w:rPr>
              <w:t xml:space="preserve">3er. </w:t>
            </w:r>
            <w:proofErr w:type="spellStart"/>
            <w:r w:rsidRPr="008762D1">
              <w:rPr>
                <w:rFonts w:ascii="ITC Avant Garde" w:hAnsi="ITC Avant Garde"/>
                <w:color w:val="000000" w:themeColor="text1"/>
                <w:sz w:val="22"/>
              </w:rPr>
              <w:t>escalación</w:t>
            </w:r>
            <w:proofErr w:type="spellEnd"/>
            <w:r w:rsidRPr="008762D1">
              <w:rPr>
                <w:rFonts w:ascii="ITC Avant Garde" w:hAnsi="ITC Avant Garde"/>
                <w:color w:val="000000" w:themeColor="text1"/>
                <w:sz w:val="22"/>
              </w:rPr>
              <w:t xml:space="preserve">  </w:t>
            </w:r>
          </w:p>
        </w:tc>
        <w:tc>
          <w:tcPr>
            <w:tcW w:w="4050" w:type="dxa"/>
          </w:tcPr>
          <w:p w14:paraId="30514D46" w14:textId="77777777" w:rsidR="00526FE9" w:rsidRPr="008762D1" w:rsidRDefault="00526FE9" w:rsidP="00F67F46">
            <w:pPr>
              <w:pStyle w:val="Textoindependiente3"/>
              <w:ind w:left="175" w:hanging="175"/>
              <w:rPr>
                <w:rFonts w:ascii="ITC Avant Garde" w:hAnsi="ITC Avant Garde"/>
                <w:color w:val="000000" w:themeColor="text1"/>
                <w:sz w:val="22"/>
              </w:rPr>
            </w:pPr>
          </w:p>
        </w:tc>
        <w:tc>
          <w:tcPr>
            <w:tcW w:w="2734" w:type="dxa"/>
          </w:tcPr>
          <w:p w14:paraId="3A0E5271" w14:textId="77777777" w:rsidR="00526FE9" w:rsidRPr="008762D1" w:rsidRDefault="00526FE9" w:rsidP="00F67F46">
            <w:pPr>
              <w:pStyle w:val="Textoindependiente3"/>
              <w:rPr>
                <w:rFonts w:ascii="ITC Avant Garde" w:hAnsi="ITC Avant Garde"/>
                <w:color w:val="000000" w:themeColor="text1"/>
                <w:sz w:val="22"/>
              </w:rPr>
            </w:pPr>
          </w:p>
        </w:tc>
      </w:tr>
    </w:tbl>
    <w:p w14:paraId="7E833923" w14:textId="77777777" w:rsidR="000F0B9F" w:rsidRPr="008762D1" w:rsidRDefault="00526FE9" w:rsidP="000F0B9F">
      <w:pPr>
        <w:spacing w:before="240"/>
        <w:jc w:val="both"/>
        <w:rPr>
          <w:rFonts w:ascii="ITC Avant Garde" w:hAnsi="ITC Avant Garde"/>
          <w:color w:val="000000" w:themeColor="text1"/>
        </w:rPr>
      </w:pPr>
      <w:r w:rsidRPr="008762D1">
        <w:rPr>
          <w:rFonts w:ascii="ITC Avant Garde" w:hAnsi="ITC Avant Garde"/>
          <w:color w:val="000000" w:themeColor="text1"/>
        </w:rPr>
        <w:t>En caso de modificación a este apéndice, Telmex y/o el Concesionario Solicitante harán la notificación correspondiente a la contraparte por escrito, o vía correo electrónico asegurándose de que la contraparte se dé por notificada con el acuse de recibo correspondiente.</w:t>
      </w:r>
    </w:p>
    <w:p w14:paraId="206E77E7" w14:textId="5AF4DB05" w:rsidR="000F0B9F" w:rsidRPr="008762D1" w:rsidRDefault="00526FE9" w:rsidP="000F0B9F">
      <w:pPr>
        <w:spacing w:before="240"/>
        <w:jc w:val="center"/>
        <w:rPr>
          <w:rFonts w:ascii="ITC Avant Garde" w:hAnsi="ITC Avant Garde"/>
          <w:b/>
          <w:color w:val="000000" w:themeColor="text1"/>
          <w:u w:val="single"/>
        </w:rPr>
      </w:pPr>
      <w:r w:rsidRPr="008762D1">
        <w:rPr>
          <w:rFonts w:ascii="ITC Avant Garde" w:hAnsi="ITC Avant Garde"/>
          <w:b/>
          <w:color w:val="000000" w:themeColor="text1"/>
          <w:u w:val="single"/>
        </w:rPr>
        <w:t>PROCESO DE ESCALACIÓN EN EL CASO DE REPORTE DE FALLAS</w:t>
      </w:r>
    </w:p>
    <w:p w14:paraId="0A487FF6" w14:textId="6353C9B8" w:rsidR="00526FE9" w:rsidRPr="008762D1" w:rsidRDefault="00526FE9" w:rsidP="000F0B9F">
      <w:pPr>
        <w:spacing w:before="240"/>
        <w:rPr>
          <w:rFonts w:ascii="ITC Avant Garde" w:hAnsi="ITC Avant Garde"/>
          <w:b/>
          <w:color w:val="000000" w:themeColor="text1"/>
        </w:rPr>
      </w:pPr>
      <w:r w:rsidRPr="008762D1">
        <w:rPr>
          <w:rFonts w:ascii="ITC Avant Garde" w:hAnsi="ITC Avant Garde"/>
          <w:b/>
          <w:color w:val="000000" w:themeColor="text1"/>
        </w:rPr>
        <w:t>PROCESO DE ESCALACIÓN TELMEX PARA ENLACES DE INTERCONEXIÓN:</w:t>
      </w:r>
    </w:p>
    <w:p w14:paraId="1A61A828" w14:textId="65701A5F" w:rsidR="00526FE9" w:rsidRPr="008762D1" w:rsidRDefault="00F67F46" w:rsidP="000F0B9F">
      <w:pPr>
        <w:spacing w:before="240"/>
        <w:jc w:val="center"/>
        <w:rPr>
          <w:rFonts w:ascii="ITC Avant Garde" w:hAnsi="ITC Avant Garde"/>
          <w:b/>
          <w:color w:val="000000" w:themeColor="text1"/>
        </w:rPr>
      </w:pPr>
      <w:r w:rsidRPr="008762D1">
        <w:rPr>
          <w:rFonts w:ascii="ITC Avant Garde" w:hAnsi="ITC Avant Garde"/>
          <w:b/>
          <w:color w:val="000000" w:themeColor="text1"/>
        </w:rPr>
        <w:t xml:space="preserve">Tiempos de </w:t>
      </w:r>
      <w:proofErr w:type="spellStart"/>
      <w:r w:rsidRPr="008762D1">
        <w:rPr>
          <w:rFonts w:ascii="ITC Avant Garde" w:hAnsi="ITC Avant Garde"/>
          <w:b/>
          <w:color w:val="000000" w:themeColor="text1"/>
        </w:rPr>
        <w:t>escalación</w:t>
      </w:r>
      <w:proofErr w:type="spellEnd"/>
      <w:r w:rsidRPr="008762D1">
        <w:rPr>
          <w:rFonts w:ascii="ITC Avant Garde" w:hAnsi="ITC Avant Garde"/>
          <w:b/>
          <w:color w:val="000000" w:themeColor="text1"/>
        </w:rPr>
        <w:t xml:space="preserve"> según la severidad de la falla</w:t>
      </w:r>
    </w:p>
    <w:tbl>
      <w:tblPr>
        <w:tblStyle w:val="Cuadrculadetablaclara"/>
        <w:tblW w:w="8784" w:type="dxa"/>
        <w:jc w:val="center"/>
        <w:tblLayout w:type="fixed"/>
        <w:tblLook w:val="04A0" w:firstRow="1" w:lastRow="0" w:firstColumn="1" w:lastColumn="0" w:noHBand="0" w:noVBand="1"/>
        <w:tblCaption w:val="Tabla"/>
        <w:tblDescription w:val="PROCESO DE ESCALACIÓN TELMEX PARA ENLACES DE INTERCONEXIÓN:"/>
      </w:tblPr>
      <w:tblGrid>
        <w:gridCol w:w="1995"/>
        <w:gridCol w:w="1481"/>
        <w:gridCol w:w="1199"/>
        <w:gridCol w:w="1189"/>
        <w:gridCol w:w="1399"/>
        <w:gridCol w:w="1521"/>
      </w:tblGrid>
      <w:tr w:rsidR="008762D1" w:rsidRPr="008762D1" w14:paraId="6E342459" w14:textId="77777777" w:rsidTr="000703A0">
        <w:trPr>
          <w:trHeight w:val="270"/>
          <w:tblHeader/>
          <w:jc w:val="center"/>
        </w:trPr>
        <w:tc>
          <w:tcPr>
            <w:tcW w:w="1995" w:type="dxa"/>
            <w:hideMark/>
          </w:tcPr>
          <w:p w14:paraId="071D9F31" w14:textId="77777777" w:rsidR="00526FE9" w:rsidRPr="008762D1" w:rsidRDefault="00526FE9" w:rsidP="00F67F46">
            <w:pPr>
              <w:jc w:val="center"/>
              <w:rPr>
                <w:rFonts w:ascii="ITC Avant Garde" w:hAnsi="ITC Avant Garde"/>
                <w:b/>
                <w:color w:val="000000" w:themeColor="text1"/>
                <w:u w:val="single"/>
              </w:rPr>
            </w:pPr>
            <w:r w:rsidRPr="008762D1">
              <w:rPr>
                <w:rFonts w:ascii="ITC Avant Garde" w:hAnsi="ITC Avant Garde"/>
                <w:b/>
                <w:color w:val="000000" w:themeColor="text1"/>
              </w:rPr>
              <w:t>Puesto</w:t>
            </w:r>
          </w:p>
        </w:tc>
        <w:tc>
          <w:tcPr>
            <w:tcW w:w="1481" w:type="dxa"/>
            <w:hideMark/>
          </w:tcPr>
          <w:p w14:paraId="1670CC7B"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Responsable</w:t>
            </w:r>
          </w:p>
        </w:tc>
        <w:tc>
          <w:tcPr>
            <w:tcW w:w="1199" w:type="dxa"/>
            <w:hideMark/>
          </w:tcPr>
          <w:p w14:paraId="00614E93"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Teléfono 1</w:t>
            </w:r>
          </w:p>
        </w:tc>
        <w:tc>
          <w:tcPr>
            <w:tcW w:w="1189" w:type="dxa"/>
            <w:hideMark/>
          </w:tcPr>
          <w:p w14:paraId="3010003F"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Teléfono 2</w:t>
            </w:r>
          </w:p>
        </w:tc>
        <w:tc>
          <w:tcPr>
            <w:tcW w:w="1399" w:type="dxa"/>
          </w:tcPr>
          <w:p w14:paraId="4AB72531" w14:textId="0EC365DE" w:rsidR="00526FE9" w:rsidRPr="008762D1" w:rsidRDefault="000703A0" w:rsidP="000703A0">
            <w:pPr>
              <w:jc w:val="center"/>
              <w:rPr>
                <w:rFonts w:ascii="ITC Avant Garde" w:hAnsi="ITC Avant Garde"/>
                <w:b/>
                <w:color w:val="000000" w:themeColor="text1"/>
              </w:rPr>
            </w:pPr>
            <w:r w:rsidRPr="008762D1">
              <w:rPr>
                <w:rFonts w:ascii="ITC Avant Garde" w:hAnsi="ITC Avant Garde"/>
                <w:b/>
                <w:color w:val="000000" w:themeColor="text1"/>
              </w:rPr>
              <w:t>Afectación total</w:t>
            </w:r>
          </w:p>
        </w:tc>
        <w:tc>
          <w:tcPr>
            <w:tcW w:w="1521" w:type="dxa"/>
            <w:hideMark/>
          </w:tcPr>
          <w:p w14:paraId="6F1AB239"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 xml:space="preserve">Afectación parcial </w:t>
            </w:r>
          </w:p>
        </w:tc>
      </w:tr>
      <w:tr w:rsidR="008762D1" w:rsidRPr="008762D1" w14:paraId="3813E6BB" w14:textId="77777777" w:rsidTr="000703A0">
        <w:trPr>
          <w:trHeight w:val="270"/>
          <w:jc w:val="center"/>
        </w:trPr>
        <w:tc>
          <w:tcPr>
            <w:tcW w:w="1995" w:type="dxa"/>
            <w:hideMark/>
          </w:tcPr>
          <w:p w14:paraId="61635D0C" w14:textId="77777777" w:rsidR="00526FE9" w:rsidRPr="008762D1" w:rsidRDefault="00526FE9" w:rsidP="00F67F46">
            <w:pPr>
              <w:jc w:val="center"/>
              <w:rPr>
                <w:rFonts w:ascii="ITC Avant Garde" w:hAnsi="ITC Avant Garde"/>
                <w:b/>
                <w:color w:val="000000" w:themeColor="text1"/>
                <w:u w:val="single"/>
              </w:rPr>
            </w:pPr>
            <w:r w:rsidRPr="008762D1">
              <w:rPr>
                <w:rFonts w:ascii="ITC Avant Garde" w:hAnsi="ITC Avant Garde"/>
                <w:b/>
                <w:color w:val="000000" w:themeColor="text1"/>
              </w:rPr>
              <w:t>Centro de atención Telmex</w:t>
            </w:r>
          </w:p>
        </w:tc>
        <w:tc>
          <w:tcPr>
            <w:tcW w:w="1481" w:type="dxa"/>
          </w:tcPr>
          <w:p w14:paraId="3BF572CC" w14:textId="77777777" w:rsidR="00526FE9" w:rsidRPr="008762D1" w:rsidRDefault="00526FE9" w:rsidP="00F67F46">
            <w:pPr>
              <w:rPr>
                <w:rFonts w:ascii="ITC Avant Garde" w:hAnsi="ITC Avant Garde"/>
                <w:color w:val="000000" w:themeColor="text1"/>
              </w:rPr>
            </w:pPr>
          </w:p>
        </w:tc>
        <w:tc>
          <w:tcPr>
            <w:tcW w:w="1199" w:type="dxa"/>
          </w:tcPr>
          <w:p w14:paraId="5241C2FE" w14:textId="77777777" w:rsidR="00526FE9" w:rsidRPr="008762D1" w:rsidRDefault="00526FE9" w:rsidP="00F67F46">
            <w:pPr>
              <w:jc w:val="center"/>
              <w:rPr>
                <w:rFonts w:ascii="ITC Avant Garde" w:hAnsi="ITC Avant Garde"/>
                <w:color w:val="000000" w:themeColor="text1"/>
              </w:rPr>
            </w:pPr>
          </w:p>
        </w:tc>
        <w:tc>
          <w:tcPr>
            <w:tcW w:w="1189" w:type="dxa"/>
          </w:tcPr>
          <w:p w14:paraId="3FE25DAB" w14:textId="77777777" w:rsidR="00526FE9" w:rsidRPr="008762D1" w:rsidRDefault="00526FE9" w:rsidP="00F67F46">
            <w:pPr>
              <w:rPr>
                <w:rFonts w:ascii="ITC Avant Garde" w:hAnsi="ITC Avant Garde"/>
                <w:color w:val="000000" w:themeColor="text1"/>
              </w:rPr>
            </w:pPr>
          </w:p>
        </w:tc>
        <w:tc>
          <w:tcPr>
            <w:tcW w:w="1399" w:type="dxa"/>
            <w:hideMark/>
          </w:tcPr>
          <w:p w14:paraId="6A304954"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Llamado Inmediato</w:t>
            </w:r>
          </w:p>
        </w:tc>
        <w:tc>
          <w:tcPr>
            <w:tcW w:w="1521" w:type="dxa"/>
            <w:hideMark/>
          </w:tcPr>
          <w:p w14:paraId="5979FE0C"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Llamado Inmediato</w:t>
            </w:r>
          </w:p>
        </w:tc>
      </w:tr>
      <w:tr w:rsidR="008762D1" w:rsidRPr="008762D1" w14:paraId="7680DB12" w14:textId="77777777" w:rsidTr="000703A0">
        <w:trPr>
          <w:trHeight w:val="255"/>
          <w:jc w:val="center"/>
        </w:trPr>
        <w:tc>
          <w:tcPr>
            <w:tcW w:w="1995" w:type="dxa"/>
            <w:hideMark/>
          </w:tcPr>
          <w:p w14:paraId="6E875BA3"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 xml:space="preserve">Supervisores </w:t>
            </w:r>
          </w:p>
        </w:tc>
        <w:tc>
          <w:tcPr>
            <w:tcW w:w="1481" w:type="dxa"/>
          </w:tcPr>
          <w:p w14:paraId="59D375E6" w14:textId="77777777" w:rsidR="00526FE9" w:rsidRPr="008762D1" w:rsidRDefault="00526FE9" w:rsidP="00F67F46">
            <w:pPr>
              <w:rPr>
                <w:rFonts w:ascii="ITC Avant Garde" w:hAnsi="ITC Avant Garde"/>
                <w:color w:val="000000" w:themeColor="text1"/>
              </w:rPr>
            </w:pPr>
          </w:p>
        </w:tc>
        <w:tc>
          <w:tcPr>
            <w:tcW w:w="1199" w:type="dxa"/>
          </w:tcPr>
          <w:p w14:paraId="205ED1CC" w14:textId="77777777" w:rsidR="00526FE9" w:rsidRPr="008762D1" w:rsidRDefault="00526FE9" w:rsidP="00F67F46">
            <w:pPr>
              <w:rPr>
                <w:rFonts w:ascii="ITC Avant Garde" w:hAnsi="ITC Avant Garde"/>
                <w:color w:val="000000" w:themeColor="text1"/>
              </w:rPr>
            </w:pPr>
          </w:p>
        </w:tc>
        <w:tc>
          <w:tcPr>
            <w:tcW w:w="1189" w:type="dxa"/>
          </w:tcPr>
          <w:p w14:paraId="70A33F65" w14:textId="77777777" w:rsidR="00526FE9" w:rsidRPr="008762D1" w:rsidRDefault="00526FE9" w:rsidP="00F67F46">
            <w:pPr>
              <w:rPr>
                <w:rFonts w:ascii="ITC Avant Garde" w:hAnsi="ITC Avant Garde"/>
                <w:color w:val="000000" w:themeColor="text1"/>
              </w:rPr>
            </w:pPr>
          </w:p>
        </w:tc>
        <w:tc>
          <w:tcPr>
            <w:tcW w:w="1399" w:type="dxa"/>
            <w:hideMark/>
          </w:tcPr>
          <w:p w14:paraId="41C4000D"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30 minutos</w:t>
            </w:r>
          </w:p>
        </w:tc>
        <w:tc>
          <w:tcPr>
            <w:tcW w:w="1521" w:type="dxa"/>
            <w:hideMark/>
          </w:tcPr>
          <w:p w14:paraId="1742BE07"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1 hora</w:t>
            </w:r>
          </w:p>
        </w:tc>
      </w:tr>
      <w:tr w:rsidR="008762D1" w:rsidRPr="008762D1" w14:paraId="4BB70930" w14:textId="77777777" w:rsidTr="000703A0">
        <w:trPr>
          <w:trHeight w:val="270"/>
          <w:jc w:val="center"/>
        </w:trPr>
        <w:tc>
          <w:tcPr>
            <w:tcW w:w="1995" w:type="dxa"/>
            <w:hideMark/>
          </w:tcPr>
          <w:p w14:paraId="48613B26"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Subgerente</w:t>
            </w:r>
          </w:p>
        </w:tc>
        <w:tc>
          <w:tcPr>
            <w:tcW w:w="1481" w:type="dxa"/>
          </w:tcPr>
          <w:p w14:paraId="5526F326" w14:textId="77777777" w:rsidR="00526FE9" w:rsidRPr="008762D1" w:rsidRDefault="00526FE9" w:rsidP="00F67F46">
            <w:pPr>
              <w:rPr>
                <w:rFonts w:ascii="ITC Avant Garde" w:hAnsi="ITC Avant Garde"/>
                <w:color w:val="000000" w:themeColor="text1"/>
              </w:rPr>
            </w:pPr>
          </w:p>
        </w:tc>
        <w:tc>
          <w:tcPr>
            <w:tcW w:w="1199" w:type="dxa"/>
          </w:tcPr>
          <w:p w14:paraId="524AEA8C" w14:textId="77777777" w:rsidR="00526FE9" w:rsidRPr="008762D1" w:rsidRDefault="00526FE9" w:rsidP="00F67F46">
            <w:pPr>
              <w:rPr>
                <w:rFonts w:ascii="ITC Avant Garde" w:hAnsi="ITC Avant Garde"/>
                <w:color w:val="000000" w:themeColor="text1"/>
              </w:rPr>
            </w:pPr>
          </w:p>
        </w:tc>
        <w:tc>
          <w:tcPr>
            <w:tcW w:w="1189" w:type="dxa"/>
          </w:tcPr>
          <w:p w14:paraId="1F14CC5C" w14:textId="77777777" w:rsidR="00526FE9" w:rsidRPr="008762D1" w:rsidRDefault="00526FE9" w:rsidP="00F67F46">
            <w:pPr>
              <w:rPr>
                <w:rFonts w:ascii="ITC Avant Garde" w:hAnsi="ITC Avant Garde"/>
                <w:color w:val="000000" w:themeColor="text1"/>
              </w:rPr>
            </w:pPr>
          </w:p>
        </w:tc>
        <w:tc>
          <w:tcPr>
            <w:tcW w:w="1399" w:type="dxa"/>
            <w:hideMark/>
          </w:tcPr>
          <w:p w14:paraId="7BF0B48B"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30 minutos</w:t>
            </w:r>
          </w:p>
        </w:tc>
        <w:tc>
          <w:tcPr>
            <w:tcW w:w="1521" w:type="dxa"/>
            <w:hideMark/>
          </w:tcPr>
          <w:p w14:paraId="5C4B3181"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1 hora</w:t>
            </w:r>
          </w:p>
        </w:tc>
      </w:tr>
      <w:tr w:rsidR="008762D1" w:rsidRPr="008762D1" w14:paraId="62B0D483" w14:textId="77777777" w:rsidTr="000703A0">
        <w:trPr>
          <w:trHeight w:val="270"/>
          <w:jc w:val="center"/>
        </w:trPr>
        <w:tc>
          <w:tcPr>
            <w:tcW w:w="1995" w:type="dxa"/>
            <w:hideMark/>
          </w:tcPr>
          <w:p w14:paraId="47E862C9"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Gerente</w:t>
            </w:r>
          </w:p>
        </w:tc>
        <w:tc>
          <w:tcPr>
            <w:tcW w:w="1481" w:type="dxa"/>
          </w:tcPr>
          <w:p w14:paraId="39228586" w14:textId="77777777" w:rsidR="00526FE9" w:rsidRPr="008762D1" w:rsidRDefault="00526FE9" w:rsidP="00F67F46">
            <w:pPr>
              <w:rPr>
                <w:rFonts w:ascii="ITC Avant Garde" w:hAnsi="ITC Avant Garde"/>
                <w:color w:val="000000" w:themeColor="text1"/>
              </w:rPr>
            </w:pPr>
          </w:p>
        </w:tc>
        <w:tc>
          <w:tcPr>
            <w:tcW w:w="1199" w:type="dxa"/>
          </w:tcPr>
          <w:p w14:paraId="7C692A9C" w14:textId="77777777" w:rsidR="00526FE9" w:rsidRPr="008762D1" w:rsidRDefault="00526FE9" w:rsidP="00F67F46">
            <w:pPr>
              <w:rPr>
                <w:rFonts w:ascii="ITC Avant Garde" w:hAnsi="ITC Avant Garde"/>
                <w:color w:val="000000" w:themeColor="text1"/>
              </w:rPr>
            </w:pPr>
          </w:p>
        </w:tc>
        <w:tc>
          <w:tcPr>
            <w:tcW w:w="1189" w:type="dxa"/>
          </w:tcPr>
          <w:p w14:paraId="6994A711" w14:textId="77777777" w:rsidR="00526FE9" w:rsidRPr="008762D1" w:rsidRDefault="00526FE9" w:rsidP="00F67F46">
            <w:pPr>
              <w:rPr>
                <w:rFonts w:ascii="ITC Avant Garde" w:hAnsi="ITC Avant Garde"/>
                <w:color w:val="000000" w:themeColor="text1"/>
              </w:rPr>
            </w:pPr>
          </w:p>
        </w:tc>
        <w:tc>
          <w:tcPr>
            <w:tcW w:w="1399" w:type="dxa"/>
            <w:hideMark/>
          </w:tcPr>
          <w:p w14:paraId="06DA35E2"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w:t>
            </w:r>
          </w:p>
          <w:p w14:paraId="7C51D87E"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1 hora</w:t>
            </w:r>
          </w:p>
        </w:tc>
        <w:tc>
          <w:tcPr>
            <w:tcW w:w="1521" w:type="dxa"/>
            <w:hideMark/>
          </w:tcPr>
          <w:p w14:paraId="6AEB5F38"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2 horas</w:t>
            </w:r>
          </w:p>
        </w:tc>
      </w:tr>
    </w:tbl>
    <w:p w14:paraId="53DF5733" w14:textId="77777777" w:rsidR="000F0B9F" w:rsidRPr="008762D1" w:rsidRDefault="00526FE9" w:rsidP="00F67F46">
      <w:pPr>
        <w:spacing w:before="240"/>
        <w:jc w:val="center"/>
        <w:rPr>
          <w:rFonts w:ascii="ITC Avant Garde" w:hAnsi="ITC Avant Garde"/>
          <w:b/>
          <w:color w:val="000000" w:themeColor="text1"/>
        </w:rPr>
      </w:pPr>
      <w:r w:rsidRPr="008762D1">
        <w:rPr>
          <w:rFonts w:ascii="ITC Avant Garde" w:hAnsi="ITC Avant Garde"/>
          <w:b/>
          <w:color w:val="000000" w:themeColor="text1"/>
        </w:rPr>
        <w:br w:type="page"/>
      </w:r>
      <w:r w:rsidRPr="008762D1">
        <w:rPr>
          <w:rFonts w:ascii="ITC Avant Garde" w:hAnsi="ITC Avant Garde"/>
          <w:b/>
          <w:color w:val="000000" w:themeColor="text1"/>
        </w:rPr>
        <w:lastRenderedPageBreak/>
        <w:t>PROCESO DE ESCALACION DEL CONCESIONARIO SOLICITANTE (NOC):</w:t>
      </w:r>
    </w:p>
    <w:p w14:paraId="27214C7A" w14:textId="6CB63C84" w:rsidR="00526FE9" w:rsidRPr="008762D1" w:rsidRDefault="00F67F46" w:rsidP="00F67F46">
      <w:pPr>
        <w:spacing w:before="240"/>
        <w:jc w:val="center"/>
        <w:rPr>
          <w:rFonts w:ascii="ITC Avant Garde" w:hAnsi="ITC Avant Garde"/>
          <w:b/>
          <w:color w:val="000000" w:themeColor="text1"/>
        </w:rPr>
      </w:pPr>
      <w:r w:rsidRPr="008762D1">
        <w:rPr>
          <w:rFonts w:ascii="ITC Avant Garde" w:hAnsi="ITC Avant Garde"/>
          <w:b/>
          <w:color w:val="000000" w:themeColor="text1"/>
        </w:rPr>
        <w:t xml:space="preserve">Tiempos de </w:t>
      </w:r>
      <w:proofErr w:type="spellStart"/>
      <w:r w:rsidRPr="008762D1">
        <w:rPr>
          <w:rFonts w:ascii="ITC Avant Garde" w:hAnsi="ITC Avant Garde"/>
          <w:b/>
          <w:color w:val="000000" w:themeColor="text1"/>
        </w:rPr>
        <w:t>escalación</w:t>
      </w:r>
      <w:proofErr w:type="spellEnd"/>
      <w:r w:rsidRPr="008762D1">
        <w:rPr>
          <w:rFonts w:ascii="ITC Avant Garde" w:hAnsi="ITC Avant Garde"/>
          <w:b/>
          <w:color w:val="000000" w:themeColor="text1"/>
        </w:rPr>
        <w:t xml:space="preserve"> según la severidad de la falla</w:t>
      </w:r>
    </w:p>
    <w:tbl>
      <w:tblPr>
        <w:tblStyle w:val="Cuadrculadetablaclara"/>
        <w:tblW w:w="9214" w:type="dxa"/>
        <w:jc w:val="center"/>
        <w:tblLayout w:type="fixed"/>
        <w:tblLook w:val="04A0" w:firstRow="1" w:lastRow="0" w:firstColumn="1" w:lastColumn="0" w:noHBand="0" w:noVBand="1"/>
        <w:tblCaption w:val="Tabla"/>
        <w:tblDescription w:val="PROCESO DE ESCALACION DEL CONCESIONARIO SOLICITANTE (NOC):"/>
      </w:tblPr>
      <w:tblGrid>
        <w:gridCol w:w="1993"/>
        <w:gridCol w:w="1722"/>
        <w:gridCol w:w="1364"/>
        <w:gridCol w:w="1408"/>
        <w:gridCol w:w="1384"/>
        <w:gridCol w:w="1343"/>
      </w:tblGrid>
      <w:tr w:rsidR="008762D1" w:rsidRPr="008762D1" w14:paraId="751C967B" w14:textId="77777777" w:rsidTr="000703A0">
        <w:trPr>
          <w:trHeight w:val="270"/>
          <w:tblHeader/>
          <w:jc w:val="center"/>
        </w:trPr>
        <w:tc>
          <w:tcPr>
            <w:tcW w:w="1993" w:type="dxa"/>
            <w:hideMark/>
          </w:tcPr>
          <w:p w14:paraId="5CA70BC1"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Puesto</w:t>
            </w:r>
          </w:p>
        </w:tc>
        <w:tc>
          <w:tcPr>
            <w:tcW w:w="1722" w:type="dxa"/>
            <w:hideMark/>
          </w:tcPr>
          <w:p w14:paraId="0F7AD6F0"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Responsable</w:t>
            </w:r>
          </w:p>
        </w:tc>
        <w:tc>
          <w:tcPr>
            <w:tcW w:w="1364" w:type="dxa"/>
            <w:hideMark/>
          </w:tcPr>
          <w:p w14:paraId="76947745"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Teléfono 1</w:t>
            </w:r>
          </w:p>
        </w:tc>
        <w:tc>
          <w:tcPr>
            <w:tcW w:w="1408" w:type="dxa"/>
            <w:hideMark/>
          </w:tcPr>
          <w:p w14:paraId="38B09A36"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Teléfono 2</w:t>
            </w:r>
          </w:p>
        </w:tc>
        <w:tc>
          <w:tcPr>
            <w:tcW w:w="1384" w:type="dxa"/>
            <w:hideMark/>
          </w:tcPr>
          <w:p w14:paraId="6A18E51A"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Prioridad 1</w:t>
            </w:r>
          </w:p>
          <w:p w14:paraId="581A0E54"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Afectación total</w:t>
            </w:r>
          </w:p>
        </w:tc>
        <w:tc>
          <w:tcPr>
            <w:tcW w:w="1343" w:type="dxa"/>
            <w:hideMark/>
          </w:tcPr>
          <w:p w14:paraId="7AA49E54"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Prioridad 2</w:t>
            </w:r>
          </w:p>
          <w:p w14:paraId="185AF959" w14:textId="77777777" w:rsidR="00526FE9" w:rsidRPr="008762D1" w:rsidRDefault="00526FE9" w:rsidP="00F67F46">
            <w:pPr>
              <w:jc w:val="center"/>
              <w:rPr>
                <w:rFonts w:ascii="ITC Avant Garde" w:hAnsi="ITC Avant Garde"/>
                <w:b/>
                <w:color w:val="000000" w:themeColor="text1"/>
              </w:rPr>
            </w:pPr>
            <w:r w:rsidRPr="008762D1">
              <w:rPr>
                <w:rFonts w:ascii="ITC Avant Garde" w:hAnsi="ITC Avant Garde"/>
                <w:b/>
                <w:color w:val="000000" w:themeColor="text1"/>
              </w:rPr>
              <w:t>Afectación parcial</w:t>
            </w:r>
          </w:p>
        </w:tc>
      </w:tr>
      <w:tr w:rsidR="008762D1" w:rsidRPr="008762D1" w14:paraId="070E6EE7" w14:textId="77777777" w:rsidTr="000703A0">
        <w:trPr>
          <w:trHeight w:val="270"/>
          <w:jc w:val="center"/>
        </w:trPr>
        <w:tc>
          <w:tcPr>
            <w:tcW w:w="1993" w:type="dxa"/>
            <w:hideMark/>
          </w:tcPr>
          <w:p w14:paraId="64C5F401" w14:textId="77777777" w:rsidR="00526FE9" w:rsidRPr="008762D1" w:rsidRDefault="00526FE9" w:rsidP="00F67F46">
            <w:pPr>
              <w:rPr>
                <w:rFonts w:ascii="ITC Avant Garde" w:hAnsi="ITC Avant Garde"/>
                <w:b/>
                <w:color w:val="000000" w:themeColor="text1"/>
              </w:rPr>
            </w:pPr>
            <w:r w:rsidRPr="008762D1">
              <w:rPr>
                <w:rFonts w:ascii="ITC Avant Garde" w:hAnsi="ITC Avant Garde"/>
                <w:b/>
                <w:color w:val="000000" w:themeColor="text1"/>
              </w:rPr>
              <w:t>Ingeniero Junior de Monitoreo</w:t>
            </w:r>
          </w:p>
        </w:tc>
        <w:tc>
          <w:tcPr>
            <w:tcW w:w="1722" w:type="dxa"/>
          </w:tcPr>
          <w:p w14:paraId="192EA601" w14:textId="77777777" w:rsidR="00526FE9" w:rsidRPr="008762D1" w:rsidRDefault="00526FE9" w:rsidP="00F67F46">
            <w:pPr>
              <w:rPr>
                <w:rFonts w:ascii="ITC Avant Garde" w:hAnsi="ITC Avant Garde"/>
                <w:color w:val="000000" w:themeColor="text1"/>
              </w:rPr>
            </w:pPr>
          </w:p>
        </w:tc>
        <w:tc>
          <w:tcPr>
            <w:tcW w:w="1364" w:type="dxa"/>
          </w:tcPr>
          <w:p w14:paraId="2DA32D76" w14:textId="77777777" w:rsidR="00526FE9" w:rsidRPr="008762D1" w:rsidRDefault="00526FE9" w:rsidP="00F67F46">
            <w:pPr>
              <w:jc w:val="center"/>
              <w:rPr>
                <w:rFonts w:ascii="ITC Avant Garde" w:hAnsi="ITC Avant Garde"/>
                <w:color w:val="000000" w:themeColor="text1"/>
              </w:rPr>
            </w:pPr>
          </w:p>
        </w:tc>
        <w:tc>
          <w:tcPr>
            <w:tcW w:w="1408" w:type="dxa"/>
          </w:tcPr>
          <w:p w14:paraId="6813CB13" w14:textId="77777777" w:rsidR="00526FE9" w:rsidRPr="008762D1" w:rsidRDefault="00526FE9" w:rsidP="00F67F46">
            <w:pPr>
              <w:jc w:val="center"/>
              <w:rPr>
                <w:rFonts w:ascii="ITC Avant Garde" w:hAnsi="ITC Avant Garde"/>
                <w:color w:val="000000" w:themeColor="text1"/>
              </w:rPr>
            </w:pPr>
          </w:p>
        </w:tc>
        <w:tc>
          <w:tcPr>
            <w:tcW w:w="1384" w:type="dxa"/>
            <w:hideMark/>
          </w:tcPr>
          <w:p w14:paraId="5A62957B"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Llamado Inmediato</w:t>
            </w:r>
          </w:p>
        </w:tc>
        <w:tc>
          <w:tcPr>
            <w:tcW w:w="1343" w:type="dxa"/>
            <w:hideMark/>
          </w:tcPr>
          <w:p w14:paraId="130D7A03"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Llamado Inmediato</w:t>
            </w:r>
          </w:p>
        </w:tc>
      </w:tr>
      <w:tr w:rsidR="008762D1" w:rsidRPr="008762D1" w14:paraId="13EEAD39" w14:textId="77777777" w:rsidTr="000703A0">
        <w:trPr>
          <w:trHeight w:val="255"/>
          <w:jc w:val="center"/>
        </w:trPr>
        <w:tc>
          <w:tcPr>
            <w:tcW w:w="1993" w:type="dxa"/>
            <w:hideMark/>
          </w:tcPr>
          <w:p w14:paraId="4FC15508" w14:textId="77777777" w:rsidR="00526FE9" w:rsidRPr="008762D1" w:rsidRDefault="00526FE9" w:rsidP="00F67F46">
            <w:pPr>
              <w:rPr>
                <w:rFonts w:ascii="ITC Avant Garde" w:hAnsi="ITC Avant Garde"/>
                <w:b/>
                <w:color w:val="000000" w:themeColor="text1"/>
              </w:rPr>
            </w:pPr>
            <w:r w:rsidRPr="008762D1">
              <w:rPr>
                <w:rFonts w:ascii="ITC Avant Garde" w:hAnsi="ITC Avant Garde"/>
                <w:b/>
                <w:color w:val="000000" w:themeColor="text1"/>
              </w:rPr>
              <w:t>Ingeniero Senior de Monitoreo</w:t>
            </w:r>
          </w:p>
        </w:tc>
        <w:tc>
          <w:tcPr>
            <w:tcW w:w="1722" w:type="dxa"/>
          </w:tcPr>
          <w:p w14:paraId="46E7E7D3" w14:textId="77777777" w:rsidR="00526FE9" w:rsidRPr="008762D1" w:rsidRDefault="00526FE9" w:rsidP="00F67F46">
            <w:pPr>
              <w:rPr>
                <w:rFonts w:ascii="ITC Avant Garde" w:hAnsi="ITC Avant Garde"/>
                <w:color w:val="000000" w:themeColor="text1"/>
              </w:rPr>
            </w:pPr>
          </w:p>
        </w:tc>
        <w:tc>
          <w:tcPr>
            <w:tcW w:w="1364" w:type="dxa"/>
          </w:tcPr>
          <w:p w14:paraId="49B57446" w14:textId="77777777" w:rsidR="00526FE9" w:rsidRPr="008762D1" w:rsidRDefault="00526FE9" w:rsidP="00F67F46">
            <w:pPr>
              <w:jc w:val="center"/>
              <w:rPr>
                <w:rFonts w:ascii="ITC Avant Garde" w:hAnsi="ITC Avant Garde"/>
                <w:color w:val="000000" w:themeColor="text1"/>
              </w:rPr>
            </w:pPr>
          </w:p>
        </w:tc>
        <w:tc>
          <w:tcPr>
            <w:tcW w:w="1408" w:type="dxa"/>
          </w:tcPr>
          <w:p w14:paraId="513A8D7A" w14:textId="77777777" w:rsidR="00526FE9" w:rsidRPr="008762D1" w:rsidRDefault="00526FE9" w:rsidP="00F67F46">
            <w:pPr>
              <w:jc w:val="center"/>
              <w:rPr>
                <w:rFonts w:ascii="ITC Avant Garde" w:hAnsi="ITC Avant Garde"/>
                <w:color w:val="000000" w:themeColor="text1"/>
              </w:rPr>
            </w:pPr>
          </w:p>
        </w:tc>
        <w:tc>
          <w:tcPr>
            <w:tcW w:w="1384" w:type="dxa"/>
            <w:hideMark/>
          </w:tcPr>
          <w:p w14:paraId="4E525850"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30 minutos</w:t>
            </w:r>
          </w:p>
        </w:tc>
        <w:tc>
          <w:tcPr>
            <w:tcW w:w="1343" w:type="dxa"/>
            <w:hideMark/>
          </w:tcPr>
          <w:p w14:paraId="4812CA7B"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1 hora</w:t>
            </w:r>
          </w:p>
        </w:tc>
      </w:tr>
      <w:tr w:rsidR="008762D1" w:rsidRPr="008762D1" w14:paraId="58A11F64" w14:textId="77777777" w:rsidTr="000703A0">
        <w:trPr>
          <w:trHeight w:val="270"/>
          <w:jc w:val="center"/>
        </w:trPr>
        <w:tc>
          <w:tcPr>
            <w:tcW w:w="1993" w:type="dxa"/>
            <w:hideMark/>
          </w:tcPr>
          <w:p w14:paraId="467823B2" w14:textId="77777777" w:rsidR="00526FE9" w:rsidRPr="008762D1" w:rsidRDefault="00526FE9" w:rsidP="00F67F46">
            <w:pPr>
              <w:rPr>
                <w:rFonts w:ascii="ITC Avant Garde" w:hAnsi="ITC Avant Garde"/>
                <w:b/>
                <w:color w:val="000000" w:themeColor="text1"/>
              </w:rPr>
            </w:pPr>
            <w:r w:rsidRPr="008762D1">
              <w:rPr>
                <w:rFonts w:ascii="ITC Avant Garde" w:hAnsi="ITC Avant Garde"/>
                <w:b/>
                <w:color w:val="000000" w:themeColor="text1"/>
              </w:rPr>
              <w:t>Gerente de Monitoreo</w:t>
            </w:r>
          </w:p>
        </w:tc>
        <w:tc>
          <w:tcPr>
            <w:tcW w:w="1722" w:type="dxa"/>
          </w:tcPr>
          <w:p w14:paraId="09FE4227" w14:textId="77777777" w:rsidR="00526FE9" w:rsidRPr="008762D1" w:rsidRDefault="00526FE9" w:rsidP="00F67F46">
            <w:pPr>
              <w:rPr>
                <w:rFonts w:ascii="ITC Avant Garde" w:hAnsi="ITC Avant Garde"/>
                <w:color w:val="000000" w:themeColor="text1"/>
              </w:rPr>
            </w:pPr>
          </w:p>
        </w:tc>
        <w:tc>
          <w:tcPr>
            <w:tcW w:w="1364" w:type="dxa"/>
          </w:tcPr>
          <w:p w14:paraId="7A3C8784" w14:textId="77777777" w:rsidR="00526FE9" w:rsidRPr="008762D1" w:rsidRDefault="00526FE9" w:rsidP="00F67F46">
            <w:pPr>
              <w:jc w:val="center"/>
              <w:rPr>
                <w:rFonts w:ascii="ITC Avant Garde" w:hAnsi="ITC Avant Garde"/>
                <w:color w:val="000000" w:themeColor="text1"/>
              </w:rPr>
            </w:pPr>
          </w:p>
        </w:tc>
        <w:tc>
          <w:tcPr>
            <w:tcW w:w="1408" w:type="dxa"/>
          </w:tcPr>
          <w:p w14:paraId="7F27B960" w14:textId="77777777" w:rsidR="00526FE9" w:rsidRPr="008762D1" w:rsidRDefault="00526FE9" w:rsidP="00F67F46">
            <w:pPr>
              <w:jc w:val="center"/>
              <w:rPr>
                <w:rFonts w:ascii="ITC Avant Garde" w:hAnsi="ITC Avant Garde"/>
                <w:color w:val="000000" w:themeColor="text1"/>
              </w:rPr>
            </w:pPr>
          </w:p>
        </w:tc>
        <w:tc>
          <w:tcPr>
            <w:tcW w:w="1384" w:type="dxa"/>
            <w:hideMark/>
          </w:tcPr>
          <w:p w14:paraId="31FFA3C4"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1 hora</w:t>
            </w:r>
          </w:p>
        </w:tc>
        <w:tc>
          <w:tcPr>
            <w:tcW w:w="1343" w:type="dxa"/>
            <w:hideMark/>
          </w:tcPr>
          <w:p w14:paraId="373A74D7"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2 horas</w:t>
            </w:r>
          </w:p>
        </w:tc>
      </w:tr>
      <w:tr w:rsidR="008762D1" w:rsidRPr="008762D1" w14:paraId="34F0AA0E" w14:textId="77777777" w:rsidTr="000703A0">
        <w:trPr>
          <w:trHeight w:val="270"/>
          <w:jc w:val="center"/>
        </w:trPr>
        <w:tc>
          <w:tcPr>
            <w:tcW w:w="1993" w:type="dxa"/>
            <w:hideMark/>
          </w:tcPr>
          <w:p w14:paraId="383E1D84" w14:textId="77777777" w:rsidR="00526FE9" w:rsidRPr="008762D1" w:rsidRDefault="00526FE9" w:rsidP="00F67F46">
            <w:pPr>
              <w:rPr>
                <w:rFonts w:ascii="ITC Avant Garde" w:hAnsi="ITC Avant Garde"/>
                <w:b/>
                <w:color w:val="000000" w:themeColor="text1"/>
              </w:rPr>
            </w:pPr>
            <w:r w:rsidRPr="008762D1">
              <w:rPr>
                <w:rFonts w:ascii="ITC Avant Garde" w:hAnsi="ITC Avant Garde"/>
                <w:b/>
                <w:color w:val="000000" w:themeColor="text1"/>
              </w:rPr>
              <w:t>Director del NOC</w:t>
            </w:r>
          </w:p>
        </w:tc>
        <w:tc>
          <w:tcPr>
            <w:tcW w:w="1722" w:type="dxa"/>
          </w:tcPr>
          <w:p w14:paraId="41FF10CB" w14:textId="77777777" w:rsidR="00526FE9" w:rsidRPr="008762D1" w:rsidRDefault="00526FE9" w:rsidP="00F67F46">
            <w:pPr>
              <w:rPr>
                <w:rFonts w:ascii="ITC Avant Garde" w:hAnsi="ITC Avant Garde"/>
                <w:color w:val="000000" w:themeColor="text1"/>
              </w:rPr>
            </w:pPr>
          </w:p>
        </w:tc>
        <w:tc>
          <w:tcPr>
            <w:tcW w:w="1364" w:type="dxa"/>
          </w:tcPr>
          <w:p w14:paraId="71340C4B" w14:textId="77777777" w:rsidR="00526FE9" w:rsidRPr="008762D1" w:rsidRDefault="00526FE9" w:rsidP="00F67F46">
            <w:pPr>
              <w:jc w:val="center"/>
              <w:rPr>
                <w:rFonts w:ascii="ITC Avant Garde" w:hAnsi="ITC Avant Garde"/>
                <w:color w:val="000000" w:themeColor="text1"/>
              </w:rPr>
            </w:pPr>
          </w:p>
        </w:tc>
        <w:tc>
          <w:tcPr>
            <w:tcW w:w="1408" w:type="dxa"/>
          </w:tcPr>
          <w:p w14:paraId="74C87D33" w14:textId="77777777" w:rsidR="00526FE9" w:rsidRPr="008762D1" w:rsidRDefault="00526FE9" w:rsidP="00F67F46">
            <w:pPr>
              <w:jc w:val="center"/>
              <w:rPr>
                <w:rFonts w:ascii="ITC Avant Garde" w:hAnsi="ITC Avant Garde"/>
                <w:color w:val="000000" w:themeColor="text1"/>
              </w:rPr>
            </w:pPr>
          </w:p>
        </w:tc>
        <w:tc>
          <w:tcPr>
            <w:tcW w:w="1384" w:type="dxa"/>
            <w:hideMark/>
          </w:tcPr>
          <w:p w14:paraId="4A77F35B"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2 horas</w:t>
            </w:r>
          </w:p>
        </w:tc>
        <w:tc>
          <w:tcPr>
            <w:tcW w:w="1343" w:type="dxa"/>
            <w:hideMark/>
          </w:tcPr>
          <w:p w14:paraId="76BFBE33"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4 horas</w:t>
            </w:r>
          </w:p>
        </w:tc>
      </w:tr>
      <w:tr w:rsidR="00526FE9" w:rsidRPr="008762D1" w14:paraId="197A4FC0" w14:textId="77777777" w:rsidTr="000703A0">
        <w:trPr>
          <w:trHeight w:val="270"/>
          <w:jc w:val="center"/>
        </w:trPr>
        <w:tc>
          <w:tcPr>
            <w:tcW w:w="1993" w:type="dxa"/>
            <w:hideMark/>
          </w:tcPr>
          <w:p w14:paraId="0FB8BAEC" w14:textId="77777777" w:rsidR="00526FE9" w:rsidRPr="008762D1" w:rsidRDefault="00526FE9" w:rsidP="00F67F46">
            <w:pPr>
              <w:rPr>
                <w:rFonts w:ascii="ITC Avant Garde" w:hAnsi="ITC Avant Garde"/>
                <w:b/>
                <w:color w:val="000000" w:themeColor="text1"/>
              </w:rPr>
            </w:pPr>
            <w:r w:rsidRPr="008762D1">
              <w:rPr>
                <w:rFonts w:ascii="ITC Avant Garde" w:hAnsi="ITC Avant Garde"/>
                <w:b/>
                <w:color w:val="000000" w:themeColor="text1"/>
              </w:rPr>
              <w:t>Director de Operaciones</w:t>
            </w:r>
          </w:p>
        </w:tc>
        <w:tc>
          <w:tcPr>
            <w:tcW w:w="1722" w:type="dxa"/>
          </w:tcPr>
          <w:p w14:paraId="3CE7AF6D" w14:textId="77777777" w:rsidR="00526FE9" w:rsidRPr="008762D1" w:rsidRDefault="00526FE9" w:rsidP="00F67F46">
            <w:pPr>
              <w:rPr>
                <w:rFonts w:ascii="ITC Avant Garde" w:hAnsi="ITC Avant Garde"/>
                <w:color w:val="000000" w:themeColor="text1"/>
              </w:rPr>
            </w:pPr>
          </w:p>
        </w:tc>
        <w:tc>
          <w:tcPr>
            <w:tcW w:w="1364" w:type="dxa"/>
          </w:tcPr>
          <w:p w14:paraId="1F41AB36" w14:textId="77777777" w:rsidR="00526FE9" w:rsidRPr="008762D1" w:rsidRDefault="00526FE9" w:rsidP="00F67F46">
            <w:pPr>
              <w:jc w:val="center"/>
              <w:rPr>
                <w:rFonts w:ascii="ITC Avant Garde" w:hAnsi="ITC Avant Garde"/>
                <w:color w:val="000000" w:themeColor="text1"/>
              </w:rPr>
            </w:pPr>
          </w:p>
        </w:tc>
        <w:tc>
          <w:tcPr>
            <w:tcW w:w="1408" w:type="dxa"/>
          </w:tcPr>
          <w:p w14:paraId="3551FC74" w14:textId="77777777" w:rsidR="00526FE9" w:rsidRPr="008762D1" w:rsidRDefault="00526FE9" w:rsidP="00F67F46">
            <w:pPr>
              <w:jc w:val="center"/>
              <w:rPr>
                <w:rFonts w:ascii="ITC Avant Garde" w:hAnsi="ITC Avant Garde"/>
                <w:color w:val="000000" w:themeColor="text1"/>
              </w:rPr>
            </w:pPr>
          </w:p>
        </w:tc>
        <w:tc>
          <w:tcPr>
            <w:tcW w:w="1384" w:type="dxa"/>
            <w:hideMark/>
          </w:tcPr>
          <w:p w14:paraId="254EACB5"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4 horas</w:t>
            </w:r>
          </w:p>
        </w:tc>
        <w:tc>
          <w:tcPr>
            <w:tcW w:w="1343" w:type="dxa"/>
            <w:hideMark/>
          </w:tcPr>
          <w:p w14:paraId="564468EE" w14:textId="77777777" w:rsidR="00526FE9" w:rsidRPr="008762D1" w:rsidRDefault="00526FE9" w:rsidP="00F67F46">
            <w:pPr>
              <w:jc w:val="center"/>
              <w:rPr>
                <w:rFonts w:ascii="ITC Avant Garde" w:hAnsi="ITC Avant Garde"/>
                <w:color w:val="000000" w:themeColor="text1"/>
              </w:rPr>
            </w:pPr>
            <w:r w:rsidRPr="008762D1">
              <w:rPr>
                <w:rFonts w:ascii="ITC Avant Garde" w:hAnsi="ITC Avant Garde"/>
                <w:color w:val="000000" w:themeColor="text1"/>
              </w:rPr>
              <w:t>Después de 8 horas</w:t>
            </w:r>
          </w:p>
        </w:tc>
      </w:tr>
    </w:tbl>
    <w:p w14:paraId="045231B3" w14:textId="77777777" w:rsidR="00526FE9" w:rsidRPr="008762D1" w:rsidRDefault="00526FE9" w:rsidP="000F0B9F">
      <w:pPr>
        <w:spacing w:before="240"/>
        <w:rPr>
          <w:rFonts w:ascii="ITC Avant Garde" w:hAnsi="ITC Avant Garde"/>
          <w:color w:val="000000" w:themeColor="text1"/>
          <w:lang w:val="es-ES" w:eastAsia="es-ES"/>
        </w:rPr>
      </w:pPr>
    </w:p>
    <w:p w14:paraId="6049554D" w14:textId="77777777" w:rsidR="00526FE9" w:rsidRPr="008762D1" w:rsidRDefault="00526FE9" w:rsidP="000F0B9F">
      <w:pPr>
        <w:spacing w:before="240" w:line="480" w:lineRule="auto"/>
        <w:rPr>
          <w:rFonts w:ascii="ITC Avant Garde" w:hAnsi="ITC Avant Garde"/>
          <w:color w:val="000000" w:themeColor="text1"/>
        </w:rPr>
        <w:sectPr w:rsidR="00526FE9" w:rsidRPr="008762D1">
          <w:pgSz w:w="12240" w:h="15840"/>
          <w:pgMar w:top="1843" w:right="1440" w:bottom="1440" w:left="1440" w:header="720" w:footer="720" w:gutter="0"/>
          <w:pgNumType w:start="1"/>
          <w:cols w:space="720"/>
        </w:sectPr>
      </w:pPr>
    </w:p>
    <w:p w14:paraId="785A4A6E" w14:textId="77777777" w:rsidR="00526FE9" w:rsidRPr="008762D1" w:rsidRDefault="00526FE9" w:rsidP="002C0F86">
      <w:pPr>
        <w:pStyle w:val="Ttulo3"/>
        <w:spacing w:before="240"/>
        <w:jc w:val="center"/>
        <w:rPr>
          <w:rFonts w:ascii="ITC Avant Garde" w:hAnsi="ITC Avant Garde"/>
          <w:color w:val="000000" w:themeColor="text1"/>
        </w:rPr>
      </w:pPr>
      <w:r w:rsidRPr="008762D1">
        <w:rPr>
          <w:rFonts w:ascii="ITC Avant Garde" w:hAnsi="ITC Avant Garde"/>
          <w:color w:val="000000" w:themeColor="text1"/>
        </w:rPr>
        <w:lastRenderedPageBreak/>
        <w:t>SUBANEXO “G-2”</w:t>
      </w:r>
    </w:p>
    <w:p w14:paraId="61AE80E0" w14:textId="5E7F3A48" w:rsidR="000F0B9F" w:rsidRPr="008762D1" w:rsidRDefault="00526FE9" w:rsidP="002C0F86">
      <w:pPr>
        <w:rPr>
          <w:rFonts w:ascii="ITC Avant Garde" w:hAnsi="ITC Avant Garde"/>
          <w:color w:val="000000" w:themeColor="text1"/>
        </w:rPr>
      </w:pPr>
      <w:r w:rsidRPr="008762D1">
        <w:rPr>
          <w:rFonts w:ascii="ITC Avant Garde" w:hAnsi="ITC Avant Garde"/>
          <w:color w:val="000000" w:themeColor="text1"/>
        </w:rPr>
        <w:t>PROCEDIMIENTO DE ACCESO A SITIOS</w:t>
      </w:r>
    </w:p>
    <w:p w14:paraId="7E9F9F27" w14:textId="0B33EA41" w:rsidR="000F0B9F" w:rsidRPr="008762D1" w:rsidRDefault="00526FE9" w:rsidP="000F0B9F">
      <w:pPr>
        <w:spacing w:before="240" w:line="340" w:lineRule="atLeast"/>
        <w:ind w:left="567" w:hanging="567"/>
        <w:rPr>
          <w:rFonts w:ascii="ITC Avant Garde" w:hAnsi="ITC Avant Garde"/>
          <w:b/>
          <w:color w:val="000000" w:themeColor="text1"/>
        </w:rPr>
      </w:pPr>
      <w:r w:rsidRPr="008762D1">
        <w:rPr>
          <w:rFonts w:ascii="ITC Avant Garde" w:hAnsi="ITC Avant Garde"/>
          <w:b/>
          <w:color w:val="000000" w:themeColor="text1"/>
        </w:rPr>
        <w:t>1. CONDICIONES GENERALES.</w:t>
      </w:r>
    </w:p>
    <w:p w14:paraId="20616CC8" w14:textId="77777777" w:rsidR="000F0B9F" w:rsidRPr="008762D1" w:rsidRDefault="00526FE9" w:rsidP="000F0B9F">
      <w:pPr>
        <w:spacing w:before="240" w:line="360" w:lineRule="atLeast"/>
        <w:ind w:left="567" w:hanging="567"/>
        <w:jc w:val="both"/>
        <w:rPr>
          <w:rFonts w:ascii="ITC Avant Garde" w:hAnsi="ITC Avant Garde"/>
          <w:b/>
          <w:color w:val="000000" w:themeColor="text1"/>
        </w:rPr>
      </w:pPr>
      <w:r w:rsidRPr="008762D1">
        <w:rPr>
          <w:rFonts w:ascii="ITC Avant Garde" w:hAnsi="ITC Avant Garde"/>
          <w:b/>
          <w:color w:val="000000" w:themeColor="text1"/>
        </w:rPr>
        <w:t>1.1. ACCESO.</w:t>
      </w:r>
    </w:p>
    <w:p w14:paraId="3CAD4E04" w14:textId="77777777" w:rsidR="000F0B9F" w:rsidRPr="008762D1" w:rsidRDefault="00526FE9" w:rsidP="000F0B9F">
      <w:pPr>
        <w:widowControl w:val="0"/>
        <w:numPr>
          <w:ilvl w:val="12"/>
          <w:numId w:val="0"/>
        </w:numPr>
        <w:spacing w:before="240"/>
        <w:jc w:val="both"/>
        <w:rPr>
          <w:rFonts w:ascii="ITC Avant Garde" w:hAnsi="ITC Avant Garde"/>
          <w:color w:val="000000" w:themeColor="text1"/>
        </w:rPr>
      </w:pPr>
      <w:r w:rsidRPr="008762D1">
        <w:rPr>
          <w:rFonts w:ascii="ITC Avant Garde" w:hAnsi="ITC Avant Garde"/>
          <w:color w:val="000000" w:themeColor="text1"/>
        </w:rPr>
        <w:t xml:space="preserve">El Concesionario Solicitante, proporcionará en sus instalaciones un sitio de fácil acceso durante las 24 horas los 365 días del año, con vigilancia permanente, así como un croquis que indique la localización del sitio, lo cual implica, de manera enunciativa </w:t>
      </w:r>
      <w:r w:rsidRPr="008762D1">
        <w:rPr>
          <w:rFonts w:ascii="ITC Avant Garde" w:hAnsi="ITC Avant Garde" w:cs="Arial"/>
          <w:color w:val="000000" w:themeColor="text1"/>
        </w:rPr>
        <w:t>más</w:t>
      </w:r>
      <w:r w:rsidRPr="008762D1">
        <w:rPr>
          <w:rFonts w:ascii="ITC Avant Garde" w:hAnsi="ITC Avant Garde"/>
          <w:color w:val="000000" w:themeColor="text1"/>
        </w:rPr>
        <w:t xml:space="preserve"> no limitativa, trámites con terceros, permisos, condiciones de seguridad y documentación que sea requerida. </w:t>
      </w:r>
    </w:p>
    <w:p w14:paraId="313C7DA4" w14:textId="77777777" w:rsidR="000F0B9F" w:rsidRPr="008762D1" w:rsidRDefault="00526FE9" w:rsidP="002C0F86">
      <w:pPr>
        <w:spacing w:before="240" w:line="360" w:lineRule="atLeast"/>
        <w:ind w:left="567" w:hanging="567"/>
        <w:jc w:val="both"/>
        <w:rPr>
          <w:rFonts w:ascii="ITC Avant Garde" w:hAnsi="ITC Avant Garde"/>
          <w:b/>
          <w:color w:val="000000" w:themeColor="text1"/>
        </w:rPr>
      </w:pPr>
      <w:bookmarkStart w:id="7" w:name="_Toc37217750"/>
      <w:bookmarkStart w:id="8" w:name="_Toc485441608"/>
      <w:r w:rsidRPr="008762D1">
        <w:rPr>
          <w:rFonts w:ascii="ITC Avant Garde" w:hAnsi="ITC Avant Garde"/>
          <w:b/>
          <w:color w:val="000000" w:themeColor="text1"/>
        </w:rPr>
        <w:t>1.2. RECEPCION DE SOLICITUDES DE ACCESO.</w:t>
      </w:r>
      <w:bookmarkEnd w:id="7"/>
      <w:bookmarkEnd w:id="8"/>
    </w:p>
    <w:p w14:paraId="19B05849" w14:textId="77777777" w:rsidR="000F0B9F" w:rsidRPr="008762D1" w:rsidRDefault="00526FE9" w:rsidP="000F0B9F">
      <w:pPr>
        <w:pStyle w:val="Estilo01"/>
        <w:keepNext w:val="0"/>
        <w:suppressAutoHyphens w:val="0"/>
        <w:spacing w:before="240"/>
        <w:rPr>
          <w:rFonts w:ascii="ITC Avant Garde" w:hAnsi="ITC Avant Garde"/>
          <w:caps/>
          <w:color w:val="000000" w:themeColor="text1"/>
          <w:sz w:val="22"/>
        </w:rPr>
      </w:pPr>
      <w:r w:rsidRPr="008762D1">
        <w:rPr>
          <w:rFonts w:ascii="ITC Avant Garde" w:hAnsi="ITC Avant Garde"/>
          <w:color w:val="000000" w:themeColor="text1"/>
          <w:sz w:val="22"/>
          <w:lang w:val="es-MX"/>
        </w:rPr>
        <w:t>Telmex</w:t>
      </w:r>
      <w:r w:rsidRPr="008762D1">
        <w:rPr>
          <w:rFonts w:ascii="ITC Avant Garde" w:hAnsi="ITC Avant Garde"/>
          <w:color w:val="000000" w:themeColor="text1"/>
          <w:sz w:val="22"/>
        </w:rPr>
        <w:t xml:space="preserve"> deberá enviar sus solicitudes de acceso con un mínimo de 48 horas de anticipación dentro del horario de 8:00 a 18:00 horas al Centro de Atención de Red del Concesionario Solicitante. Cuando sea mantenimiento correctivo podrá ser en cualquier día del año a cualquier hora del día.</w:t>
      </w:r>
    </w:p>
    <w:p w14:paraId="57124BE4" w14:textId="77777777" w:rsidR="000F0B9F" w:rsidRPr="008762D1" w:rsidRDefault="00526FE9" w:rsidP="002C0F86">
      <w:pPr>
        <w:spacing w:before="240" w:line="360" w:lineRule="atLeast"/>
        <w:ind w:left="567" w:hanging="567"/>
        <w:jc w:val="both"/>
        <w:rPr>
          <w:rFonts w:ascii="ITC Avant Garde" w:hAnsi="ITC Avant Garde"/>
          <w:b/>
          <w:color w:val="000000" w:themeColor="text1"/>
        </w:rPr>
      </w:pPr>
      <w:bookmarkStart w:id="9" w:name="_Toc37217752"/>
      <w:bookmarkStart w:id="10" w:name="_Toc485441612"/>
      <w:r w:rsidRPr="008762D1">
        <w:rPr>
          <w:rFonts w:ascii="ITC Avant Garde" w:hAnsi="ITC Avant Garde"/>
          <w:b/>
          <w:color w:val="000000" w:themeColor="text1"/>
        </w:rPr>
        <w:t>1.3. INFORMACION DE LAS SOLICITUDES DE ACCESO.</w:t>
      </w:r>
      <w:bookmarkEnd w:id="9"/>
      <w:bookmarkEnd w:id="10"/>
    </w:p>
    <w:p w14:paraId="4D549D57" w14:textId="77777777" w:rsidR="000F0B9F" w:rsidRPr="008762D1" w:rsidRDefault="00526FE9" w:rsidP="000F0B9F">
      <w:pPr>
        <w:pStyle w:val="Estilo01"/>
        <w:keepNext w:val="0"/>
        <w:suppressAutoHyphens w:val="0"/>
        <w:spacing w:before="240"/>
        <w:rPr>
          <w:rFonts w:ascii="ITC Avant Garde" w:hAnsi="ITC Avant Garde"/>
          <w:color w:val="000000" w:themeColor="text1"/>
          <w:sz w:val="22"/>
        </w:rPr>
      </w:pPr>
      <w:r w:rsidRPr="008762D1">
        <w:rPr>
          <w:rFonts w:ascii="ITC Avant Garde" w:hAnsi="ITC Avant Garde"/>
          <w:color w:val="000000" w:themeColor="text1"/>
          <w:sz w:val="22"/>
        </w:rPr>
        <w:t>Las solicitudes de acceso deberán contener como mínimo la siguiente información:</w:t>
      </w:r>
    </w:p>
    <w:p w14:paraId="48C24274" w14:textId="73F65CD7" w:rsidR="00526FE9" w:rsidRPr="008762D1" w:rsidRDefault="00526FE9" w:rsidP="000F0B9F">
      <w:pPr>
        <w:pStyle w:val="Estilo01"/>
        <w:keepNext w:val="0"/>
        <w:numPr>
          <w:ilvl w:val="0"/>
          <w:numId w:val="94"/>
        </w:numPr>
        <w:suppressAutoHyphens w:val="0"/>
        <w:spacing w:before="240"/>
        <w:rPr>
          <w:rFonts w:ascii="ITC Avant Garde" w:hAnsi="ITC Avant Garde"/>
          <w:color w:val="000000" w:themeColor="text1"/>
          <w:sz w:val="22"/>
        </w:rPr>
      </w:pPr>
      <w:r w:rsidRPr="008762D1">
        <w:rPr>
          <w:rFonts w:ascii="ITC Avant Garde" w:hAnsi="ITC Avant Garde"/>
          <w:color w:val="000000" w:themeColor="text1"/>
          <w:sz w:val="22"/>
        </w:rPr>
        <w:t>Nombre, teléfono y correo electrónico del solicitante</w:t>
      </w:r>
    </w:p>
    <w:p w14:paraId="5F7C450A" w14:textId="77777777" w:rsidR="00526FE9" w:rsidRPr="008762D1" w:rsidRDefault="00526FE9" w:rsidP="00F67F46">
      <w:pPr>
        <w:pStyle w:val="Estilo01"/>
        <w:keepNext w:val="0"/>
        <w:numPr>
          <w:ilvl w:val="0"/>
          <w:numId w:val="94"/>
        </w:numPr>
        <w:suppressAutoHyphens w:val="0"/>
        <w:rPr>
          <w:rFonts w:ascii="ITC Avant Garde" w:hAnsi="ITC Avant Garde"/>
          <w:color w:val="000000" w:themeColor="text1"/>
          <w:sz w:val="22"/>
        </w:rPr>
      </w:pPr>
      <w:r w:rsidRPr="008762D1">
        <w:rPr>
          <w:rFonts w:ascii="ITC Avant Garde" w:hAnsi="ITC Avant Garde"/>
          <w:color w:val="000000" w:themeColor="text1"/>
          <w:sz w:val="22"/>
        </w:rPr>
        <w:t xml:space="preserve">Nombre de la empresa </w:t>
      </w:r>
    </w:p>
    <w:p w14:paraId="3D7175DD" w14:textId="77777777" w:rsidR="00526FE9" w:rsidRPr="008762D1" w:rsidRDefault="00526FE9" w:rsidP="00F67F46">
      <w:pPr>
        <w:pStyle w:val="Estilo01"/>
        <w:keepNext w:val="0"/>
        <w:numPr>
          <w:ilvl w:val="0"/>
          <w:numId w:val="94"/>
        </w:numPr>
        <w:suppressAutoHyphens w:val="0"/>
        <w:rPr>
          <w:rFonts w:ascii="ITC Avant Garde" w:hAnsi="ITC Avant Garde"/>
          <w:color w:val="000000" w:themeColor="text1"/>
          <w:sz w:val="22"/>
        </w:rPr>
      </w:pPr>
      <w:r w:rsidRPr="008762D1">
        <w:rPr>
          <w:rFonts w:ascii="ITC Avant Garde" w:hAnsi="ITC Avant Garde"/>
          <w:color w:val="000000" w:themeColor="text1"/>
          <w:sz w:val="22"/>
        </w:rPr>
        <w:t>Nombre y Ciudad de cada una de los sitios a los que se solicita el acceso</w:t>
      </w:r>
    </w:p>
    <w:p w14:paraId="44C361F9" w14:textId="77777777" w:rsidR="00526FE9" w:rsidRPr="008762D1" w:rsidRDefault="00526FE9" w:rsidP="00F67F46">
      <w:pPr>
        <w:pStyle w:val="Estilo01"/>
        <w:keepNext w:val="0"/>
        <w:numPr>
          <w:ilvl w:val="0"/>
          <w:numId w:val="94"/>
        </w:numPr>
        <w:suppressAutoHyphens w:val="0"/>
        <w:rPr>
          <w:rFonts w:ascii="ITC Avant Garde" w:hAnsi="ITC Avant Garde"/>
          <w:color w:val="000000" w:themeColor="text1"/>
          <w:sz w:val="22"/>
        </w:rPr>
      </w:pPr>
      <w:r w:rsidRPr="008762D1">
        <w:rPr>
          <w:rFonts w:ascii="ITC Avant Garde" w:hAnsi="ITC Avant Garde"/>
          <w:color w:val="000000" w:themeColor="text1"/>
          <w:sz w:val="22"/>
        </w:rPr>
        <w:t>Relación del personal, de sus filiales o contratistas que accederán a las instalaciones</w:t>
      </w:r>
    </w:p>
    <w:p w14:paraId="16925A43" w14:textId="77777777" w:rsidR="00526FE9" w:rsidRPr="008762D1" w:rsidRDefault="00526FE9" w:rsidP="00F67F46">
      <w:pPr>
        <w:pStyle w:val="Estilo01"/>
        <w:keepNext w:val="0"/>
        <w:numPr>
          <w:ilvl w:val="0"/>
          <w:numId w:val="94"/>
        </w:numPr>
        <w:suppressAutoHyphens w:val="0"/>
        <w:rPr>
          <w:rFonts w:ascii="ITC Avant Garde" w:hAnsi="ITC Avant Garde"/>
          <w:color w:val="000000" w:themeColor="text1"/>
          <w:sz w:val="22"/>
        </w:rPr>
      </w:pPr>
      <w:r w:rsidRPr="008762D1">
        <w:rPr>
          <w:rFonts w:ascii="ITC Avant Garde" w:hAnsi="ITC Avant Garde"/>
          <w:color w:val="000000" w:themeColor="text1"/>
          <w:sz w:val="22"/>
        </w:rPr>
        <w:t>Descripción de los trabajos a realizar</w:t>
      </w:r>
    </w:p>
    <w:p w14:paraId="079D76CA" w14:textId="77777777" w:rsidR="00526FE9" w:rsidRPr="008762D1" w:rsidRDefault="00526FE9" w:rsidP="00F67F46">
      <w:pPr>
        <w:pStyle w:val="Estilo01"/>
        <w:keepNext w:val="0"/>
        <w:numPr>
          <w:ilvl w:val="0"/>
          <w:numId w:val="94"/>
        </w:numPr>
        <w:suppressAutoHyphens w:val="0"/>
        <w:rPr>
          <w:rFonts w:ascii="ITC Avant Garde" w:hAnsi="ITC Avant Garde"/>
          <w:color w:val="000000" w:themeColor="text1"/>
          <w:sz w:val="22"/>
        </w:rPr>
      </w:pPr>
      <w:r w:rsidRPr="008762D1">
        <w:rPr>
          <w:rFonts w:ascii="ITC Avant Garde" w:hAnsi="ITC Avant Garde"/>
          <w:color w:val="000000" w:themeColor="text1"/>
          <w:sz w:val="22"/>
        </w:rPr>
        <w:t>Horario de trabajos</w:t>
      </w:r>
    </w:p>
    <w:p w14:paraId="3EE2CA92" w14:textId="77777777" w:rsidR="00526FE9" w:rsidRPr="008762D1" w:rsidRDefault="00526FE9" w:rsidP="00F67F46">
      <w:pPr>
        <w:pStyle w:val="Estilo01"/>
        <w:keepNext w:val="0"/>
        <w:numPr>
          <w:ilvl w:val="0"/>
          <w:numId w:val="94"/>
        </w:numPr>
        <w:suppressAutoHyphens w:val="0"/>
        <w:rPr>
          <w:rFonts w:ascii="ITC Avant Garde" w:hAnsi="ITC Avant Garde"/>
          <w:color w:val="000000" w:themeColor="text1"/>
          <w:sz w:val="22"/>
        </w:rPr>
      </w:pPr>
      <w:r w:rsidRPr="008762D1">
        <w:rPr>
          <w:rFonts w:ascii="ITC Avant Garde" w:hAnsi="ITC Avant Garde"/>
          <w:color w:val="000000" w:themeColor="text1"/>
          <w:sz w:val="22"/>
        </w:rPr>
        <w:t>Período de tiempo en el que se requiere el acceso.</w:t>
      </w:r>
    </w:p>
    <w:p w14:paraId="1D821CCE" w14:textId="7D1BA13F" w:rsidR="00526FE9" w:rsidRPr="008762D1" w:rsidRDefault="00526FE9" w:rsidP="00F67F46">
      <w:pPr>
        <w:pStyle w:val="Estilo02"/>
        <w:numPr>
          <w:ilvl w:val="0"/>
          <w:numId w:val="95"/>
        </w:numPr>
        <w:rPr>
          <w:rFonts w:ascii="ITC Avant Garde" w:hAnsi="ITC Avant Garde"/>
          <w:color w:val="000000" w:themeColor="text1"/>
          <w:sz w:val="22"/>
        </w:rPr>
      </w:pPr>
      <w:r w:rsidRPr="008762D1">
        <w:rPr>
          <w:rFonts w:ascii="ITC Avant Garde" w:hAnsi="ITC Avant Garde"/>
          <w:color w:val="000000" w:themeColor="text1"/>
          <w:sz w:val="22"/>
        </w:rPr>
        <w:t>Cuando los trabajos incluyan retiro de equipo deberá agregarse la descripción (y el número de serie cuando aplica) del equipo a retirar.</w:t>
      </w:r>
    </w:p>
    <w:p w14:paraId="1CFA29D0" w14:textId="77777777" w:rsidR="000F0B9F" w:rsidRPr="008762D1" w:rsidRDefault="00526FE9" w:rsidP="00F67F46">
      <w:pPr>
        <w:pStyle w:val="Estilo02"/>
        <w:numPr>
          <w:ilvl w:val="0"/>
          <w:numId w:val="95"/>
        </w:numPr>
        <w:rPr>
          <w:rFonts w:ascii="ITC Avant Garde" w:hAnsi="ITC Avant Garde"/>
          <w:color w:val="000000" w:themeColor="text1"/>
          <w:sz w:val="22"/>
        </w:rPr>
      </w:pPr>
      <w:r w:rsidRPr="008762D1">
        <w:rPr>
          <w:rFonts w:ascii="ITC Avant Garde" w:hAnsi="ITC Avant Garde"/>
          <w:color w:val="000000" w:themeColor="text1"/>
          <w:sz w:val="22"/>
        </w:rPr>
        <w:t>Área fuera del sitio al  que se desea acceder (cuando se requiera)</w:t>
      </w:r>
    </w:p>
    <w:p w14:paraId="08149F49" w14:textId="77777777" w:rsidR="000F0B9F" w:rsidRPr="008762D1" w:rsidRDefault="00526FE9" w:rsidP="000F0B9F">
      <w:pPr>
        <w:pStyle w:val="Estilo02"/>
        <w:spacing w:before="240"/>
        <w:rPr>
          <w:rFonts w:ascii="ITC Avant Garde" w:hAnsi="ITC Avant Garde"/>
          <w:color w:val="000000" w:themeColor="text1"/>
          <w:sz w:val="22"/>
        </w:rPr>
      </w:pPr>
      <w:r w:rsidRPr="008762D1">
        <w:rPr>
          <w:rFonts w:ascii="ITC Avant Garde" w:hAnsi="ITC Avant Garde"/>
          <w:color w:val="000000" w:themeColor="text1"/>
          <w:sz w:val="22"/>
        </w:rPr>
        <w:t>Los tipos de solicitud de autorización se dividen en:</w:t>
      </w:r>
    </w:p>
    <w:p w14:paraId="358DAA66" w14:textId="4422DA11" w:rsidR="00526FE9" w:rsidRPr="008762D1" w:rsidRDefault="00526FE9" w:rsidP="000F0B9F">
      <w:pPr>
        <w:pStyle w:val="Estilo02"/>
        <w:numPr>
          <w:ilvl w:val="0"/>
          <w:numId w:val="96"/>
        </w:numPr>
        <w:tabs>
          <w:tab w:val="clear" w:pos="360"/>
          <w:tab w:val="num" w:pos="1080"/>
        </w:tabs>
        <w:spacing w:before="240"/>
        <w:ind w:left="833"/>
        <w:rPr>
          <w:rFonts w:ascii="ITC Avant Garde" w:hAnsi="ITC Avant Garde"/>
          <w:color w:val="000000" w:themeColor="text1"/>
          <w:sz w:val="22"/>
        </w:rPr>
      </w:pPr>
      <w:r w:rsidRPr="008762D1">
        <w:rPr>
          <w:rFonts w:ascii="ITC Avant Garde" w:hAnsi="ITC Avant Garde"/>
          <w:color w:val="000000" w:themeColor="text1"/>
          <w:sz w:val="22"/>
        </w:rPr>
        <w:t xml:space="preserve">Acceso programado en la fecha y hora señaladas para la instalación </w:t>
      </w:r>
    </w:p>
    <w:p w14:paraId="29E4FB69" w14:textId="3AC32D0E" w:rsidR="000F0B9F" w:rsidRPr="008762D1" w:rsidRDefault="00526FE9" w:rsidP="000F0B9F">
      <w:pPr>
        <w:pStyle w:val="Estilo02"/>
        <w:spacing w:before="240"/>
        <w:ind w:left="720" w:firstLine="113"/>
        <w:rPr>
          <w:rFonts w:ascii="ITC Avant Garde" w:hAnsi="ITC Avant Garde"/>
          <w:color w:val="000000" w:themeColor="text1"/>
          <w:sz w:val="22"/>
        </w:rPr>
      </w:pPr>
      <w:proofErr w:type="gramStart"/>
      <w:r w:rsidRPr="008762D1">
        <w:rPr>
          <w:rFonts w:ascii="ITC Avant Garde" w:hAnsi="ITC Avant Garde"/>
          <w:color w:val="000000" w:themeColor="text1"/>
          <w:sz w:val="22"/>
        </w:rPr>
        <w:t>y</w:t>
      </w:r>
      <w:proofErr w:type="gramEnd"/>
      <w:r w:rsidRPr="008762D1">
        <w:rPr>
          <w:rFonts w:ascii="ITC Avant Garde" w:hAnsi="ITC Avant Garde"/>
          <w:color w:val="000000" w:themeColor="text1"/>
          <w:sz w:val="22"/>
        </w:rPr>
        <w:t xml:space="preserve"> entrega de un nuevo servicio.</w:t>
      </w:r>
    </w:p>
    <w:p w14:paraId="7618E021" w14:textId="4D2EEF15" w:rsidR="00526FE9" w:rsidRPr="008762D1" w:rsidRDefault="00526FE9" w:rsidP="000F0B9F">
      <w:pPr>
        <w:pStyle w:val="Estilo02"/>
        <w:numPr>
          <w:ilvl w:val="0"/>
          <w:numId w:val="96"/>
        </w:numPr>
        <w:tabs>
          <w:tab w:val="clear" w:pos="360"/>
          <w:tab w:val="num" w:pos="1080"/>
        </w:tabs>
        <w:spacing w:before="240"/>
        <w:ind w:left="833"/>
        <w:rPr>
          <w:rFonts w:ascii="ITC Avant Garde" w:hAnsi="ITC Avant Garde"/>
          <w:color w:val="000000" w:themeColor="text1"/>
          <w:sz w:val="22"/>
        </w:rPr>
      </w:pPr>
      <w:r w:rsidRPr="008762D1">
        <w:rPr>
          <w:rFonts w:ascii="ITC Avant Garde" w:hAnsi="ITC Avant Garde"/>
          <w:color w:val="000000" w:themeColor="text1"/>
          <w:sz w:val="22"/>
        </w:rPr>
        <w:t>Acceso trimestral al sitio las 24 horas para trabajos de “Mantenimiento</w:t>
      </w:r>
    </w:p>
    <w:p w14:paraId="67BFA0C1" w14:textId="182B6023" w:rsidR="000F0B9F" w:rsidRPr="008762D1" w:rsidRDefault="00526FE9" w:rsidP="000F0B9F">
      <w:pPr>
        <w:pStyle w:val="Estilo02"/>
        <w:spacing w:before="240"/>
        <w:ind w:left="720"/>
        <w:rPr>
          <w:rFonts w:ascii="ITC Avant Garde" w:hAnsi="ITC Avant Garde"/>
          <w:color w:val="000000" w:themeColor="text1"/>
          <w:sz w:val="22"/>
        </w:rPr>
      </w:pPr>
      <w:r w:rsidRPr="008762D1">
        <w:rPr>
          <w:rFonts w:ascii="ITC Avant Garde" w:hAnsi="ITC Avant Garde"/>
          <w:color w:val="000000" w:themeColor="text1"/>
          <w:sz w:val="22"/>
        </w:rPr>
        <w:t>Preventivo, Correctivo y Atención de Fallas”.</w:t>
      </w:r>
    </w:p>
    <w:p w14:paraId="7E49EF9D" w14:textId="77777777" w:rsidR="000F0B9F" w:rsidRPr="008762D1" w:rsidRDefault="00526FE9" w:rsidP="000F0B9F">
      <w:pPr>
        <w:pStyle w:val="Estilo02"/>
        <w:numPr>
          <w:ilvl w:val="0"/>
          <w:numId w:val="96"/>
        </w:numPr>
        <w:tabs>
          <w:tab w:val="clear" w:pos="360"/>
          <w:tab w:val="num" w:pos="1080"/>
        </w:tabs>
        <w:spacing w:before="240"/>
        <w:ind w:left="1134" w:hanging="425"/>
        <w:rPr>
          <w:rFonts w:ascii="ITC Avant Garde" w:hAnsi="ITC Avant Garde"/>
          <w:color w:val="000000" w:themeColor="text1"/>
          <w:sz w:val="22"/>
        </w:rPr>
      </w:pPr>
      <w:r w:rsidRPr="008762D1">
        <w:rPr>
          <w:rFonts w:ascii="ITC Avant Garde" w:hAnsi="ITC Avant Garde"/>
          <w:color w:val="000000" w:themeColor="text1"/>
          <w:sz w:val="22"/>
        </w:rPr>
        <w:lastRenderedPageBreak/>
        <w:t>Acceso urgente al sitio para atención de fallas, retiro de equipo desconectado, etc. por personal no incluido en el acceso trimestral.</w:t>
      </w:r>
    </w:p>
    <w:p w14:paraId="73D8D167" w14:textId="77777777" w:rsidR="000F0B9F" w:rsidRPr="008762D1" w:rsidRDefault="00526FE9" w:rsidP="000F0B9F">
      <w:pPr>
        <w:pStyle w:val="Estilo02"/>
        <w:numPr>
          <w:ilvl w:val="0"/>
          <w:numId w:val="96"/>
        </w:numPr>
        <w:tabs>
          <w:tab w:val="clear" w:pos="360"/>
          <w:tab w:val="num" w:pos="1181"/>
        </w:tabs>
        <w:spacing w:before="240"/>
        <w:ind w:left="1134" w:hanging="425"/>
        <w:rPr>
          <w:rFonts w:ascii="ITC Avant Garde" w:hAnsi="ITC Avant Garde"/>
          <w:color w:val="000000" w:themeColor="text1"/>
          <w:sz w:val="22"/>
        </w:rPr>
      </w:pPr>
      <w:r w:rsidRPr="008762D1">
        <w:rPr>
          <w:rFonts w:ascii="ITC Avant Garde" w:hAnsi="ITC Avant Garde"/>
          <w:color w:val="000000" w:themeColor="text1"/>
          <w:sz w:val="22"/>
        </w:rPr>
        <w:t>Acceso a áreas fuera del sitio para reparación de cableado, fuentes de energía, antenas, etc.</w:t>
      </w:r>
    </w:p>
    <w:p w14:paraId="207F73E9" w14:textId="77777777" w:rsidR="000F0B9F" w:rsidRPr="008762D1" w:rsidRDefault="00526FE9" w:rsidP="000F0B9F">
      <w:pPr>
        <w:pStyle w:val="Estilo01"/>
        <w:keepNext w:val="0"/>
        <w:suppressAutoHyphens w:val="0"/>
        <w:spacing w:before="240"/>
        <w:rPr>
          <w:rFonts w:ascii="ITC Avant Garde" w:hAnsi="ITC Avant Garde"/>
          <w:color w:val="000000" w:themeColor="text1"/>
          <w:sz w:val="22"/>
        </w:rPr>
      </w:pPr>
      <w:r w:rsidRPr="008762D1">
        <w:rPr>
          <w:rFonts w:ascii="ITC Avant Garde" w:hAnsi="ITC Avant Garde"/>
          <w:color w:val="000000" w:themeColor="text1"/>
          <w:sz w:val="22"/>
        </w:rPr>
        <w:t>Los accesos de personal de Telmex, filiales y contratistas, a los sitios del Concesionario Solicitante contarán con la presencia de un empleado del Concesionario Solicitante.</w:t>
      </w:r>
    </w:p>
    <w:p w14:paraId="7A1156A8" w14:textId="77777777" w:rsidR="000F0B9F" w:rsidRPr="008762D1" w:rsidRDefault="00526FE9" w:rsidP="000F0B9F">
      <w:pPr>
        <w:pStyle w:val="Encabezado"/>
        <w:tabs>
          <w:tab w:val="left" w:pos="709"/>
          <w:tab w:val="left" w:pos="7372"/>
          <w:tab w:val="right" w:pos="9356"/>
        </w:tabs>
        <w:spacing w:before="240"/>
        <w:jc w:val="both"/>
        <w:rPr>
          <w:rFonts w:ascii="ITC Avant Garde" w:hAnsi="ITC Avant Garde"/>
          <w:color w:val="000000" w:themeColor="text1"/>
          <w:lang w:val="es-ES"/>
        </w:rPr>
      </w:pPr>
      <w:r w:rsidRPr="008762D1">
        <w:rPr>
          <w:rFonts w:ascii="ITC Avant Garde" w:hAnsi="ITC Avant Garde"/>
          <w:color w:val="000000" w:themeColor="text1"/>
        </w:rPr>
        <w:t>Todo personal que ingrese a la instalación deberá identificarse como trabajador de la Compañía a la que pertenece mediante credencial actualizada que lo acredite como personal de la misma.</w:t>
      </w:r>
    </w:p>
    <w:p w14:paraId="7115CA9B" w14:textId="77777777" w:rsidR="000F0B9F" w:rsidRPr="008762D1" w:rsidRDefault="00526FE9" w:rsidP="000F0B9F">
      <w:pPr>
        <w:tabs>
          <w:tab w:val="left" w:pos="568"/>
        </w:tabs>
        <w:spacing w:before="240"/>
        <w:ind w:right="43"/>
        <w:jc w:val="both"/>
        <w:rPr>
          <w:rFonts w:ascii="ITC Avant Garde" w:hAnsi="ITC Avant Garde"/>
          <w:color w:val="000000" w:themeColor="text1"/>
        </w:rPr>
      </w:pPr>
      <w:r w:rsidRPr="008762D1">
        <w:rPr>
          <w:rFonts w:ascii="ITC Avant Garde" w:hAnsi="ITC Avant Garde"/>
          <w:color w:val="000000" w:themeColor="text1"/>
        </w:rPr>
        <w:t>Dentro de la instalación, debe existir una bitácora con la finalidad de que el personal que ingrese se registre y anote el motivo de su visita, indicando la hora de entrada, nombre de la persona que visita la instalación, empresa, trabajo realizado, firma y hora de salida, por ejemplo:</w:t>
      </w:r>
    </w:p>
    <w:p w14:paraId="73B086C4" w14:textId="06366D8F" w:rsidR="00526FE9" w:rsidRPr="008762D1" w:rsidRDefault="00526FE9" w:rsidP="000F0B9F">
      <w:pPr>
        <w:tabs>
          <w:tab w:val="left" w:pos="568"/>
        </w:tabs>
        <w:spacing w:before="240"/>
        <w:ind w:right="43"/>
        <w:jc w:val="both"/>
        <w:rPr>
          <w:rFonts w:ascii="ITC Avant Garde" w:hAnsi="ITC Avant Garde"/>
          <w:color w:val="000000" w:themeColor="text1"/>
        </w:rPr>
      </w:pPr>
    </w:p>
    <w:tbl>
      <w:tblPr>
        <w:tblStyle w:val="Cuadrculadetablaclara"/>
        <w:tblW w:w="0" w:type="auto"/>
        <w:jc w:val="center"/>
        <w:tblLayout w:type="fixed"/>
        <w:tblLook w:val="04A0" w:firstRow="1" w:lastRow="0" w:firstColumn="1" w:lastColumn="0" w:noHBand="0" w:noVBand="1"/>
        <w:tblCaption w:val="Tabla"/>
        <w:tblDescription w:val="bitácora "/>
      </w:tblPr>
      <w:tblGrid>
        <w:gridCol w:w="1242"/>
        <w:gridCol w:w="2127"/>
        <w:gridCol w:w="1561"/>
        <w:gridCol w:w="2266"/>
        <w:gridCol w:w="1129"/>
        <w:gridCol w:w="1281"/>
      </w:tblGrid>
      <w:tr w:rsidR="008762D1" w:rsidRPr="008762D1" w14:paraId="34DAFC1C" w14:textId="77777777" w:rsidTr="000703A0">
        <w:trPr>
          <w:tblHeader/>
          <w:jc w:val="center"/>
        </w:trPr>
        <w:tc>
          <w:tcPr>
            <w:tcW w:w="1242" w:type="dxa"/>
            <w:hideMark/>
          </w:tcPr>
          <w:p w14:paraId="562EFEB8" w14:textId="77777777" w:rsidR="00526FE9" w:rsidRPr="008762D1" w:rsidRDefault="00526FE9" w:rsidP="00F67F46">
            <w:pPr>
              <w:tabs>
                <w:tab w:val="left" w:pos="568"/>
              </w:tabs>
              <w:jc w:val="center"/>
              <w:rPr>
                <w:rFonts w:ascii="ITC Avant Garde" w:hAnsi="ITC Avant Garde"/>
                <w:b/>
                <w:color w:val="000000" w:themeColor="text1"/>
              </w:rPr>
            </w:pPr>
            <w:r w:rsidRPr="008762D1">
              <w:rPr>
                <w:rFonts w:ascii="ITC Avant Garde" w:hAnsi="ITC Avant Garde"/>
                <w:b/>
                <w:color w:val="000000" w:themeColor="text1"/>
              </w:rPr>
              <w:t>Hora de Entrada</w:t>
            </w:r>
          </w:p>
        </w:tc>
        <w:tc>
          <w:tcPr>
            <w:tcW w:w="2127" w:type="dxa"/>
            <w:hideMark/>
          </w:tcPr>
          <w:p w14:paraId="63EEB9E0" w14:textId="77777777" w:rsidR="00526FE9" w:rsidRPr="008762D1" w:rsidRDefault="00526FE9" w:rsidP="00F67F46">
            <w:pPr>
              <w:tabs>
                <w:tab w:val="left" w:pos="568"/>
              </w:tabs>
              <w:jc w:val="center"/>
              <w:rPr>
                <w:rFonts w:ascii="ITC Avant Garde" w:hAnsi="ITC Avant Garde"/>
                <w:b/>
                <w:color w:val="000000" w:themeColor="text1"/>
              </w:rPr>
            </w:pPr>
            <w:r w:rsidRPr="008762D1">
              <w:rPr>
                <w:rFonts w:ascii="ITC Avant Garde" w:hAnsi="ITC Avant Garde"/>
                <w:b/>
                <w:color w:val="000000" w:themeColor="text1"/>
              </w:rPr>
              <w:t>Nombre</w:t>
            </w:r>
          </w:p>
        </w:tc>
        <w:tc>
          <w:tcPr>
            <w:tcW w:w="1561" w:type="dxa"/>
            <w:hideMark/>
          </w:tcPr>
          <w:p w14:paraId="585DA8D4" w14:textId="77777777" w:rsidR="00526FE9" w:rsidRPr="008762D1" w:rsidRDefault="00526FE9" w:rsidP="00F67F46">
            <w:pPr>
              <w:tabs>
                <w:tab w:val="left" w:pos="568"/>
              </w:tabs>
              <w:jc w:val="center"/>
              <w:rPr>
                <w:rFonts w:ascii="ITC Avant Garde" w:hAnsi="ITC Avant Garde"/>
                <w:b/>
                <w:color w:val="000000" w:themeColor="text1"/>
              </w:rPr>
            </w:pPr>
            <w:r w:rsidRPr="008762D1">
              <w:rPr>
                <w:rFonts w:ascii="ITC Avant Garde" w:hAnsi="ITC Avant Garde"/>
                <w:b/>
                <w:color w:val="000000" w:themeColor="text1"/>
              </w:rPr>
              <w:t>Empresa</w:t>
            </w:r>
          </w:p>
        </w:tc>
        <w:tc>
          <w:tcPr>
            <w:tcW w:w="2266" w:type="dxa"/>
            <w:hideMark/>
          </w:tcPr>
          <w:p w14:paraId="1C22C0C8" w14:textId="77777777" w:rsidR="00526FE9" w:rsidRPr="008762D1" w:rsidRDefault="00526FE9" w:rsidP="00F67F46">
            <w:pPr>
              <w:tabs>
                <w:tab w:val="left" w:pos="568"/>
              </w:tabs>
              <w:jc w:val="center"/>
              <w:rPr>
                <w:rFonts w:ascii="ITC Avant Garde" w:hAnsi="ITC Avant Garde"/>
                <w:b/>
                <w:color w:val="000000" w:themeColor="text1"/>
              </w:rPr>
            </w:pPr>
            <w:r w:rsidRPr="008762D1">
              <w:rPr>
                <w:rFonts w:ascii="ITC Avant Garde" w:hAnsi="ITC Avant Garde"/>
                <w:b/>
                <w:color w:val="000000" w:themeColor="text1"/>
              </w:rPr>
              <w:t>Trabajo Realizado</w:t>
            </w:r>
          </w:p>
        </w:tc>
        <w:tc>
          <w:tcPr>
            <w:tcW w:w="1129" w:type="dxa"/>
            <w:hideMark/>
          </w:tcPr>
          <w:p w14:paraId="7C4A847B" w14:textId="77777777" w:rsidR="00526FE9" w:rsidRPr="008762D1" w:rsidRDefault="00526FE9" w:rsidP="00F67F46">
            <w:pPr>
              <w:tabs>
                <w:tab w:val="left" w:pos="568"/>
              </w:tabs>
              <w:jc w:val="center"/>
              <w:rPr>
                <w:rFonts w:ascii="ITC Avant Garde" w:hAnsi="ITC Avant Garde"/>
                <w:b/>
                <w:color w:val="000000" w:themeColor="text1"/>
              </w:rPr>
            </w:pPr>
            <w:r w:rsidRPr="008762D1">
              <w:rPr>
                <w:rFonts w:ascii="ITC Avant Garde" w:hAnsi="ITC Avant Garde"/>
                <w:b/>
                <w:color w:val="000000" w:themeColor="text1"/>
              </w:rPr>
              <w:t>Firma</w:t>
            </w:r>
          </w:p>
        </w:tc>
        <w:tc>
          <w:tcPr>
            <w:tcW w:w="1281" w:type="dxa"/>
            <w:hideMark/>
          </w:tcPr>
          <w:p w14:paraId="51C95BFE" w14:textId="77777777" w:rsidR="00526FE9" w:rsidRPr="008762D1" w:rsidRDefault="00526FE9" w:rsidP="00F67F46">
            <w:pPr>
              <w:tabs>
                <w:tab w:val="left" w:pos="568"/>
              </w:tabs>
              <w:jc w:val="center"/>
              <w:rPr>
                <w:rFonts w:ascii="ITC Avant Garde" w:hAnsi="ITC Avant Garde"/>
                <w:b/>
                <w:color w:val="000000" w:themeColor="text1"/>
              </w:rPr>
            </w:pPr>
            <w:r w:rsidRPr="008762D1">
              <w:rPr>
                <w:rFonts w:ascii="ITC Avant Garde" w:hAnsi="ITC Avant Garde"/>
                <w:b/>
                <w:color w:val="000000" w:themeColor="text1"/>
              </w:rPr>
              <w:t>Hora de Salida</w:t>
            </w:r>
          </w:p>
        </w:tc>
      </w:tr>
      <w:tr w:rsidR="00526FE9" w:rsidRPr="008762D1" w14:paraId="30B994B6" w14:textId="77777777" w:rsidTr="000703A0">
        <w:trPr>
          <w:jc w:val="center"/>
        </w:trPr>
        <w:tc>
          <w:tcPr>
            <w:tcW w:w="1242" w:type="dxa"/>
            <w:hideMark/>
          </w:tcPr>
          <w:p w14:paraId="50069A09" w14:textId="77777777" w:rsidR="00526FE9" w:rsidRPr="008762D1" w:rsidRDefault="00526FE9" w:rsidP="00F67F46">
            <w:pPr>
              <w:tabs>
                <w:tab w:val="left" w:pos="568"/>
              </w:tabs>
              <w:jc w:val="center"/>
              <w:rPr>
                <w:rFonts w:ascii="ITC Avant Garde" w:hAnsi="ITC Avant Garde"/>
                <w:color w:val="000000" w:themeColor="text1"/>
              </w:rPr>
            </w:pPr>
            <w:r w:rsidRPr="008762D1">
              <w:rPr>
                <w:rFonts w:ascii="ITC Avant Garde" w:hAnsi="ITC Avant Garde"/>
                <w:color w:val="000000" w:themeColor="text1"/>
              </w:rPr>
              <w:t>10:25</w:t>
            </w:r>
          </w:p>
        </w:tc>
        <w:tc>
          <w:tcPr>
            <w:tcW w:w="2127" w:type="dxa"/>
            <w:hideMark/>
          </w:tcPr>
          <w:p w14:paraId="28501946" w14:textId="77777777" w:rsidR="00526FE9" w:rsidRPr="008762D1" w:rsidRDefault="00526FE9" w:rsidP="00F67F46">
            <w:pPr>
              <w:tabs>
                <w:tab w:val="left" w:pos="568"/>
              </w:tabs>
              <w:jc w:val="center"/>
              <w:rPr>
                <w:rFonts w:ascii="ITC Avant Garde" w:hAnsi="ITC Avant Garde"/>
                <w:color w:val="000000" w:themeColor="text1"/>
              </w:rPr>
            </w:pPr>
            <w:r w:rsidRPr="008762D1">
              <w:rPr>
                <w:rFonts w:ascii="ITC Avant Garde" w:hAnsi="ITC Avant Garde"/>
                <w:color w:val="000000" w:themeColor="text1"/>
              </w:rPr>
              <w:t>Antonio Bello C.</w:t>
            </w:r>
          </w:p>
        </w:tc>
        <w:tc>
          <w:tcPr>
            <w:tcW w:w="1561" w:type="dxa"/>
            <w:hideMark/>
          </w:tcPr>
          <w:p w14:paraId="23E64947" w14:textId="77777777" w:rsidR="00526FE9" w:rsidRPr="008762D1" w:rsidRDefault="00526FE9" w:rsidP="00F67F46">
            <w:pPr>
              <w:tabs>
                <w:tab w:val="left" w:pos="568"/>
              </w:tabs>
              <w:jc w:val="center"/>
              <w:rPr>
                <w:rFonts w:ascii="ITC Avant Garde" w:hAnsi="ITC Avant Garde"/>
                <w:color w:val="000000" w:themeColor="text1"/>
              </w:rPr>
            </w:pPr>
            <w:r w:rsidRPr="008762D1">
              <w:rPr>
                <w:rFonts w:ascii="ITC Avant Garde" w:hAnsi="ITC Avant Garde"/>
                <w:color w:val="000000" w:themeColor="text1"/>
              </w:rPr>
              <w:t>Telmex</w:t>
            </w:r>
          </w:p>
        </w:tc>
        <w:tc>
          <w:tcPr>
            <w:tcW w:w="2266" w:type="dxa"/>
            <w:hideMark/>
          </w:tcPr>
          <w:p w14:paraId="54960122" w14:textId="77777777" w:rsidR="00526FE9" w:rsidRPr="008762D1" w:rsidRDefault="00526FE9" w:rsidP="00F67F46">
            <w:pPr>
              <w:tabs>
                <w:tab w:val="left" w:pos="568"/>
              </w:tabs>
              <w:jc w:val="center"/>
              <w:rPr>
                <w:rFonts w:ascii="ITC Avant Garde" w:hAnsi="ITC Avant Garde"/>
                <w:color w:val="000000" w:themeColor="text1"/>
              </w:rPr>
            </w:pPr>
            <w:r w:rsidRPr="008762D1">
              <w:rPr>
                <w:rFonts w:ascii="ITC Avant Garde" w:hAnsi="ITC Avant Garde"/>
                <w:color w:val="000000" w:themeColor="text1"/>
              </w:rPr>
              <w:t>Restablecimiento de alarma</w:t>
            </w:r>
          </w:p>
        </w:tc>
        <w:tc>
          <w:tcPr>
            <w:tcW w:w="1129" w:type="dxa"/>
          </w:tcPr>
          <w:p w14:paraId="19B6551D" w14:textId="77777777" w:rsidR="00526FE9" w:rsidRPr="008762D1" w:rsidRDefault="00526FE9" w:rsidP="00F67F46">
            <w:pPr>
              <w:tabs>
                <w:tab w:val="left" w:pos="568"/>
              </w:tabs>
              <w:jc w:val="center"/>
              <w:rPr>
                <w:rFonts w:ascii="ITC Avant Garde" w:hAnsi="ITC Avant Garde"/>
                <w:color w:val="000000" w:themeColor="text1"/>
              </w:rPr>
            </w:pPr>
          </w:p>
        </w:tc>
        <w:tc>
          <w:tcPr>
            <w:tcW w:w="1281" w:type="dxa"/>
            <w:hideMark/>
          </w:tcPr>
          <w:p w14:paraId="02EBF243" w14:textId="77777777" w:rsidR="00526FE9" w:rsidRPr="008762D1" w:rsidRDefault="00526FE9" w:rsidP="00F67F46">
            <w:pPr>
              <w:tabs>
                <w:tab w:val="left" w:pos="568"/>
              </w:tabs>
              <w:jc w:val="center"/>
              <w:rPr>
                <w:rFonts w:ascii="ITC Avant Garde" w:hAnsi="ITC Avant Garde"/>
                <w:color w:val="000000" w:themeColor="text1"/>
              </w:rPr>
            </w:pPr>
            <w:r w:rsidRPr="008762D1">
              <w:rPr>
                <w:rFonts w:ascii="ITC Avant Garde" w:hAnsi="ITC Avant Garde"/>
                <w:color w:val="000000" w:themeColor="text1"/>
              </w:rPr>
              <w:t>11:45</w:t>
            </w:r>
          </w:p>
        </w:tc>
      </w:tr>
    </w:tbl>
    <w:p w14:paraId="6C0A9D55" w14:textId="77777777" w:rsidR="000F0B9F" w:rsidRPr="008762D1" w:rsidRDefault="000F0B9F" w:rsidP="000F0B9F">
      <w:pPr>
        <w:tabs>
          <w:tab w:val="left" w:pos="568"/>
        </w:tabs>
        <w:spacing w:before="240"/>
        <w:ind w:right="43"/>
        <w:jc w:val="both"/>
        <w:rPr>
          <w:rFonts w:ascii="ITC Avant Garde" w:hAnsi="ITC Avant Garde"/>
          <w:color w:val="000000" w:themeColor="text1"/>
          <w:lang w:val="es-ES" w:eastAsia="es-ES"/>
        </w:rPr>
      </w:pPr>
    </w:p>
    <w:p w14:paraId="117F7359" w14:textId="77777777" w:rsidR="000F0B9F" w:rsidRPr="008762D1" w:rsidRDefault="00526FE9" w:rsidP="000F0B9F">
      <w:pPr>
        <w:numPr>
          <w:ilvl w:val="12"/>
          <w:numId w:val="0"/>
        </w:numPr>
        <w:spacing w:before="240"/>
        <w:ind w:right="43"/>
        <w:rPr>
          <w:rFonts w:ascii="ITC Avant Garde" w:hAnsi="ITC Avant Garde"/>
          <w:b/>
          <w:color w:val="000000" w:themeColor="text1"/>
        </w:rPr>
      </w:pPr>
      <w:r w:rsidRPr="008762D1">
        <w:rPr>
          <w:rFonts w:ascii="ITC Avant Garde" w:hAnsi="ITC Avant Garde"/>
          <w:b/>
          <w:color w:val="000000" w:themeColor="text1"/>
        </w:rPr>
        <w:t>1.4. IDENTIFICACION.</w:t>
      </w:r>
    </w:p>
    <w:p w14:paraId="71A1F5DF" w14:textId="77777777" w:rsidR="000F0B9F" w:rsidRPr="008762D1" w:rsidRDefault="00526FE9" w:rsidP="000F0B9F">
      <w:pPr>
        <w:pStyle w:val="Textoindependiente"/>
        <w:spacing w:before="240"/>
        <w:rPr>
          <w:rFonts w:ascii="ITC Avant Garde" w:hAnsi="ITC Avant Garde"/>
          <w:color w:val="000000" w:themeColor="text1"/>
        </w:rPr>
      </w:pPr>
      <w:r w:rsidRPr="008762D1">
        <w:rPr>
          <w:rFonts w:ascii="ITC Avant Garde" w:hAnsi="ITC Avant Garde"/>
          <w:color w:val="000000" w:themeColor="text1"/>
        </w:rPr>
        <w:t xml:space="preserve">Se deben colocar señalamientos claros y visibles con marcadores de Seguridad Industrial que indiquen la localización del sitio en el área asignada. </w:t>
      </w:r>
    </w:p>
    <w:p w14:paraId="668A00D0" w14:textId="77777777" w:rsidR="000F0B9F" w:rsidRPr="008762D1" w:rsidRDefault="00526FE9" w:rsidP="000F0B9F">
      <w:pPr>
        <w:pStyle w:val="Textoindependiente"/>
        <w:tabs>
          <w:tab w:val="left" w:pos="568"/>
        </w:tabs>
        <w:spacing w:before="240"/>
        <w:rPr>
          <w:rFonts w:ascii="ITC Avant Garde" w:hAnsi="ITC Avant Garde"/>
          <w:color w:val="000000" w:themeColor="text1"/>
        </w:rPr>
      </w:pPr>
      <w:r w:rsidRPr="008762D1">
        <w:rPr>
          <w:rFonts w:ascii="ITC Avant Garde" w:hAnsi="ITC Avant Garde"/>
          <w:color w:val="000000" w:themeColor="text1"/>
        </w:rPr>
        <w:t xml:space="preserve">Así mismo, el propietario debe señalar, mediante rótulos y/o simbología normada por el mismo, la ubicación de la infraestructura que se emplea en cada instalación, como son: Equipos de Fuerza (C.A. y C.D.), Referencia a Tierra, Cableados de F.O. y demás elementos que se utilicen por los Concesionarios Solicitantes. </w:t>
      </w:r>
    </w:p>
    <w:p w14:paraId="2C7BFD9B" w14:textId="7E92F33A" w:rsidR="00526FE9" w:rsidRPr="008762D1" w:rsidRDefault="00526FE9" w:rsidP="000F0B9F">
      <w:pPr>
        <w:spacing w:before="240"/>
        <w:rPr>
          <w:rFonts w:ascii="ITC Avant Garde" w:hAnsi="ITC Avant Garde"/>
          <w:color w:val="000000" w:themeColor="text1"/>
        </w:rPr>
        <w:sectPr w:rsidR="00526FE9" w:rsidRPr="008762D1">
          <w:pgSz w:w="12240" w:h="15840"/>
          <w:pgMar w:top="1843" w:right="1440" w:bottom="1440" w:left="1440" w:header="720" w:footer="720" w:gutter="0"/>
          <w:pgNumType w:start="1"/>
          <w:cols w:space="720"/>
        </w:sectPr>
      </w:pPr>
    </w:p>
    <w:p w14:paraId="76012481" w14:textId="77777777" w:rsidR="000F0B9F" w:rsidRPr="008762D1" w:rsidRDefault="00526FE9" w:rsidP="002C0F86">
      <w:pPr>
        <w:pStyle w:val="Ttulo3"/>
        <w:spacing w:before="240"/>
        <w:jc w:val="center"/>
        <w:rPr>
          <w:rFonts w:ascii="ITC Avant Garde" w:hAnsi="ITC Avant Garde"/>
          <w:color w:val="000000" w:themeColor="text1"/>
          <w:szCs w:val="22"/>
        </w:rPr>
      </w:pPr>
      <w:r w:rsidRPr="008762D1">
        <w:rPr>
          <w:rFonts w:ascii="ITC Avant Garde" w:hAnsi="ITC Avant Garde"/>
          <w:color w:val="000000" w:themeColor="text1"/>
        </w:rPr>
        <w:lastRenderedPageBreak/>
        <w:t>SUBANEXO “G-3</w:t>
      </w:r>
    </w:p>
    <w:p w14:paraId="6A0C313D" w14:textId="77777777" w:rsidR="000F0B9F" w:rsidRPr="008762D1" w:rsidRDefault="00526FE9" w:rsidP="002C0F86">
      <w:pPr>
        <w:jc w:val="center"/>
        <w:rPr>
          <w:rFonts w:ascii="ITC Avant Garde" w:hAnsi="ITC Avant Garde"/>
          <w:b/>
          <w:color w:val="000000" w:themeColor="text1"/>
        </w:rPr>
      </w:pPr>
      <w:r w:rsidRPr="008762D1">
        <w:rPr>
          <w:rFonts w:ascii="ITC Avant Garde" w:hAnsi="ITC Avant Garde"/>
          <w:b/>
          <w:color w:val="000000" w:themeColor="text1"/>
        </w:rPr>
        <w:t>FORMATO DE PRONÓSTICO DE  REQUERIMIENTOS DE SERVICIO DE ENLACES DEDICADOS DE INTERCONEXIÓN</w:t>
      </w:r>
    </w:p>
    <w:p w14:paraId="1177F382" w14:textId="52FEB9E0" w:rsidR="00526FE9" w:rsidRPr="008762D1" w:rsidRDefault="00526FE9" w:rsidP="002C0F86">
      <w:pPr>
        <w:spacing w:before="240"/>
        <w:ind w:left="-180" w:firstLine="180"/>
        <w:jc w:val="both"/>
        <w:rPr>
          <w:rFonts w:ascii="ITC Avant Garde" w:hAnsi="ITC Avant Garde"/>
          <w:color w:val="000000" w:themeColor="text1"/>
          <w:lang w:val="es-ES"/>
        </w:rPr>
      </w:pPr>
      <w:r w:rsidRPr="008762D1">
        <w:rPr>
          <w:rFonts w:ascii="ITC Avant Garde" w:hAnsi="ITC Avant Garde"/>
          <w:color w:val="000000" w:themeColor="text1"/>
        </w:rPr>
        <w:t xml:space="preserve">Concesionario Solicitante: ______________ </w:t>
      </w:r>
    </w:p>
    <w:p w14:paraId="41C57D1F" w14:textId="77777777" w:rsidR="00526FE9" w:rsidRPr="008762D1" w:rsidRDefault="00526FE9" w:rsidP="002C0F86">
      <w:pPr>
        <w:spacing w:before="240"/>
        <w:rPr>
          <w:rFonts w:ascii="ITC Avant Garde" w:hAnsi="ITC Avant Garde"/>
          <w:color w:val="000000" w:themeColor="text1"/>
        </w:rPr>
      </w:pPr>
    </w:p>
    <w:tbl>
      <w:tblPr>
        <w:tblW w:w="9915" w:type="dxa"/>
        <w:tblInd w:w="75" w:type="dxa"/>
        <w:tblLayout w:type="fixed"/>
        <w:tblCellMar>
          <w:left w:w="70" w:type="dxa"/>
          <w:right w:w="70" w:type="dxa"/>
        </w:tblCellMar>
        <w:tblLook w:val="04A0" w:firstRow="1" w:lastRow="0" w:firstColumn="1" w:lastColumn="0" w:noHBand="0" w:noVBand="1"/>
        <w:tblCaption w:val="Tabla"/>
        <w:tblDescription w:val="FORMATO DE PRONÓSTICO DE  REQUERIMIENTOS DE SERVICIO DE ENLACES DEDICADOS DE INTERCONEXIÓN"/>
      </w:tblPr>
      <w:tblGrid>
        <w:gridCol w:w="259"/>
        <w:gridCol w:w="2002"/>
        <w:gridCol w:w="1418"/>
        <w:gridCol w:w="1257"/>
        <w:gridCol w:w="160"/>
        <w:gridCol w:w="2267"/>
        <w:gridCol w:w="1418"/>
        <w:gridCol w:w="1134"/>
      </w:tblGrid>
      <w:tr w:rsidR="008762D1" w:rsidRPr="008762D1" w14:paraId="777DFC61" w14:textId="77777777" w:rsidTr="00F67F46">
        <w:trPr>
          <w:trHeight w:val="255"/>
          <w:tblHeader/>
        </w:trPr>
        <w:tc>
          <w:tcPr>
            <w:tcW w:w="260" w:type="dxa"/>
            <w:noWrap/>
            <w:vAlign w:val="bottom"/>
            <w:hideMark/>
          </w:tcPr>
          <w:p w14:paraId="505DDF42" w14:textId="77777777" w:rsidR="00526FE9" w:rsidRPr="008762D1" w:rsidRDefault="00526FE9" w:rsidP="002C0F86">
            <w:pPr>
              <w:rPr>
                <w:rFonts w:ascii="ITC Avant Garde" w:hAnsi="ITC Avant Garde"/>
                <w:color w:val="000000" w:themeColor="text1"/>
              </w:rPr>
            </w:pPr>
          </w:p>
        </w:tc>
        <w:tc>
          <w:tcPr>
            <w:tcW w:w="4678" w:type="dxa"/>
            <w:gridSpan w:val="3"/>
            <w:noWrap/>
            <w:vAlign w:val="bottom"/>
            <w:hideMark/>
          </w:tcPr>
          <w:p w14:paraId="3C4ACE61" w14:textId="77777777" w:rsidR="00526FE9" w:rsidRPr="008762D1" w:rsidRDefault="00526FE9" w:rsidP="002C0F86">
            <w:pPr>
              <w:rPr>
                <w:rFonts w:ascii="ITC Avant Garde" w:hAnsi="ITC Avant Garde"/>
                <w:color w:val="000000" w:themeColor="text1"/>
                <w:szCs w:val="24"/>
                <w:lang w:val="es-ES" w:eastAsia="es-ES"/>
              </w:rPr>
            </w:pPr>
            <w:r w:rsidRPr="008762D1">
              <w:rPr>
                <w:rFonts w:ascii="ITC Avant Garde" w:hAnsi="ITC Avant Garde"/>
                <w:color w:val="000000" w:themeColor="text1"/>
              </w:rPr>
              <w:t>Fecha de entrega: 30 de junio de 20___</w:t>
            </w:r>
          </w:p>
        </w:tc>
        <w:tc>
          <w:tcPr>
            <w:tcW w:w="160" w:type="dxa"/>
            <w:noWrap/>
            <w:vAlign w:val="bottom"/>
            <w:hideMark/>
          </w:tcPr>
          <w:p w14:paraId="1CDC2C31" w14:textId="77777777" w:rsidR="00526FE9" w:rsidRPr="008762D1" w:rsidRDefault="00526FE9" w:rsidP="002C0F86">
            <w:pPr>
              <w:rPr>
                <w:rFonts w:ascii="ITC Avant Garde" w:hAnsi="ITC Avant Garde"/>
                <w:color w:val="000000" w:themeColor="text1"/>
              </w:rPr>
            </w:pPr>
          </w:p>
        </w:tc>
        <w:tc>
          <w:tcPr>
            <w:tcW w:w="4820" w:type="dxa"/>
            <w:gridSpan w:val="3"/>
            <w:noWrap/>
            <w:vAlign w:val="bottom"/>
            <w:hideMark/>
          </w:tcPr>
          <w:p w14:paraId="45981C2E" w14:textId="77777777" w:rsidR="00526FE9" w:rsidRPr="008762D1" w:rsidRDefault="00526FE9" w:rsidP="002C0F86">
            <w:pPr>
              <w:rPr>
                <w:rFonts w:ascii="ITC Avant Garde" w:hAnsi="ITC Avant Garde"/>
                <w:color w:val="000000" w:themeColor="text1"/>
                <w:szCs w:val="24"/>
                <w:lang w:val="es-ES" w:eastAsia="es-ES"/>
              </w:rPr>
            </w:pPr>
            <w:r w:rsidRPr="008762D1">
              <w:rPr>
                <w:rFonts w:ascii="ITC Avant Garde" w:hAnsi="ITC Avant Garde"/>
                <w:color w:val="000000" w:themeColor="text1"/>
              </w:rPr>
              <w:t>Fecha de entrega: 31 de diciembre de 20___</w:t>
            </w:r>
          </w:p>
        </w:tc>
      </w:tr>
      <w:tr w:rsidR="008762D1" w:rsidRPr="008762D1" w14:paraId="714B168F" w14:textId="77777777" w:rsidTr="00F67F46">
        <w:trPr>
          <w:trHeight w:val="315"/>
          <w:tblHeader/>
        </w:trPr>
        <w:tc>
          <w:tcPr>
            <w:tcW w:w="260" w:type="dxa"/>
            <w:noWrap/>
            <w:vAlign w:val="bottom"/>
            <w:hideMark/>
          </w:tcPr>
          <w:p w14:paraId="3748161E" w14:textId="77777777" w:rsidR="00526FE9" w:rsidRPr="008762D1" w:rsidRDefault="00526FE9" w:rsidP="002C0F86">
            <w:pPr>
              <w:rPr>
                <w:rFonts w:ascii="ITC Avant Garde" w:hAnsi="ITC Avant Garde"/>
                <w:color w:val="000000" w:themeColor="text1"/>
              </w:rPr>
            </w:pPr>
          </w:p>
        </w:tc>
        <w:tc>
          <w:tcPr>
            <w:tcW w:w="2003" w:type="dxa"/>
            <w:noWrap/>
            <w:vAlign w:val="bottom"/>
            <w:hideMark/>
          </w:tcPr>
          <w:p w14:paraId="6385408F" w14:textId="77777777" w:rsidR="00526FE9" w:rsidRPr="008762D1" w:rsidRDefault="00526FE9" w:rsidP="002C0F86">
            <w:pPr>
              <w:rPr>
                <w:color w:val="000000" w:themeColor="text1"/>
                <w:sz w:val="20"/>
                <w:szCs w:val="20"/>
                <w:lang w:eastAsia="es-MX"/>
              </w:rPr>
            </w:pPr>
          </w:p>
        </w:tc>
        <w:tc>
          <w:tcPr>
            <w:tcW w:w="1418" w:type="dxa"/>
            <w:noWrap/>
            <w:vAlign w:val="bottom"/>
            <w:hideMark/>
          </w:tcPr>
          <w:p w14:paraId="0A0A889E" w14:textId="77777777" w:rsidR="00526FE9" w:rsidRPr="008762D1" w:rsidRDefault="00526FE9" w:rsidP="002C0F86">
            <w:pPr>
              <w:rPr>
                <w:color w:val="000000" w:themeColor="text1"/>
                <w:sz w:val="20"/>
                <w:szCs w:val="20"/>
                <w:lang w:eastAsia="es-MX"/>
              </w:rPr>
            </w:pPr>
          </w:p>
        </w:tc>
        <w:tc>
          <w:tcPr>
            <w:tcW w:w="1257" w:type="dxa"/>
            <w:noWrap/>
            <w:vAlign w:val="bottom"/>
            <w:hideMark/>
          </w:tcPr>
          <w:p w14:paraId="5127C0A2" w14:textId="77777777" w:rsidR="00526FE9" w:rsidRPr="008762D1" w:rsidRDefault="00526FE9" w:rsidP="002C0F86">
            <w:pPr>
              <w:rPr>
                <w:color w:val="000000" w:themeColor="text1"/>
                <w:sz w:val="20"/>
                <w:szCs w:val="20"/>
                <w:lang w:eastAsia="es-MX"/>
              </w:rPr>
            </w:pPr>
          </w:p>
        </w:tc>
        <w:tc>
          <w:tcPr>
            <w:tcW w:w="160" w:type="dxa"/>
            <w:noWrap/>
            <w:vAlign w:val="bottom"/>
            <w:hideMark/>
          </w:tcPr>
          <w:p w14:paraId="7D15D945" w14:textId="77777777" w:rsidR="00526FE9" w:rsidRPr="008762D1" w:rsidRDefault="00526FE9" w:rsidP="002C0F86">
            <w:pPr>
              <w:rPr>
                <w:color w:val="000000" w:themeColor="text1"/>
                <w:sz w:val="20"/>
                <w:szCs w:val="20"/>
                <w:lang w:eastAsia="es-MX"/>
              </w:rPr>
            </w:pPr>
          </w:p>
        </w:tc>
        <w:tc>
          <w:tcPr>
            <w:tcW w:w="2268" w:type="dxa"/>
            <w:noWrap/>
            <w:vAlign w:val="bottom"/>
            <w:hideMark/>
          </w:tcPr>
          <w:p w14:paraId="4A3D24C7" w14:textId="77777777" w:rsidR="00526FE9" w:rsidRPr="008762D1" w:rsidRDefault="00526FE9" w:rsidP="002C0F86">
            <w:pPr>
              <w:rPr>
                <w:color w:val="000000" w:themeColor="text1"/>
                <w:sz w:val="20"/>
                <w:szCs w:val="20"/>
                <w:lang w:eastAsia="es-MX"/>
              </w:rPr>
            </w:pPr>
          </w:p>
        </w:tc>
        <w:tc>
          <w:tcPr>
            <w:tcW w:w="1418" w:type="dxa"/>
            <w:noWrap/>
            <w:vAlign w:val="bottom"/>
            <w:hideMark/>
          </w:tcPr>
          <w:p w14:paraId="26B8B1BF" w14:textId="77777777" w:rsidR="00526FE9" w:rsidRPr="008762D1" w:rsidRDefault="00526FE9" w:rsidP="002C0F86">
            <w:pPr>
              <w:rPr>
                <w:color w:val="000000" w:themeColor="text1"/>
                <w:sz w:val="20"/>
                <w:szCs w:val="20"/>
                <w:lang w:eastAsia="es-MX"/>
              </w:rPr>
            </w:pPr>
          </w:p>
        </w:tc>
        <w:tc>
          <w:tcPr>
            <w:tcW w:w="1134" w:type="dxa"/>
            <w:noWrap/>
            <w:vAlign w:val="bottom"/>
            <w:hideMark/>
          </w:tcPr>
          <w:p w14:paraId="1687C2DB" w14:textId="77777777" w:rsidR="00526FE9" w:rsidRPr="008762D1" w:rsidRDefault="00526FE9" w:rsidP="002C0F86">
            <w:pPr>
              <w:rPr>
                <w:color w:val="000000" w:themeColor="text1"/>
                <w:sz w:val="20"/>
                <w:szCs w:val="20"/>
                <w:lang w:eastAsia="es-MX"/>
              </w:rPr>
            </w:pPr>
          </w:p>
        </w:tc>
      </w:tr>
      <w:tr w:rsidR="008762D1" w:rsidRPr="008762D1" w14:paraId="41A0BCF6" w14:textId="77777777" w:rsidTr="00F67F46">
        <w:trPr>
          <w:trHeight w:val="315"/>
          <w:tblHeader/>
        </w:trPr>
        <w:tc>
          <w:tcPr>
            <w:tcW w:w="260" w:type="dxa"/>
            <w:noWrap/>
            <w:vAlign w:val="bottom"/>
            <w:hideMark/>
          </w:tcPr>
          <w:p w14:paraId="68AD6555" w14:textId="77777777" w:rsidR="00526FE9" w:rsidRPr="008762D1" w:rsidRDefault="00526FE9" w:rsidP="002C0F86">
            <w:pPr>
              <w:rPr>
                <w:color w:val="000000" w:themeColor="text1"/>
                <w:sz w:val="20"/>
                <w:szCs w:val="20"/>
                <w:lang w:eastAsia="es-MX"/>
              </w:rPr>
            </w:pPr>
          </w:p>
        </w:tc>
        <w:tc>
          <w:tcPr>
            <w:tcW w:w="4678" w:type="dxa"/>
            <w:gridSpan w:val="3"/>
            <w:tcBorders>
              <w:top w:val="single" w:sz="8" w:space="0" w:color="auto"/>
              <w:left w:val="single" w:sz="8" w:space="0" w:color="auto"/>
              <w:bottom w:val="single" w:sz="8" w:space="0" w:color="auto"/>
              <w:right w:val="single" w:sz="8" w:space="0" w:color="000000"/>
            </w:tcBorders>
            <w:shd w:val="clear" w:color="auto" w:fill="CCCCCC"/>
            <w:vAlign w:val="bottom"/>
            <w:hideMark/>
          </w:tcPr>
          <w:p w14:paraId="5F15519B" w14:textId="77777777" w:rsidR="00526FE9" w:rsidRPr="008762D1" w:rsidRDefault="00526FE9" w:rsidP="002C0F86">
            <w:pPr>
              <w:jc w:val="center"/>
              <w:rPr>
                <w:rFonts w:ascii="ITC Avant Garde" w:hAnsi="ITC Avant Garde"/>
                <w:b/>
                <w:color w:val="000000" w:themeColor="text1"/>
                <w:szCs w:val="24"/>
                <w:lang w:val="es-ES" w:eastAsia="es-ES"/>
              </w:rPr>
            </w:pPr>
            <w:r w:rsidRPr="008762D1">
              <w:rPr>
                <w:rFonts w:ascii="ITC Avant Garde" w:hAnsi="ITC Avant Garde"/>
                <w:b/>
                <w:color w:val="000000" w:themeColor="text1"/>
              </w:rPr>
              <w:t>ENLACES DEDICADOS DE INTERCONEXIÓN</w:t>
            </w:r>
          </w:p>
        </w:tc>
        <w:tc>
          <w:tcPr>
            <w:tcW w:w="160" w:type="dxa"/>
            <w:noWrap/>
            <w:vAlign w:val="bottom"/>
            <w:hideMark/>
          </w:tcPr>
          <w:p w14:paraId="4FE89E72" w14:textId="77777777" w:rsidR="00526FE9" w:rsidRPr="008762D1" w:rsidRDefault="00526FE9" w:rsidP="002C0F86">
            <w:pPr>
              <w:rPr>
                <w:rFonts w:ascii="ITC Avant Garde" w:hAnsi="ITC Avant Garde"/>
                <w:b/>
                <w:color w:val="000000" w:themeColor="text1"/>
              </w:rPr>
            </w:pPr>
          </w:p>
        </w:tc>
        <w:tc>
          <w:tcPr>
            <w:tcW w:w="4820" w:type="dxa"/>
            <w:gridSpan w:val="3"/>
            <w:tcBorders>
              <w:top w:val="single" w:sz="8" w:space="0" w:color="auto"/>
              <w:left w:val="single" w:sz="8" w:space="0" w:color="auto"/>
              <w:bottom w:val="single" w:sz="8" w:space="0" w:color="auto"/>
              <w:right w:val="single" w:sz="8" w:space="0" w:color="000000"/>
            </w:tcBorders>
            <w:shd w:val="clear" w:color="auto" w:fill="CCCCCC"/>
            <w:vAlign w:val="bottom"/>
            <w:hideMark/>
          </w:tcPr>
          <w:p w14:paraId="2A134DE9" w14:textId="77777777" w:rsidR="00526FE9" w:rsidRPr="008762D1" w:rsidRDefault="00526FE9" w:rsidP="002C0F86">
            <w:pPr>
              <w:jc w:val="center"/>
              <w:rPr>
                <w:rFonts w:ascii="ITC Avant Garde" w:hAnsi="ITC Avant Garde"/>
                <w:b/>
                <w:color w:val="000000" w:themeColor="text1"/>
                <w:szCs w:val="24"/>
                <w:lang w:val="es-ES" w:eastAsia="es-ES"/>
              </w:rPr>
            </w:pPr>
            <w:r w:rsidRPr="008762D1">
              <w:rPr>
                <w:rFonts w:ascii="ITC Avant Garde" w:hAnsi="ITC Avant Garde"/>
                <w:b/>
                <w:color w:val="000000" w:themeColor="text1"/>
              </w:rPr>
              <w:t>ENLACES DEDICADOS DE INTERCONEXIÓN</w:t>
            </w:r>
          </w:p>
        </w:tc>
      </w:tr>
      <w:tr w:rsidR="008762D1" w:rsidRPr="008762D1" w14:paraId="75CE9C74" w14:textId="77777777" w:rsidTr="00F67F46">
        <w:trPr>
          <w:trHeight w:val="300"/>
          <w:tblHeader/>
        </w:trPr>
        <w:tc>
          <w:tcPr>
            <w:tcW w:w="260" w:type="dxa"/>
            <w:noWrap/>
            <w:vAlign w:val="bottom"/>
            <w:hideMark/>
          </w:tcPr>
          <w:p w14:paraId="4E7DF0A0" w14:textId="77777777" w:rsidR="00526FE9" w:rsidRPr="008762D1" w:rsidRDefault="00526FE9" w:rsidP="002C0F86">
            <w:pPr>
              <w:rPr>
                <w:rFonts w:ascii="ITC Avant Garde" w:hAnsi="ITC Avant Garde"/>
                <w:b/>
                <w:color w:val="000000" w:themeColor="text1"/>
              </w:rPr>
            </w:pPr>
          </w:p>
        </w:tc>
        <w:tc>
          <w:tcPr>
            <w:tcW w:w="4678" w:type="dxa"/>
            <w:gridSpan w:val="3"/>
            <w:tcBorders>
              <w:top w:val="single" w:sz="8" w:space="0" w:color="auto"/>
              <w:left w:val="single" w:sz="8" w:space="0" w:color="auto"/>
              <w:bottom w:val="nil"/>
              <w:right w:val="single" w:sz="8" w:space="0" w:color="000000"/>
            </w:tcBorders>
            <w:shd w:val="clear" w:color="auto" w:fill="CCCCCC"/>
            <w:vAlign w:val="bottom"/>
            <w:hideMark/>
          </w:tcPr>
          <w:p w14:paraId="5084F9FF" w14:textId="77777777" w:rsidR="00526FE9" w:rsidRPr="008762D1" w:rsidRDefault="00526FE9" w:rsidP="002C0F86">
            <w:pPr>
              <w:jc w:val="center"/>
              <w:rPr>
                <w:rFonts w:ascii="ITC Avant Garde" w:hAnsi="ITC Avant Garde"/>
                <w:b/>
                <w:color w:val="000000" w:themeColor="text1"/>
                <w:szCs w:val="24"/>
                <w:lang w:val="es-ES" w:eastAsia="es-ES"/>
              </w:rPr>
            </w:pPr>
            <w:r w:rsidRPr="008762D1">
              <w:rPr>
                <w:rFonts w:ascii="ITC Avant Garde" w:hAnsi="ITC Avant Garde"/>
                <w:b/>
                <w:color w:val="000000" w:themeColor="text1"/>
              </w:rPr>
              <w:t>REQUERIMIENTOS  DEL</w:t>
            </w:r>
          </w:p>
        </w:tc>
        <w:tc>
          <w:tcPr>
            <w:tcW w:w="160" w:type="dxa"/>
            <w:noWrap/>
            <w:vAlign w:val="bottom"/>
            <w:hideMark/>
          </w:tcPr>
          <w:p w14:paraId="18779D9B" w14:textId="77777777" w:rsidR="00526FE9" w:rsidRPr="008762D1" w:rsidRDefault="00526FE9" w:rsidP="002C0F86">
            <w:pPr>
              <w:rPr>
                <w:rFonts w:ascii="ITC Avant Garde" w:hAnsi="ITC Avant Garde"/>
                <w:b/>
                <w:color w:val="000000" w:themeColor="text1"/>
              </w:rPr>
            </w:pPr>
          </w:p>
        </w:tc>
        <w:tc>
          <w:tcPr>
            <w:tcW w:w="4820" w:type="dxa"/>
            <w:gridSpan w:val="3"/>
            <w:tcBorders>
              <w:top w:val="single" w:sz="8" w:space="0" w:color="auto"/>
              <w:left w:val="single" w:sz="8" w:space="0" w:color="auto"/>
              <w:bottom w:val="nil"/>
              <w:right w:val="single" w:sz="8" w:space="0" w:color="000000"/>
            </w:tcBorders>
            <w:shd w:val="clear" w:color="auto" w:fill="CCCCCC"/>
            <w:vAlign w:val="bottom"/>
            <w:hideMark/>
          </w:tcPr>
          <w:p w14:paraId="3FE60159" w14:textId="77777777" w:rsidR="00526FE9" w:rsidRPr="008762D1" w:rsidRDefault="00526FE9" w:rsidP="002C0F86">
            <w:pPr>
              <w:jc w:val="center"/>
              <w:rPr>
                <w:rFonts w:ascii="ITC Avant Garde" w:hAnsi="ITC Avant Garde"/>
                <w:b/>
                <w:color w:val="000000" w:themeColor="text1"/>
                <w:szCs w:val="24"/>
                <w:lang w:val="es-ES" w:eastAsia="es-ES"/>
              </w:rPr>
            </w:pPr>
            <w:r w:rsidRPr="008762D1">
              <w:rPr>
                <w:rFonts w:ascii="ITC Avant Garde" w:hAnsi="ITC Avant Garde"/>
                <w:b/>
                <w:color w:val="000000" w:themeColor="text1"/>
              </w:rPr>
              <w:t>REQUERIMIENTOS  DEL</w:t>
            </w:r>
          </w:p>
        </w:tc>
      </w:tr>
      <w:tr w:rsidR="008762D1" w:rsidRPr="008762D1" w14:paraId="753EE80E" w14:textId="77777777" w:rsidTr="00F67F46">
        <w:trPr>
          <w:trHeight w:val="315"/>
          <w:tblHeader/>
        </w:trPr>
        <w:tc>
          <w:tcPr>
            <w:tcW w:w="260" w:type="dxa"/>
            <w:noWrap/>
            <w:vAlign w:val="bottom"/>
            <w:hideMark/>
          </w:tcPr>
          <w:p w14:paraId="12550847" w14:textId="77777777" w:rsidR="00526FE9" w:rsidRPr="008762D1" w:rsidRDefault="00526FE9" w:rsidP="002C0F86">
            <w:pPr>
              <w:rPr>
                <w:rFonts w:ascii="ITC Avant Garde" w:hAnsi="ITC Avant Garde"/>
                <w:b/>
                <w:color w:val="000000" w:themeColor="text1"/>
              </w:rPr>
            </w:pPr>
          </w:p>
        </w:tc>
        <w:tc>
          <w:tcPr>
            <w:tcW w:w="4678" w:type="dxa"/>
            <w:gridSpan w:val="3"/>
            <w:tcBorders>
              <w:top w:val="nil"/>
              <w:left w:val="single" w:sz="8" w:space="0" w:color="auto"/>
              <w:bottom w:val="single" w:sz="8" w:space="0" w:color="auto"/>
              <w:right w:val="single" w:sz="8" w:space="0" w:color="000000"/>
            </w:tcBorders>
            <w:shd w:val="clear" w:color="auto" w:fill="CCCCCC"/>
            <w:vAlign w:val="bottom"/>
            <w:hideMark/>
          </w:tcPr>
          <w:p w14:paraId="632B4244" w14:textId="77777777" w:rsidR="00526FE9" w:rsidRPr="008762D1" w:rsidRDefault="00526FE9" w:rsidP="002C0F86">
            <w:pPr>
              <w:jc w:val="center"/>
              <w:rPr>
                <w:rFonts w:ascii="ITC Avant Garde" w:hAnsi="ITC Avant Garde"/>
                <w:b/>
                <w:color w:val="000000" w:themeColor="text1"/>
                <w:szCs w:val="24"/>
                <w:lang w:val="es-ES" w:eastAsia="es-ES"/>
              </w:rPr>
            </w:pPr>
            <w:r w:rsidRPr="008762D1">
              <w:rPr>
                <w:rFonts w:ascii="ITC Avant Garde" w:hAnsi="ITC Avant Garde"/>
                <w:b/>
                <w:color w:val="000000" w:themeColor="text1"/>
              </w:rPr>
              <w:t>CONCESIONARIO SOLICITANTE</w:t>
            </w:r>
          </w:p>
        </w:tc>
        <w:tc>
          <w:tcPr>
            <w:tcW w:w="160" w:type="dxa"/>
            <w:noWrap/>
            <w:vAlign w:val="bottom"/>
            <w:hideMark/>
          </w:tcPr>
          <w:p w14:paraId="0D9A0692" w14:textId="77777777" w:rsidR="00526FE9" w:rsidRPr="008762D1" w:rsidRDefault="00526FE9" w:rsidP="002C0F86">
            <w:pPr>
              <w:rPr>
                <w:rFonts w:ascii="ITC Avant Garde" w:hAnsi="ITC Avant Garde"/>
                <w:b/>
                <w:color w:val="000000" w:themeColor="text1"/>
              </w:rPr>
            </w:pPr>
          </w:p>
        </w:tc>
        <w:tc>
          <w:tcPr>
            <w:tcW w:w="4820" w:type="dxa"/>
            <w:gridSpan w:val="3"/>
            <w:tcBorders>
              <w:top w:val="nil"/>
              <w:left w:val="single" w:sz="8" w:space="0" w:color="auto"/>
              <w:bottom w:val="single" w:sz="8" w:space="0" w:color="auto"/>
              <w:right w:val="single" w:sz="8" w:space="0" w:color="000000"/>
            </w:tcBorders>
            <w:shd w:val="clear" w:color="auto" w:fill="CCCCCC"/>
            <w:vAlign w:val="bottom"/>
            <w:hideMark/>
          </w:tcPr>
          <w:p w14:paraId="68FAB6AD" w14:textId="77777777" w:rsidR="00526FE9" w:rsidRPr="008762D1" w:rsidRDefault="00526FE9" w:rsidP="002C0F86">
            <w:pPr>
              <w:jc w:val="center"/>
              <w:rPr>
                <w:rFonts w:ascii="ITC Avant Garde" w:hAnsi="ITC Avant Garde"/>
                <w:b/>
                <w:color w:val="000000" w:themeColor="text1"/>
                <w:szCs w:val="24"/>
                <w:lang w:val="es-ES" w:eastAsia="es-ES"/>
              </w:rPr>
            </w:pPr>
            <w:r w:rsidRPr="008762D1">
              <w:rPr>
                <w:rFonts w:ascii="ITC Avant Garde" w:hAnsi="ITC Avant Garde"/>
                <w:b/>
                <w:color w:val="000000" w:themeColor="text1"/>
              </w:rPr>
              <w:t>CONCESIONARIO SOLICITANTE</w:t>
            </w:r>
          </w:p>
        </w:tc>
      </w:tr>
      <w:tr w:rsidR="008762D1" w:rsidRPr="008762D1" w14:paraId="542866B1" w14:textId="77777777" w:rsidTr="00F67F46">
        <w:trPr>
          <w:trHeight w:val="510"/>
          <w:tblHeader/>
        </w:trPr>
        <w:tc>
          <w:tcPr>
            <w:tcW w:w="260" w:type="dxa"/>
            <w:noWrap/>
            <w:vAlign w:val="bottom"/>
            <w:hideMark/>
          </w:tcPr>
          <w:p w14:paraId="09595FCB" w14:textId="77777777" w:rsidR="00526FE9" w:rsidRPr="008762D1" w:rsidRDefault="00526FE9" w:rsidP="002C0F86">
            <w:pPr>
              <w:rPr>
                <w:rFonts w:ascii="ITC Avant Garde" w:hAnsi="ITC Avant Garde"/>
                <w:b/>
                <w:color w:val="000000" w:themeColor="text1"/>
              </w:rPr>
            </w:pPr>
          </w:p>
        </w:tc>
        <w:tc>
          <w:tcPr>
            <w:tcW w:w="2003" w:type="dxa"/>
            <w:tcBorders>
              <w:top w:val="nil"/>
              <w:left w:val="single" w:sz="8" w:space="0" w:color="auto"/>
              <w:bottom w:val="single" w:sz="8" w:space="0" w:color="auto"/>
              <w:right w:val="single" w:sz="8" w:space="0" w:color="auto"/>
            </w:tcBorders>
            <w:shd w:val="clear" w:color="auto" w:fill="CCCCCC"/>
            <w:vAlign w:val="bottom"/>
            <w:hideMark/>
          </w:tcPr>
          <w:p w14:paraId="44BCA837" w14:textId="77777777" w:rsidR="00526FE9" w:rsidRPr="008762D1" w:rsidRDefault="00526FE9" w:rsidP="002C0F86">
            <w:pPr>
              <w:jc w:val="center"/>
              <w:rPr>
                <w:rFonts w:ascii="ITC Avant Garde" w:hAnsi="ITC Avant Garde"/>
                <w:color w:val="000000" w:themeColor="text1"/>
                <w:szCs w:val="24"/>
                <w:lang w:val="es-ES" w:eastAsia="es-ES"/>
              </w:rPr>
            </w:pPr>
            <w:r w:rsidRPr="008762D1">
              <w:rPr>
                <w:rFonts w:ascii="ITC Avant Garde" w:hAnsi="ITC Avant Garde"/>
                <w:color w:val="000000" w:themeColor="text1"/>
              </w:rPr>
              <w:t>Ciudad</w:t>
            </w:r>
          </w:p>
        </w:tc>
        <w:tc>
          <w:tcPr>
            <w:tcW w:w="1418" w:type="dxa"/>
            <w:tcBorders>
              <w:top w:val="nil"/>
              <w:left w:val="nil"/>
              <w:bottom w:val="single" w:sz="8" w:space="0" w:color="auto"/>
              <w:right w:val="single" w:sz="8" w:space="0" w:color="auto"/>
            </w:tcBorders>
            <w:shd w:val="clear" w:color="auto" w:fill="CCCCCC"/>
            <w:vAlign w:val="bottom"/>
            <w:hideMark/>
          </w:tcPr>
          <w:p w14:paraId="148E2C09" w14:textId="77777777" w:rsidR="00526FE9" w:rsidRPr="008762D1" w:rsidRDefault="00526FE9" w:rsidP="002C0F86">
            <w:pPr>
              <w:jc w:val="center"/>
              <w:rPr>
                <w:rFonts w:ascii="ITC Avant Garde" w:hAnsi="ITC Avant Garde"/>
                <w:color w:val="000000" w:themeColor="text1"/>
              </w:rPr>
            </w:pPr>
            <w:r w:rsidRPr="008762D1">
              <w:rPr>
                <w:rFonts w:ascii="ITC Avant Garde" w:hAnsi="ITC Avant Garde"/>
                <w:color w:val="000000" w:themeColor="text1"/>
              </w:rPr>
              <w:t>Denominación y Capacidad</w:t>
            </w:r>
          </w:p>
        </w:tc>
        <w:tc>
          <w:tcPr>
            <w:tcW w:w="1257" w:type="dxa"/>
            <w:tcBorders>
              <w:top w:val="nil"/>
              <w:left w:val="nil"/>
              <w:bottom w:val="single" w:sz="8" w:space="0" w:color="auto"/>
              <w:right w:val="single" w:sz="8" w:space="0" w:color="auto"/>
            </w:tcBorders>
            <w:shd w:val="clear" w:color="auto" w:fill="CCCCCC"/>
            <w:vAlign w:val="bottom"/>
            <w:hideMark/>
          </w:tcPr>
          <w:p w14:paraId="2D3C17E2" w14:textId="77777777" w:rsidR="00526FE9" w:rsidRPr="008762D1" w:rsidRDefault="00526FE9" w:rsidP="002C0F86">
            <w:pPr>
              <w:jc w:val="center"/>
              <w:rPr>
                <w:rFonts w:ascii="ITC Avant Garde" w:hAnsi="ITC Avant Garde"/>
                <w:color w:val="000000" w:themeColor="text1"/>
              </w:rPr>
            </w:pPr>
            <w:r w:rsidRPr="008762D1">
              <w:rPr>
                <w:rFonts w:ascii="ITC Avant Garde" w:hAnsi="ITC Avant Garde"/>
                <w:color w:val="000000" w:themeColor="text1"/>
              </w:rPr>
              <w:t>Cantidad</w:t>
            </w:r>
          </w:p>
        </w:tc>
        <w:tc>
          <w:tcPr>
            <w:tcW w:w="160" w:type="dxa"/>
            <w:noWrap/>
            <w:vAlign w:val="bottom"/>
            <w:hideMark/>
          </w:tcPr>
          <w:p w14:paraId="756CFEEF"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shd w:val="clear" w:color="auto" w:fill="CCCCCC"/>
            <w:vAlign w:val="bottom"/>
            <w:hideMark/>
          </w:tcPr>
          <w:p w14:paraId="717CFBC0" w14:textId="77777777" w:rsidR="00526FE9" w:rsidRPr="008762D1" w:rsidRDefault="00526FE9" w:rsidP="002C0F86">
            <w:pPr>
              <w:jc w:val="center"/>
              <w:rPr>
                <w:rFonts w:ascii="ITC Avant Garde" w:hAnsi="ITC Avant Garde"/>
                <w:color w:val="000000" w:themeColor="text1"/>
                <w:szCs w:val="24"/>
                <w:lang w:val="es-ES" w:eastAsia="es-ES"/>
              </w:rPr>
            </w:pPr>
            <w:r w:rsidRPr="008762D1">
              <w:rPr>
                <w:rFonts w:ascii="ITC Avant Garde" w:hAnsi="ITC Avant Garde"/>
                <w:color w:val="000000" w:themeColor="text1"/>
              </w:rPr>
              <w:t>Ciudad</w:t>
            </w:r>
          </w:p>
        </w:tc>
        <w:tc>
          <w:tcPr>
            <w:tcW w:w="1418" w:type="dxa"/>
            <w:tcBorders>
              <w:top w:val="nil"/>
              <w:left w:val="nil"/>
              <w:bottom w:val="single" w:sz="8" w:space="0" w:color="auto"/>
              <w:right w:val="single" w:sz="8" w:space="0" w:color="auto"/>
            </w:tcBorders>
            <w:shd w:val="clear" w:color="auto" w:fill="CCCCCC"/>
            <w:vAlign w:val="bottom"/>
            <w:hideMark/>
          </w:tcPr>
          <w:p w14:paraId="62D2E85D" w14:textId="77777777" w:rsidR="00526FE9" w:rsidRPr="008762D1" w:rsidRDefault="00526FE9" w:rsidP="002C0F86">
            <w:pPr>
              <w:jc w:val="center"/>
              <w:rPr>
                <w:rFonts w:ascii="ITC Avant Garde" w:hAnsi="ITC Avant Garde"/>
                <w:color w:val="000000" w:themeColor="text1"/>
              </w:rPr>
            </w:pPr>
            <w:r w:rsidRPr="008762D1">
              <w:rPr>
                <w:rFonts w:ascii="ITC Avant Garde" w:hAnsi="ITC Avant Garde"/>
                <w:color w:val="000000" w:themeColor="text1"/>
              </w:rPr>
              <w:t>Denominación y Capacidad</w:t>
            </w:r>
          </w:p>
        </w:tc>
        <w:tc>
          <w:tcPr>
            <w:tcW w:w="1134" w:type="dxa"/>
            <w:tcBorders>
              <w:top w:val="nil"/>
              <w:left w:val="nil"/>
              <w:bottom w:val="single" w:sz="8" w:space="0" w:color="auto"/>
              <w:right w:val="single" w:sz="8" w:space="0" w:color="auto"/>
            </w:tcBorders>
            <w:shd w:val="clear" w:color="auto" w:fill="CCCCCC"/>
            <w:vAlign w:val="bottom"/>
            <w:hideMark/>
          </w:tcPr>
          <w:p w14:paraId="50291C1D" w14:textId="77777777" w:rsidR="00526FE9" w:rsidRPr="008762D1" w:rsidRDefault="00526FE9" w:rsidP="002C0F86">
            <w:pPr>
              <w:jc w:val="center"/>
              <w:rPr>
                <w:rFonts w:ascii="ITC Avant Garde" w:hAnsi="ITC Avant Garde"/>
                <w:color w:val="000000" w:themeColor="text1"/>
              </w:rPr>
            </w:pPr>
            <w:r w:rsidRPr="008762D1">
              <w:rPr>
                <w:rFonts w:ascii="ITC Avant Garde" w:hAnsi="ITC Avant Garde"/>
                <w:color w:val="000000" w:themeColor="text1"/>
              </w:rPr>
              <w:t>Cantidad</w:t>
            </w:r>
          </w:p>
        </w:tc>
      </w:tr>
      <w:tr w:rsidR="008762D1" w:rsidRPr="008762D1" w14:paraId="55A0D67E" w14:textId="77777777" w:rsidTr="00F67F46">
        <w:trPr>
          <w:trHeight w:val="360"/>
          <w:tblHeader/>
        </w:trPr>
        <w:tc>
          <w:tcPr>
            <w:tcW w:w="260" w:type="dxa"/>
            <w:noWrap/>
            <w:vAlign w:val="bottom"/>
            <w:hideMark/>
          </w:tcPr>
          <w:p w14:paraId="2CF86C31" w14:textId="77777777" w:rsidR="00526FE9" w:rsidRPr="008762D1" w:rsidRDefault="00526FE9" w:rsidP="002C0F86">
            <w:pPr>
              <w:rPr>
                <w:rFonts w:ascii="ITC Avant Garde" w:hAnsi="ITC Avant Garde"/>
                <w:color w:val="000000" w:themeColor="text1"/>
              </w:rPr>
            </w:pPr>
          </w:p>
        </w:tc>
        <w:tc>
          <w:tcPr>
            <w:tcW w:w="4678" w:type="dxa"/>
            <w:gridSpan w:val="3"/>
            <w:tcBorders>
              <w:top w:val="single" w:sz="8" w:space="0" w:color="auto"/>
              <w:left w:val="single" w:sz="8" w:space="0" w:color="auto"/>
              <w:bottom w:val="single" w:sz="8" w:space="0" w:color="000000"/>
              <w:right w:val="single" w:sz="8" w:space="0" w:color="000000"/>
            </w:tcBorders>
            <w:shd w:val="clear" w:color="auto" w:fill="CCCCCC"/>
            <w:vAlign w:val="bottom"/>
            <w:hideMark/>
          </w:tcPr>
          <w:p w14:paraId="515B701D" w14:textId="77777777" w:rsidR="00526FE9" w:rsidRPr="008762D1" w:rsidRDefault="00526FE9" w:rsidP="002C0F86">
            <w:pPr>
              <w:jc w:val="center"/>
              <w:rPr>
                <w:rFonts w:ascii="ITC Avant Garde" w:hAnsi="ITC Avant Garde"/>
                <w:b/>
                <w:color w:val="000000" w:themeColor="text1"/>
                <w:szCs w:val="24"/>
                <w:lang w:val="es-ES" w:eastAsia="es-ES"/>
              </w:rPr>
            </w:pPr>
            <w:r w:rsidRPr="008762D1">
              <w:rPr>
                <w:rFonts w:ascii="ITC Avant Garde" w:hAnsi="ITC Avant Garde"/>
                <w:b/>
                <w:color w:val="000000" w:themeColor="text1"/>
              </w:rPr>
              <w:t>Enero-Junio de 20__</w:t>
            </w:r>
          </w:p>
        </w:tc>
        <w:tc>
          <w:tcPr>
            <w:tcW w:w="160" w:type="dxa"/>
            <w:noWrap/>
            <w:vAlign w:val="bottom"/>
            <w:hideMark/>
          </w:tcPr>
          <w:p w14:paraId="3BE8D9FC" w14:textId="77777777" w:rsidR="00526FE9" w:rsidRPr="008762D1" w:rsidRDefault="00526FE9" w:rsidP="002C0F86">
            <w:pPr>
              <w:rPr>
                <w:rFonts w:ascii="ITC Avant Garde" w:hAnsi="ITC Avant Garde"/>
                <w:b/>
                <w:color w:val="000000" w:themeColor="text1"/>
              </w:rPr>
            </w:pPr>
          </w:p>
        </w:tc>
        <w:tc>
          <w:tcPr>
            <w:tcW w:w="4820" w:type="dxa"/>
            <w:gridSpan w:val="3"/>
            <w:tcBorders>
              <w:top w:val="single" w:sz="8" w:space="0" w:color="auto"/>
              <w:left w:val="single" w:sz="8" w:space="0" w:color="auto"/>
              <w:bottom w:val="single" w:sz="8" w:space="0" w:color="000000"/>
              <w:right w:val="single" w:sz="8" w:space="0" w:color="000000"/>
            </w:tcBorders>
            <w:shd w:val="clear" w:color="auto" w:fill="CCCCCC"/>
            <w:vAlign w:val="bottom"/>
            <w:hideMark/>
          </w:tcPr>
          <w:p w14:paraId="6EFF5D07" w14:textId="77777777" w:rsidR="00526FE9" w:rsidRPr="008762D1" w:rsidRDefault="00526FE9" w:rsidP="002C0F86">
            <w:pPr>
              <w:jc w:val="center"/>
              <w:rPr>
                <w:rFonts w:ascii="ITC Avant Garde" w:hAnsi="ITC Avant Garde"/>
                <w:b/>
                <w:color w:val="000000" w:themeColor="text1"/>
                <w:szCs w:val="24"/>
                <w:lang w:val="es-ES" w:eastAsia="es-ES"/>
              </w:rPr>
            </w:pPr>
            <w:r w:rsidRPr="008762D1">
              <w:rPr>
                <w:rFonts w:ascii="ITC Avant Garde" w:hAnsi="ITC Avant Garde"/>
                <w:b/>
                <w:color w:val="000000" w:themeColor="text1"/>
              </w:rPr>
              <w:t>Julio-Diciembre de 20__</w:t>
            </w:r>
          </w:p>
        </w:tc>
      </w:tr>
      <w:tr w:rsidR="008762D1" w:rsidRPr="008762D1" w14:paraId="00F7FD7E" w14:textId="77777777" w:rsidTr="00F67F46">
        <w:trPr>
          <w:trHeight w:val="360"/>
          <w:tblHeader/>
        </w:trPr>
        <w:tc>
          <w:tcPr>
            <w:tcW w:w="260" w:type="dxa"/>
            <w:noWrap/>
            <w:vAlign w:val="bottom"/>
            <w:hideMark/>
          </w:tcPr>
          <w:p w14:paraId="165190D8" w14:textId="77777777" w:rsidR="00526FE9" w:rsidRPr="008762D1" w:rsidRDefault="00526FE9" w:rsidP="002C0F86">
            <w:pPr>
              <w:rPr>
                <w:rFonts w:ascii="ITC Avant Garde" w:hAnsi="ITC Avant Garde"/>
                <w:b/>
                <w:color w:val="000000" w:themeColor="text1"/>
              </w:rPr>
            </w:pPr>
          </w:p>
        </w:tc>
        <w:tc>
          <w:tcPr>
            <w:tcW w:w="2003" w:type="dxa"/>
            <w:tcBorders>
              <w:top w:val="nil"/>
              <w:left w:val="single" w:sz="8" w:space="0" w:color="auto"/>
              <w:bottom w:val="single" w:sz="8" w:space="0" w:color="auto"/>
              <w:right w:val="single" w:sz="8" w:space="0" w:color="auto"/>
            </w:tcBorders>
            <w:vAlign w:val="bottom"/>
            <w:hideMark/>
          </w:tcPr>
          <w:p w14:paraId="522E659D"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58FD2C3F"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257" w:type="dxa"/>
            <w:tcBorders>
              <w:top w:val="nil"/>
              <w:left w:val="nil"/>
              <w:bottom w:val="single" w:sz="8" w:space="0" w:color="auto"/>
              <w:right w:val="single" w:sz="8" w:space="0" w:color="auto"/>
            </w:tcBorders>
            <w:vAlign w:val="bottom"/>
            <w:hideMark/>
          </w:tcPr>
          <w:p w14:paraId="03976287"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60" w:type="dxa"/>
            <w:noWrap/>
            <w:vAlign w:val="bottom"/>
            <w:hideMark/>
          </w:tcPr>
          <w:p w14:paraId="61AB8F43"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vAlign w:val="bottom"/>
            <w:hideMark/>
          </w:tcPr>
          <w:p w14:paraId="0DA3DC5A"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62492875"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134" w:type="dxa"/>
            <w:tcBorders>
              <w:top w:val="nil"/>
              <w:left w:val="nil"/>
              <w:bottom w:val="single" w:sz="8" w:space="0" w:color="auto"/>
              <w:right w:val="single" w:sz="8" w:space="0" w:color="auto"/>
            </w:tcBorders>
            <w:vAlign w:val="bottom"/>
            <w:hideMark/>
          </w:tcPr>
          <w:p w14:paraId="2BA20073"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3B505960" w14:textId="77777777" w:rsidTr="00F67F46">
        <w:trPr>
          <w:trHeight w:val="360"/>
          <w:tblHeader/>
        </w:trPr>
        <w:tc>
          <w:tcPr>
            <w:tcW w:w="260" w:type="dxa"/>
            <w:noWrap/>
            <w:vAlign w:val="bottom"/>
            <w:hideMark/>
          </w:tcPr>
          <w:p w14:paraId="44C489B7" w14:textId="77777777" w:rsidR="00526FE9" w:rsidRPr="008762D1" w:rsidRDefault="00526FE9" w:rsidP="002C0F86">
            <w:pPr>
              <w:rPr>
                <w:rFonts w:ascii="ITC Avant Garde" w:hAnsi="ITC Avant Garde"/>
                <w:color w:val="000000" w:themeColor="text1"/>
              </w:rPr>
            </w:pPr>
          </w:p>
        </w:tc>
        <w:tc>
          <w:tcPr>
            <w:tcW w:w="2003" w:type="dxa"/>
            <w:tcBorders>
              <w:top w:val="nil"/>
              <w:left w:val="single" w:sz="8" w:space="0" w:color="auto"/>
              <w:bottom w:val="single" w:sz="8" w:space="0" w:color="auto"/>
              <w:right w:val="single" w:sz="8" w:space="0" w:color="auto"/>
            </w:tcBorders>
            <w:vAlign w:val="bottom"/>
            <w:hideMark/>
          </w:tcPr>
          <w:p w14:paraId="42E3FB23"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3F2641DC"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257" w:type="dxa"/>
            <w:tcBorders>
              <w:top w:val="nil"/>
              <w:left w:val="nil"/>
              <w:bottom w:val="single" w:sz="8" w:space="0" w:color="auto"/>
              <w:right w:val="single" w:sz="8" w:space="0" w:color="auto"/>
            </w:tcBorders>
            <w:vAlign w:val="bottom"/>
            <w:hideMark/>
          </w:tcPr>
          <w:p w14:paraId="39B96E16"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60" w:type="dxa"/>
            <w:noWrap/>
            <w:vAlign w:val="bottom"/>
            <w:hideMark/>
          </w:tcPr>
          <w:p w14:paraId="19C121AE"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vAlign w:val="bottom"/>
            <w:hideMark/>
          </w:tcPr>
          <w:p w14:paraId="2135C1F7"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265EEB96"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134" w:type="dxa"/>
            <w:tcBorders>
              <w:top w:val="nil"/>
              <w:left w:val="nil"/>
              <w:bottom w:val="single" w:sz="8" w:space="0" w:color="auto"/>
              <w:right w:val="single" w:sz="8" w:space="0" w:color="auto"/>
            </w:tcBorders>
            <w:vAlign w:val="bottom"/>
            <w:hideMark/>
          </w:tcPr>
          <w:p w14:paraId="22809E94"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0A7C60A6" w14:textId="77777777" w:rsidTr="00F67F46">
        <w:trPr>
          <w:trHeight w:val="360"/>
          <w:tblHeader/>
        </w:trPr>
        <w:tc>
          <w:tcPr>
            <w:tcW w:w="260" w:type="dxa"/>
            <w:noWrap/>
            <w:vAlign w:val="bottom"/>
            <w:hideMark/>
          </w:tcPr>
          <w:p w14:paraId="148187E7" w14:textId="77777777" w:rsidR="00526FE9" w:rsidRPr="008762D1" w:rsidRDefault="00526FE9" w:rsidP="002C0F86">
            <w:pPr>
              <w:rPr>
                <w:rFonts w:ascii="ITC Avant Garde" w:hAnsi="ITC Avant Garde"/>
                <w:color w:val="000000" w:themeColor="text1"/>
              </w:rPr>
            </w:pPr>
          </w:p>
        </w:tc>
        <w:tc>
          <w:tcPr>
            <w:tcW w:w="2003" w:type="dxa"/>
            <w:tcBorders>
              <w:top w:val="nil"/>
              <w:left w:val="single" w:sz="8" w:space="0" w:color="auto"/>
              <w:bottom w:val="single" w:sz="8" w:space="0" w:color="auto"/>
              <w:right w:val="single" w:sz="8" w:space="0" w:color="auto"/>
            </w:tcBorders>
            <w:vAlign w:val="bottom"/>
            <w:hideMark/>
          </w:tcPr>
          <w:p w14:paraId="48475C18"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74A4E0E1"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257" w:type="dxa"/>
            <w:tcBorders>
              <w:top w:val="nil"/>
              <w:left w:val="nil"/>
              <w:bottom w:val="single" w:sz="8" w:space="0" w:color="auto"/>
              <w:right w:val="single" w:sz="8" w:space="0" w:color="auto"/>
            </w:tcBorders>
            <w:vAlign w:val="bottom"/>
            <w:hideMark/>
          </w:tcPr>
          <w:p w14:paraId="7454019C"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60" w:type="dxa"/>
            <w:noWrap/>
            <w:vAlign w:val="bottom"/>
            <w:hideMark/>
          </w:tcPr>
          <w:p w14:paraId="55CEB0D6"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vAlign w:val="bottom"/>
            <w:hideMark/>
          </w:tcPr>
          <w:p w14:paraId="7562E29F"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6D9CE8A4"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134" w:type="dxa"/>
            <w:tcBorders>
              <w:top w:val="nil"/>
              <w:left w:val="nil"/>
              <w:bottom w:val="single" w:sz="8" w:space="0" w:color="auto"/>
              <w:right w:val="single" w:sz="8" w:space="0" w:color="auto"/>
            </w:tcBorders>
            <w:vAlign w:val="bottom"/>
            <w:hideMark/>
          </w:tcPr>
          <w:p w14:paraId="3795D796"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76BA735E" w14:textId="77777777" w:rsidTr="00F67F46">
        <w:trPr>
          <w:trHeight w:val="360"/>
          <w:tblHeader/>
        </w:trPr>
        <w:tc>
          <w:tcPr>
            <w:tcW w:w="260" w:type="dxa"/>
            <w:noWrap/>
            <w:vAlign w:val="bottom"/>
            <w:hideMark/>
          </w:tcPr>
          <w:p w14:paraId="60947AE6" w14:textId="77777777" w:rsidR="00526FE9" w:rsidRPr="008762D1" w:rsidRDefault="00526FE9" w:rsidP="002C0F86">
            <w:pPr>
              <w:rPr>
                <w:rFonts w:ascii="ITC Avant Garde" w:hAnsi="ITC Avant Garde"/>
                <w:color w:val="000000" w:themeColor="text1"/>
              </w:rPr>
            </w:pPr>
          </w:p>
        </w:tc>
        <w:tc>
          <w:tcPr>
            <w:tcW w:w="2003" w:type="dxa"/>
            <w:tcBorders>
              <w:top w:val="nil"/>
              <w:left w:val="single" w:sz="8" w:space="0" w:color="auto"/>
              <w:bottom w:val="single" w:sz="8" w:space="0" w:color="auto"/>
              <w:right w:val="single" w:sz="8" w:space="0" w:color="auto"/>
            </w:tcBorders>
            <w:vAlign w:val="bottom"/>
            <w:hideMark/>
          </w:tcPr>
          <w:p w14:paraId="3B3BA50B"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7A376884"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257" w:type="dxa"/>
            <w:tcBorders>
              <w:top w:val="nil"/>
              <w:left w:val="nil"/>
              <w:bottom w:val="single" w:sz="8" w:space="0" w:color="auto"/>
              <w:right w:val="single" w:sz="8" w:space="0" w:color="auto"/>
            </w:tcBorders>
            <w:vAlign w:val="bottom"/>
            <w:hideMark/>
          </w:tcPr>
          <w:p w14:paraId="3AB181C5"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60" w:type="dxa"/>
            <w:noWrap/>
            <w:vAlign w:val="bottom"/>
            <w:hideMark/>
          </w:tcPr>
          <w:p w14:paraId="46CC391C"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vAlign w:val="bottom"/>
            <w:hideMark/>
          </w:tcPr>
          <w:p w14:paraId="23B7B925"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5A468F57"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134" w:type="dxa"/>
            <w:tcBorders>
              <w:top w:val="nil"/>
              <w:left w:val="nil"/>
              <w:bottom w:val="single" w:sz="8" w:space="0" w:color="auto"/>
              <w:right w:val="single" w:sz="8" w:space="0" w:color="auto"/>
            </w:tcBorders>
            <w:vAlign w:val="bottom"/>
            <w:hideMark/>
          </w:tcPr>
          <w:p w14:paraId="5FF5E0B5"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6396DB2C" w14:textId="77777777" w:rsidTr="00F67F46">
        <w:trPr>
          <w:trHeight w:val="360"/>
          <w:tblHeader/>
        </w:trPr>
        <w:tc>
          <w:tcPr>
            <w:tcW w:w="260" w:type="dxa"/>
            <w:noWrap/>
            <w:vAlign w:val="bottom"/>
            <w:hideMark/>
          </w:tcPr>
          <w:p w14:paraId="69E8C166" w14:textId="77777777" w:rsidR="00526FE9" w:rsidRPr="008762D1" w:rsidRDefault="00526FE9" w:rsidP="002C0F86">
            <w:pPr>
              <w:rPr>
                <w:rFonts w:ascii="ITC Avant Garde" w:hAnsi="ITC Avant Garde"/>
                <w:color w:val="000000" w:themeColor="text1"/>
              </w:rPr>
            </w:pPr>
          </w:p>
        </w:tc>
        <w:tc>
          <w:tcPr>
            <w:tcW w:w="2003" w:type="dxa"/>
            <w:tcBorders>
              <w:top w:val="nil"/>
              <w:left w:val="single" w:sz="8" w:space="0" w:color="auto"/>
              <w:bottom w:val="single" w:sz="8" w:space="0" w:color="auto"/>
              <w:right w:val="single" w:sz="8" w:space="0" w:color="auto"/>
            </w:tcBorders>
            <w:vAlign w:val="bottom"/>
            <w:hideMark/>
          </w:tcPr>
          <w:p w14:paraId="215067C2"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24A94110"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257" w:type="dxa"/>
            <w:tcBorders>
              <w:top w:val="nil"/>
              <w:left w:val="nil"/>
              <w:bottom w:val="single" w:sz="8" w:space="0" w:color="auto"/>
              <w:right w:val="single" w:sz="8" w:space="0" w:color="auto"/>
            </w:tcBorders>
            <w:vAlign w:val="bottom"/>
            <w:hideMark/>
          </w:tcPr>
          <w:p w14:paraId="0C31D683"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60" w:type="dxa"/>
            <w:noWrap/>
            <w:vAlign w:val="bottom"/>
            <w:hideMark/>
          </w:tcPr>
          <w:p w14:paraId="6EFF0EF1"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vAlign w:val="bottom"/>
            <w:hideMark/>
          </w:tcPr>
          <w:p w14:paraId="49ED2BF6"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2ABC5250"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134" w:type="dxa"/>
            <w:tcBorders>
              <w:top w:val="nil"/>
              <w:left w:val="nil"/>
              <w:bottom w:val="single" w:sz="8" w:space="0" w:color="auto"/>
              <w:right w:val="single" w:sz="8" w:space="0" w:color="auto"/>
            </w:tcBorders>
            <w:vAlign w:val="bottom"/>
            <w:hideMark/>
          </w:tcPr>
          <w:p w14:paraId="15AE87A7"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138E6384" w14:textId="77777777" w:rsidTr="00F67F46">
        <w:trPr>
          <w:trHeight w:val="360"/>
          <w:tblHeader/>
        </w:trPr>
        <w:tc>
          <w:tcPr>
            <w:tcW w:w="260" w:type="dxa"/>
            <w:noWrap/>
            <w:vAlign w:val="bottom"/>
            <w:hideMark/>
          </w:tcPr>
          <w:p w14:paraId="2D630818" w14:textId="77777777" w:rsidR="00526FE9" w:rsidRPr="008762D1" w:rsidRDefault="00526FE9" w:rsidP="002C0F86">
            <w:pPr>
              <w:rPr>
                <w:rFonts w:ascii="ITC Avant Garde" w:hAnsi="ITC Avant Garde"/>
                <w:color w:val="000000" w:themeColor="text1"/>
              </w:rPr>
            </w:pPr>
          </w:p>
        </w:tc>
        <w:tc>
          <w:tcPr>
            <w:tcW w:w="2003" w:type="dxa"/>
            <w:tcBorders>
              <w:top w:val="nil"/>
              <w:left w:val="single" w:sz="8" w:space="0" w:color="auto"/>
              <w:bottom w:val="single" w:sz="8" w:space="0" w:color="auto"/>
              <w:right w:val="single" w:sz="8" w:space="0" w:color="auto"/>
            </w:tcBorders>
            <w:vAlign w:val="bottom"/>
            <w:hideMark/>
          </w:tcPr>
          <w:p w14:paraId="4B3A43C7"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154718F0"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257" w:type="dxa"/>
            <w:tcBorders>
              <w:top w:val="nil"/>
              <w:left w:val="nil"/>
              <w:bottom w:val="single" w:sz="8" w:space="0" w:color="auto"/>
              <w:right w:val="single" w:sz="8" w:space="0" w:color="auto"/>
            </w:tcBorders>
            <w:vAlign w:val="bottom"/>
            <w:hideMark/>
          </w:tcPr>
          <w:p w14:paraId="63947B63"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60" w:type="dxa"/>
            <w:noWrap/>
            <w:vAlign w:val="bottom"/>
            <w:hideMark/>
          </w:tcPr>
          <w:p w14:paraId="524E7AC0"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vAlign w:val="bottom"/>
            <w:hideMark/>
          </w:tcPr>
          <w:p w14:paraId="27C80645"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3FA55BD5"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134" w:type="dxa"/>
            <w:tcBorders>
              <w:top w:val="nil"/>
              <w:left w:val="nil"/>
              <w:bottom w:val="single" w:sz="8" w:space="0" w:color="auto"/>
              <w:right w:val="single" w:sz="8" w:space="0" w:color="auto"/>
            </w:tcBorders>
            <w:vAlign w:val="bottom"/>
            <w:hideMark/>
          </w:tcPr>
          <w:p w14:paraId="45C0E141"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3051FCE0" w14:textId="77777777" w:rsidTr="00F67F46">
        <w:trPr>
          <w:trHeight w:val="360"/>
          <w:tblHeader/>
        </w:trPr>
        <w:tc>
          <w:tcPr>
            <w:tcW w:w="260" w:type="dxa"/>
            <w:noWrap/>
            <w:vAlign w:val="bottom"/>
            <w:hideMark/>
          </w:tcPr>
          <w:p w14:paraId="588C7DD1" w14:textId="77777777" w:rsidR="00526FE9" w:rsidRPr="008762D1" w:rsidRDefault="00526FE9" w:rsidP="002C0F86">
            <w:pPr>
              <w:rPr>
                <w:rFonts w:ascii="ITC Avant Garde" w:hAnsi="ITC Avant Garde"/>
                <w:color w:val="000000" w:themeColor="text1"/>
              </w:rPr>
            </w:pPr>
          </w:p>
        </w:tc>
        <w:tc>
          <w:tcPr>
            <w:tcW w:w="2003" w:type="dxa"/>
            <w:tcBorders>
              <w:top w:val="nil"/>
              <w:left w:val="single" w:sz="8" w:space="0" w:color="auto"/>
              <w:bottom w:val="single" w:sz="8" w:space="0" w:color="auto"/>
              <w:right w:val="single" w:sz="8" w:space="0" w:color="auto"/>
            </w:tcBorders>
            <w:vAlign w:val="bottom"/>
            <w:hideMark/>
          </w:tcPr>
          <w:p w14:paraId="20C3A3FA"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0C767AA0"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257" w:type="dxa"/>
            <w:tcBorders>
              <w:top w:val="nil"/>
              <w:left w:val="nil"/>
              <w:bottom w:val="single" w:sz="8" w:space="0" w:color="auto"/>
              <w:right w:val="single" w:sz="8" w:space="0" w:color="auto"/>
            </w:tcBorders>
            <w:vAlign w:val="bottom"/>
            <w:hideMark/>
          </w:tcPr>
          <w:p w14:paraId="384B0692"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60" w:type="dxa"/>
            <w:noWrap/>
            <w:vAlign w:val="bottom"/>
            <w:hideMark/>
          </w:tcPr>
          <w:p w14:paraId="3147DC97"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vAlign w:val="bottom"/>
            <w:hideMark/>
          </w:tcPr>
          <w:p w14:paraId="2CE6669F"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1DFBAC78"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134" w:type="dxa"/>
            <w:tcBorders>
              <w:top w:val="nil"/>
              <w:left w:val="nil"/>
              <w:bottom w:val="single" w:sz="8" w:space="0" w:color="auto"/>
              <w:right w:val="single" w:sz="8" w:space="0" w:color="auto"/>
            </w:tcBorders>
            <w:vAlign w:val="bottom"/>
            <w:hideMark/>
          </w:tcPr>
          <w:p w14:paraId="5B142EBD"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54EFEBE3" w14:textId="77777777" w:rsidTr="00F67F46">
        <w:trPr>
          <w:trHeight w:val="360"/>
          <w:tblHeader/>
        </w:trPr>
        <w:tc>
          <w:tcPr>
            <w:tcW w:w="260" w:type="dxa"/>
            <w:noWrap/>
            <w:vAlign w:val="bottom"/>
            <w:hideMark/>
          </w:tcPr>
          <w:p w14:paraId="545EECA6" w14:textId="77777777" w:rsidR="00526FE9" w:rsidRPr="008762D1" w:rsidRDefault="00526FE9" w:rsidP="002C0F86">
            <w:pPr>
              <w:rPr>
                <w:rFonts w:ascii="ITC Avant Garde" w:hAnsi="ITC Avant Garde"/>
                <w:color w:val="000000" w:themeColor="text1"/>
              </w:rPr>
            </w:pPr>
          </w:p>
        </w:tc>
        <w:tc>
          <w:tcPr>
            <w:tcW w:w="2003" w:type="dxa"/>
            <w:tcBorders>
              <w:top w:val="nil"/>
              <w:left w:val="single" w:sz="8" w:space="0" w:color="auto"/>
              <w:bottom w:val="single" w:sz="8" w:space="0" w:color="auto"/>
              <w:right w:val="single" w:sz="8" w:space="0" w:color="auto"/>
            </w:tcBorders>
            <w:vAlign w:val="bottom"/>
            <w:hideMark/>
          </w:tcPr>
          <w:p w14:paraId="58A97CE3"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7928EF79"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257" w:type="dxa"/>
            <w:tcBorders>
              <w:top w:val="nil"/>
              <w:left w:val="nil"/>
              <w:bottom w:val="single" w:sz="8" w:space="0" w:color="auto"/>
              <w:right w:val="single" w:sz="8" w:space="0" w:color="auto"/>
            </w:tcBorders>
            <w:vAlign w:val="bottom"/>
            <w:hideMark/>
          </w:tcPr>
          <w:p w14:paraId="3277DB16"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60" w:type="dxa"/>
            <w:noWrap/>
            <w:vAlign w:val="bottom"/>
            <w:hideMark/>
          </w:tcPr>
          <w:p w14:paraId="3B1CA4A6" w14:textId="77777777" w:rsidR="00526FE9" w:rsidRPr="008762D1" w:rsidRDefault="00526FE9" w:rsidP="002C0F86">
            <w:pPr>
              <w:rPr>
                <w:rFonts w:ascii="ITC Avant Garde" w:hAnsi="ITC Avant Garde"/>
                <w:color w:val="000000" w:themeColor="text1"/>
              </w:rPr>
            </w:pPr>
          </w:p>
        </w:tc>
        <w:tc>
          <w:tcPr>
            <w:tcW w:w="2268" w:type="dxa"/>
            <w:tcBorders>
              <w:top w:val="nil"/>
              <w:left w:val="single" w:sz="8" w:space="0" w:color="auto"/>
              <w:bottom w:val="single" w:sz="8" w:space="0" w:color="auto"/>
              <w:right w:val="single" w:sz="8" w:space="0" w:color="auto"/>
            </w:tcBorders>
            <w:vAlign w:val="bottom"/>
            <w:hideMark/>
          </w:tcPr>
          <w:p w14:paraId="54E53CFC" w14:textId="77777777" w:rsidR="00526FE9" w:rsidRPr="008762D1" w:rsidRDefault="00526FE9" w:rsidP="002C0F86">
            <w:pPr>
              <w:jc w:val="both"/>
              <w:rPr>
                <w:rFonts w:ascii="ITC Avant Garde" w:hAnsi="ITC Avant Garde"/>
                <w:color w:val="000000" w:themeColor="text1"/>
                <w:szCs w:val="24"/>
                <w:lang w:val="es-ES" w:eastAsia="es-ES"/>
              </w:rPr>
            </w:pPr>
            <w:r w:rsidRPr="008762D1">
              <w:rPr>
                <w:rFonts w:ascii="ITC Avant Garde" w:hAnsi="ITC Avant Garde"/>
                <w:color w:val="000000" w:themeColor="text1"/>
              </w:rPr>
              <w:t> </w:t>
            </w:r>
          </w:p>
        </w:tc>
        <w:tc>
          <w:tcPr>
            <w:tcW w:w="1418" w:type="dxa"/>
            <w:tcBorders>
              <w:top w:val="nil"/>
              <w:left w:val="nil"/>
              <w:bottom w:val="single" w:sz="8" w:space="0" w:color="auto"/>
              <w:right w:val="single" w:sz="8" w:space="0" w:color="auto"/>
            </w:tcBorders>
            <w:vAlign w:val="bottom"/>
            <w:hideMark/>
          </w:tcPr>
          <w:p w14:paraId="796170BA"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c>
          <w:tcPr>
            <w:tcW w:w="1134" w:type="dxa"/>
            <w:tcBorders>
              <w:top w:val="nil"/>
              <w:left w:val="nil"/>
              <w:bottom w:val="single" w:sz="8" w:space="0" w:color="auto"/>
              <w:right w:val="single" w:sz="8" w:space="0" w:color="auto"/>
            </w:tcBorders>
            <w:vAlign w:val="bottom"/>
            <w:hideMark/>
          </w:tcPr>
          <w:p w14:paraId="2A2E7FF7" w14:textId="77777777" w:rsidR="00526FE9" w:rsidRPr="008762D1" w:rsidRDefault="00526FE9" w:rsidP="002C0F86">
            <w:pPr>
              <w:jc w:val="both"/>
              <w:rPr>
                <w:rFonts w:ascii="ITC Avant Garde" w:hAnsi="ITC Avant Garde"/>
                <w:color w:val="000000" w:themeColor="text1"/>
              </w:rPr>
            </w:pPr>
            <w:r w:rsidRPr="008762D1">
              <w:rPr>
                <w:rFonts w:ascii="ITC Avant Garde" w:hAnsi="ITC Avant Garde"/>
                <w:color w:val="000000" w:themeColor="text1"/>
              </w:rPr>
              <w:t> </w:t>
            </w:r>
          </w:p>
        </w:tc>
      </w:tr>
      <w:tr w:rsidR="00526FE9" w:rsidRPr="008762D1" w14:paraId="7B0B7927" w14:textId="77777777" w:rsidTr="00F67F46">
        <w:trPr>
          <w:trHeight w:val="300"/>
          <w:tblHeader/>
        </w:trPr>
        <w:tc>
          <w:tcPr>
            <w:tcW w:w="260" w:type="dxa"/>
            <w:noWrap/>
            <w:vAlign w:val="bottom"/>
            <w:hideMark/>
          </w:tcPr>
          <w:p w14:paraId="13395668" w14:textId="77777777" w:rsidR="00526FE9" w:rsidRPr="008762D1" w:rsidRDefault="00526FE9" w:rsidP="002C0F86">
            <w:pPr>
              <w:rPr>
                <w:rFonts w:ascii="ITC Avant Garde" w:hAnsi="ITC Avant Garde"/>
                <w:color w:val="000000" w:themeColor="text1"/>
              </w:rPr>
            </w:pPr>
          </w:p>
        </w:tc>
        <w:tc>
          <w:tcPr>
            <w:tcW w:w="2003" w:type="dxa"/>
            <w:noWrap/>
            <w:vAlign w:val="bottom"/>
            <w:hideMark/>
          </w:tcPr>
          <w:p w14:paraId="19B49FB0" w14:textId="77777777" w:rsidR="00526FE9" w:rsidRPr="008762D1" w:rsidRDefault="00526FE9" w:rsidP="002C0F86">
            <w:pPr>
              <w:rPr>
                <w:color w:val="000000" w:themeColor="text1"/>
                <w:sz w:val="20"/>
                <w:szCs w:val="20"/>
                <w:lang w:eastAsia="es-MX"/>
              </w:rPr>
            </w:pPr>
          </w:p>
        </w:tc>
        <w:tc>
          <w:tcPr>
            <w:tcW w:w="1418" w:type="dxa"/>
            <w:noWrap/>
            <w:vAlign w:val="bottom"/>
            <w:hideMark/>
          </w:tcPr>
          <w:p w14:paraId="415ED67D" w14:textId="77777777" w:rsidR="00526FE9" w:rsidRPr="008762D1" w:rsidRDefault="00526FE9" w:rsidP="002C0F86">
            <w:pPr>
              <w:rPr>
                <w:color w:val="000000" w:themeColor="text1"/>
                <w:sz w:val="20"/>
                <w:szCs w:val="20"/>
                <w:lang w:eastAsia="es-MX"/>
              </w:rPr>
            </w:pPr>
          </w:p>
        </w:tc>
        <w:tc>
          <w:tcPr>
            <w:tcW w:w="1257" w:type="dxa"/>
            <w:noWrap/>
            <w:vAlign w:val="bottom"/>
            <w:hideMark/>
          </w:tcPr>
          <w:p w14:paraId="6E57520C" w14:textId="77777777" w:rsidR="00526FE9" w:rsidRPr="008762D1" w:rsidRDefault="00526FE9" w:rsidP="002C0F86">
            <w:pPr>
              <w:rPr>
                <w:color w:val="000000" w:themeColor="text1"/>
                <w:sz w:val="20"/>
                <w:szCs w:val="20"/>
                <w:lang w:eastAsia="es-MX"/>
              </w:rPr>
            </w:pPr>
          </w:p>
        </w:tc>
        <w:tc>
          <w:tcPr>
            <w:tcW w:w="160" w:type="dxa"/>
            <w:noWrap/>
            <w:vAlign w:val="bottom"/>
            <w:hideMark/>
          </w:tcPr>
          <w:p w14:paraId="26F391FE" w14:textId="77777777" w:rsidR="00526FE9" w:rsidRPr="008762D1" w:rsidRDefault="00526FE9" w:rsidP="002C0F86">
            <w:pPr>
              <w:rPr>
                <w:color w:val="000000" w:themeColor="text1"/>
                <w:sz w:val="20"/>
                <w:szCs w:val="20"/>
                <w:lang w:eastAsia="es-MX"/>
              </w:rPr>
            </w:pPr>
          </w:p>
        </w:tc>
        <w:tc>
          <w:tcPr>
            <w:tcW w:w="2268" w:type="dxa"/>
            <w:noWrap/>
            <w:vAlign w:val="bottom"/>
            <w:hideMark/>
          </w:tcPr>
          <w:p w14:paraId="69348C05" w14:textId="77777777" w:rsidR="00526FE9" w:rsidRPr="008762D1" w:rsidRDefault="00526FE9" w:rsidP="002C0F86">
            <w:pPr>
              <w:rPr>
                <w:color w:val="000000" w:themeColor="text1"/>
                <w:sz w:val="20"/>
                <w:szCs w:val="20"/>
                <w:lang w:eastAsia="es-MX"/>
              </w:rPr>
            </w:pPr>
          </w:p>
        </w:tc>
        <w:tc>
          <w:tcPr>
            <w:tcW w:w="1418" w:type="dxa"/>
            <w:noWrap/>
            <w:vAlign w:val="bottom"/>
            <w:hideMark/>
          </w:tcPr>
          <w:p w14:paraId="1FEC9859" w14:textId="77777777" w:rsidR="00526FE9" w:rsidRPr="008762D1" w:rsidRDefault="00526FE9" w:rsidP="002C0F86">
            <w:pPr>
              <w:rPr>
                <w:color w:val="000000" w:themeColor="text1"/>
                <w:sz w:val="20"/>
                <w:szCs w:val="20"/>
                <w:lang w:eastAsia="es-MX"/>
              </w:rPr>
            </w:pPr>
          </w:p>
        </w:tc>
        <w:tc>
          <w:tcPr>
            <w:tcW w:w="1134" w:type="dxa"/>
            <w:noWrap/>
            <w:vAlign w:val="bottom"/>
            <w:hideMark/>
          </w:tcPr>
          <w:p w14:paraId="529D63D3" w14:textId="77777777" w:rsidR="00526FE9" w:rsidRPr="008762D1" w:rsidRDefault="00526FE9" w:rsidP="002C0F86">
            <w:pPr>
              <w:rPr>
                <w:color w:val="000000" w:themeColor="text1"/>
                <w:sz w:val="20"/>
                <w:szCs w:val="20"/>
                <w:lang w:eastAsia="es-MX"/>
              </w:rPr>
            </w:pPr>
          </w:p>
        </w:tc>
      </w:tr>
    </w:tbl>
    <w:p w14:paraId="0233D5C4" w14:textId="77777777" w:rsidR="00526FE9" w:rsidRPr="008762D1" w:rsidRDefault="00526FE9" w:rsidP="002C0F86">
      <w:pPr>
        <w:spacing w:before="240"/>
        <w:rPr>
          <w:rFonts w:ascii="ITC Avant Garde" w:hAnsi="ITC Avant Garde"/>
          <w:color w:val="000000" w:themeColor="text1"/>
          <w:szCs w:val="24"/>
          <w:lang w:val="es-ES" w:eastAsia="es-ES"/>
        </w:rPr>
      </w:pPr>
    </w:p>
    <w:p w14:paraId="0C88621E" w14:textId="77777777" w:rsidR="000F0B9F" w:rsidRPr="008762D1" w:rsidRDefault="00526FE9" w:rsidP="002C0F86">
      <w:pPr>
        <w:jc w:val="center"/>
        <w:rPr>
          <w:rFonts w:ascii="ITC Avant Garde" w:hAnsi="ITC Avant Garde"/>
          <w:color w:val="000000" w:themeColor="text1"/>
        </w:rPr>
      </w:pPr>
      <w:r w:rsidRPr="008762D1">
        <w:rPr>
          <w:iCs/>
          <w:color w:val="000000" w:themeColor="text1"/>
        </w:rPr>
        <w:br w:type="page"/>
      </w:r>
      <w:r w:rsidRPr="008762D1">
        <w:rPr>
          <w:rFonts w:ascii="ITC Avant Garde" w:hAnsi="ITC Avant Garde"/>
          <w:color w:val="000000" w:themeColor="text1"/>
        </w:rPr>
        <w:lastRenderedPageBreak/>
        <w:t>FORMATO DE CONFIRMACIÓN DE PRONÓSTICO DE REQUERIMIENTOS DE SERVICIO DE ENLACES DEDICADOS DE INTERCONEXIÓN</w:t>
      </w:r>
    </w:p>
    <w:p w14:paraId="17BB0D3B" w14:textId="0747FB23" w:rsidR="000F0B9F" w:rsidRPr="008762D1" w:rsidRDefault="00526FE9" w:rsidP="000F0B9F">
      <w:pPr>
        <w:spacing w:before="240"/>
        <w:ind w:left="-180" w:firstLine="180"/>
        <w:jc w:val="both"/>
        <w:rPr>
          <w:rFonts w:ascii="ITC Avant Garde" w:hAnsi="ITC Avant Garde"/>
          <w:color w:val="000000" w:themeColor="text1"/>
          <w:lang w:val="es-ES"/>
        </w:rPr>
      </w:pPr>
      <w:r w:rsidRPr="008762D1">
        <w:rPr>
          <w:rFonts w:ascii="ITC Avant Garde" w:hAnsi="ITC Avant Garde"/>
          <w:color w:val="000000" w:themeColor="text1"/>
        </w:rPr>
        <w:t>Concesionario Solicitante: ______________</w:t>
      </w:r>
      <w:r w:rsidR="00F67F46" w:rsidRPr="008762D1">
        <w:rPr>
          <w:rFonts w:ascii="ITC Avant Garde" w:hAnsi="ITC Avant Garde"/>
          <w:color w:val="000000" w:themeColor="text1"/>
        </w:rPr>
        <w:tab/>
      </w:r>
      <w:r w:rsidRPr="008762D1">
        <w:rPr>
          <w:rFonts w:ascii="ITC Avant Garde" w:hAnsi="ITC Avant Garde"/>
          <w:color w:val="000000" w:themeColor="text1"/>
        </w:rPr>
        <w:t>Fecha de entrega: __________________</w:t>
      </w:r>
    </w:p>
    <w:p w14:paraId="761BA8EC" w14:textId="77B9388A" w:rsidR="00526FE9" w:rsidRPr="008762D1" w:rsidRDefault="00526FE9" w:rsidP="000F0B9F">
      <w:pPr>
        <w:spacing w:before="240"/>
        <w:rPr>
          <w:rFonts w:ascii="ITC Avant Garde" w:hAnsi="ITC Avant Garde"/>
          <w:color w:val="000000" w:themeColor="text1"/>
        </w:rPr>
      </w:pPr>
    </w:p>
    <w:tbl>
      <w:tblPr>
        <w:tblW w:w="4000" w:type="dxa"/>
        <w:jc w:val="center"/>
        <w:tblCellMar>
          <w:left w:w="70" w:type="dxa"/>
          <w:right w:w="70" w:type="dxa"/>
        </w:tblCellMar>
        <w:tblLook w:val="04A0" w:firstRow="1" w:lastRow="0" w:firstColumn="1" w:lastColumn="0" w:noHBand="0" w:noVBand="1"/>
        <w:tblCaption w:val="Tabla"/>
        <w:tblDescription w:val="ENLACES DEDICADOS DE INTERCONEXIÓN"/>
      </w:tblPr>
      <w:tblGrid>
        <w:gridCol w:w="1085"/>
        <w:gridCol w:w="1726"/>
        <w:gridCol w:w="1189"/>
      </w:tblGrid>
      <w:tr w:rsidR="008762D1" w:rsidRPr="008762D1" w14:paraId="24D741F9" w14:textId="77777777" w:rsidTr="00F67F46">
        <w:trPr>
          <w:trHeight w:val="315"/>
          <w:tblHeader/>
          <w:jc w:val="center"/>
        </w:trPr>
        <w:tc>
          <w:tcPr>
            <w:tcW w:w="4000" w:type="dxa"/>
            <w:gridSpan w:val="3"/>
            <w:tcBorders>
              <w:top w:val="single" w:sz="8" w:space="0" w:color="auto"/>
              <w:left w:val="single" w:sz="8" w:space="0" w:color="auto"/>
              <w:bottom w:val="single" w:sz="8" w:space="0" w:color="auto"/>
              <w:right w:val="single" w:sz="8" w:space="0" w:color="000000"/>
            </w:tcBorders>
            <w:shd w:val="pct25" w:color="000000" w:fill="auto"/>
            <w:vAlign w:val="bottom"/>
            <w:hideMark/>
          </w:tcPr>
          <w:p w14:paraId="1E2C4EC9" w14:textId="77777777" w:rsidR="00526FE9" w:rsidRPr="008762D1" w:rsidRDefault="00526FE9" w:rsidP="00F67F46">
            <w:pPr>
              <w:spacing w:before="240" w:after="0"/>
              <w:jc w:val="center"/>
              <w:rPr>
                <w:rFonts w:ascii="ITC Avant Garde" w:hAnsi="ITC Avant Garde"/>
                <w:b/>
                <w:color w:val="000000" w:themeColor="text1"/>
              </w:rPr>
            </w:pPr>
            <w:r w:rsidRPr="008762D1">
              <w:rPr>
                <w:rFonts w:ascii="ITC Avant Garde" w:hAnsi="ITC Avant Garde"/>
                <w:b/>
                <w:color w:val="000000" w:themeColor="text1"/>
              </w:rPr>
              <w:t>ENLACES DEDICADOS DE INTERCONEXIÓN</w:t>
            </w:r>
          </w:p>
        </w:tc>
      </w:tr>
      <w:tr w:rsidR="008762D1" w:rsidRPr="008762D1" w14:paraId="42EEBE6A" w14:textId="77777777" w:rsidTr="00F67F46">
        <w:trPr>
          <w:trHeight w:val="300"/>
          <w:tblHeader/>
          <w:jc w:val="center"/>
        </w:trPr>
        <w:tc>
          <w:tcPr>
            <w:tcW w:w="4000" w:type="dxa"/>
            <w:gridSpan w:val="3"/>
            <w:tcBorders>
              <w:top w:val="single" w:sz="8" w:space="0" w:color="auto"/>
              <w:left w:val="single" w:sz="8" w:space="0" w:color="auto"/>
              <w:bottom w:val="nil"/>
              <w:right w:val="single" w:sz="8" w:space="0" w:color="000000"/>
            </w:tcBorders>
            <w:shd w:val="pct25" w:color="000000" w:fill="auto"/>
            <w:vAlign w:val="bottom"/>
            <w:hideMark/>
          </w:tcPr>
          <w:p w14:paraId="710AB5D6" w14:textId="77777777" w:rsidR="00526FE9" w:rsidRPr="008762D1" w:rsidRDefault="00526FE9" w:rsidP="00F67F46">
            <w:pPr>
              <w:spacing w:before="240" w:after="0"/>
              <w:jc w:val="center"/>
              <w:rPr>
                <w:rFonts w:ascii="ITC Avant Garde" w:hAnsi="ITC Avant Garde"/>
                <w:b/>
                <w:color w:val="000000" w:themeColor="text1"/>
              </w:rPr>
            </w:pPr>
            <w:r w:rsidRPr="008762D1">
              <w:rPr>
                <w:rFonts w:ascii="ITC Avant Garde" w:hAnsi="ITC Avant Garde"/>
                <w:b/>
                <w:color w:val="000000" w:themeColor="text1"/>
              </w:rPr>
              <w:t>CONFIRMACIÓN DEL PRONÓSTICO DEL</w:t>
            </w:r>
          </w:p>
        </w:tc>
      </w:tr>
      <w:tr w:rsidR="008762D1" w:rsidRPr="008762D1" w14:paraId="4A4860B6" w14:textId="77777777" w:rsidTr="00F67F46">
        <w:trPr>
          <w:trHeight w:val="315"/>
          <w:tblHeader/>
          <w:jc w:val="center"/>
        </w:trPr>
        <w:tc>
          <w:tcPr>
            <w:tcW w:w="4000" w:type="dxa"/>
            <w:gridSpan w:val="3"/>
            <w:tcBorders>
              <w:top w:val="nil"/>
              <w:left w:val="single" w:sz="8" w:space="0" w:color="auto"/>
              <w:bottom w:val="single" w:sz="8" w:space="0" w:color="auto"/>
              <w:right w:val="single" w:sz="8" w:space="0" w:color="000000"/>
            </w:tcBorders>
            <w:shd w:val="pct25" w:color="000000" w:fill="auto"/>
            <w:vAlign w:val="bottom"/>
            <w:hideMark/>
          </w:tcPr>
          <w:p w14:paraId="5C0BC318" w14:textId="77777777" w:rsidR="00526FE9" w:rsidRPr="008762D1" w:rsidRDefault="00526FE9" w:rsidP="00F67F46">
            <w:pPr>
              <w:spacing w:before="240" w:after="0"/>
              <w:jc w:val="center"/>
              <w:rPr>
                <w:rFonts w:ascii="ITC Avant Garde" w:hAnsi="ITC Avant Garde"/>
                <w:b/>
                <w:color w:val="000000" w:themeColor="text1"/>
              </w:rPr>
            </w:pPr>
            <w:r w:rsidRPr="008762D1">
              <w:rPr>
                <w:rFonts w:ascii="ITC Avant Garde" w:hAnsi="ITC Avant Garde"/>
                <w:b/>
                <w:color w:val="000000" w:themeColor="text1"/>
              </w:rPr>
              <w:t>CONCESIONARIO SOLICITANTE</w:t>
            </w:r>
          </w:p>
        </w:tc>
      </w:tr>
      <w:tr w:rsidR="008762D1" w:rsidRPr="008762D1" w14:paraId="3C74DA77" w14:textId="77777777" w:rsidTr="00F67F46">
        <w:trPr>
          <w:trHeight w:val="690"/>
          <w:tblHeader/>
          <w:jc w:val="center"/>
        </w:trPr>
        <w:tc>
          <w:tcPr>
            <w:tcW w:w="1200" w:type="dxa"/>
            <w:tcBorders>
              <w:top w:val="nil"/>
              <w:left w:val="single" w:sz="8" w:space="0" w:color="auto"/>
              <w:bottom w:val="nil"/>
              <w:right w:val="single" w:sz="8" w:space="0" w:color="auto"/>
            </w:tcBorders>
            <w:shd w:val="pct25" w:color="000000" w:fill="auto"/>
            <w:vAlign w:val="center"/>
            <w:hideMark/>
          </w:tcPr>
          <w:p w14:paraId="55B2FCA9" w14:textId="77777777" w:rsidR="00526FE9" w:rsidRPr="008762D1" w:rsidRDefault="00526FE9" w:rsidP="00F67F46">
            <w:pPr>
              <w:spacing w:before="240" w:after="0"/>
              <w:jc w:val="center"/>
              <w:rPr>
                <w:rFonts w:ascii="ITC Avant Garde" w:hAnsi="ITC Avant Garde"/>
                <w:b/>
                <w:color w:val="000000" w:themeColor="text1"/>
              </w:rPr>
            </w:pPr>
            <w:r w:rsidRPr="008762D1">
              <w:rPr>
                <w:rFonts w:ascii="ITC Avant Garde" w:hAnsi="ITC Avant Garde"/>
                <w:b/>
                <w:color w:val="000000" w:themeColor="text1"/>
              </w:rPr>
              <w:t>Ciudad</w:t>
            </w:r>
          </w:p>
        </w:tc>
        <w:tc>
          <w:tcPr>
            <w:tcW w:w="1600" w:type="dxa"/>
            <w:tcBorders>
              <w:top w:val="nil"/>
              <w:left w:val="nil"/>
              <w:bottom w:val="nil"/>
              <w:right w:val="single" w:sz="8" w:space="0" w:color="auto"/>
            </w:tcBorders>
            <w:shd w:val="pct25" w:color="000000" w:fill="auto"/>
            <w:vAlign w:val="center"/>
            <w:hideMark/>
          </w:tcPr>
          <w:p w14:paraId="4E93B15E" w14:textId="77777777" w:rsidR="00526FE9" w:rsidRPr="008762D1" w:rsidRDefault="00526FE9" w:rsidP="00F67F46">
            <w:pPr>
              <w:spacing w:before="240" w:after="0"/>
              <w:jc w:val="center"/>
              <w:rPr>
                <w:rFonts w:ascii="ITC Avant Garde" w:hAnsi="ITC Avant Garde"/>
                <w:b/>
                <w:color w:val="000000" w:themeColor="text1"/>
              </w:rPr>
            </w:pPr>
            <w:r w:rsidRPr="008762D1">
              <w:rPr>
                <w:rFonts w:ascii="ITC Avant Garde" w:hAnsi="ITC Avant Garde"/>
                <w:b/>
                <w:color w:val="000000" w:themeColor="text1"/>
              </w:rPr>
              <w:t>Denominación y Capacidad</w:t>
            </w:r>
          </w:p>
        </w:tc>
        <w:tc>
          <w:tcPr>
            <w:tcW w:w="1200" w:type="dxa"/>
            <w:tcBorders>
              <w:top w:val="nil"/>
              <w:left w:val="nil"/>
              <w:bottom w:val="nil"/>
              <w:right w:val="single" w:sz="8" w:space="0" w:color="auto"/>
            </w:tcBorders>
            <w:shd w:val="pct25" w:color="000000" w:fill="auto"/>
            <w:vAlign w:val="center"/>
            <w:hideMark/>
          </w:tcPr>
          <w:p w14:paraId="1308320D" w14:textId="77777777" w:rsidR="00526FE9" w:rsidRPr="008762D1" w:rsidRDefault="00526FE9" w:rsidP="00F67F46">
            <w:pPr>
              <w:spacing w:before="240" w:after="0"/>
              <w:jc w:val="center"/>
              <w:rPr>
                <w:rFonts w:ascii="ITC Avant Garde" w:hAnsi="ITC Avant Garde"/>
                <w:b/>
                <w:color w:val="000000" w:themeColor="text1"/>
              </w:rPr>
            </w:pPr>
            <w:r w:rsidRPr="008762D1">
              <w:rPr>
                <w:rFonts w:ascii="ITC Avant Garde" w:hAnsi="ITC Avant Garde"/>
                <w:b/>
                <w:color w:val="000000" w:themeColor="text1"/>
              </w:rPr>
              <w:t>Cantidad</w:t>
            </w:r>
          </w:p>
        </w:tc>
      </w:tr>
      <w:tr w:rsidR="008762D1" w:rsidRPr="008762D1" w14:paraId="63FD56F0" w14:textId="77777777" w:rsidTr="00F67F46">
        <w:trPr>
          <w:trHeight w:val="315"/>
          <w:tblHeader/>
          <w:jc w:val="center"/>
        </w:trPr>
        <w:tc>
          <w:tcPr>
            <w:tcW w:w="4000" w:type="dxa"/>
            <w:gridSpan w:val="3"/>
            <w:tcBorders>
              <w:top w:val="single" w:sz="8" w:space="0" w:color="auto"/>
              <w:left w:val="single" w:sz="8" w:space="0" w:color="auto"/>
              <w:bottom w:val="single" w:sz="8" w:space="0" w:color="auto"/>
              <w:right w:val="single" w:sz="8" w:space="0" w:color="000000"/>
            </w:tcBorders>
            <w:vAlign w:val="bottom"/>
            <w:hideMark/>
          </w:tcPr>
          <w:p w14:paraId="69EDD47B" w14:textId="77777777" w:rsidR="00526FE9" w:rsidRPr="008762D1" w:rsidRDefault="00526FE9" w:rsidP="00F67F46">
            <w:pPr>
              <w:spacing w:before="240" w:after="0"/>
              <w:jc w:val="center"/>
              <w:rPr>
                <w:rFonts w:ascii="ITC Avant Garde" w:hAnsi="ITC Avant Garde"/>
                <w:b/>
                <w:color w:val="000000" w:themeColor="text1"/>
              </w:rPr>
            </w:pPr>
            <w:r w:rsidRPr="008762D1">
              <w:rPr>
                <w:rFonts w:ascii="ITC Avant Garde" w:hAnsi="ITC Avant Garde"/>
                <w:b/>
                <w:color w:val="000000" w:themeColor="text1"/>
              </w:rPr>
              <w:t>_________ bimestre de 20__</w:t>
            </w:r>
          </w:p>
        </w:tc>
      </w:tr>
      <w:tr w:rsidR="008762D1" w:rsidRPr="008762D1" w14:paraId="28FEA277" w14:textId="77777777" w:rsidTr="00F67F46">
        <w:trPr>
          <w:trHeight w:val="315"/>
          <w:tblHeader/>
          <w:jc w:val="center"/>
        </w:trPr>
        <w:tc>
          <w:tcPr>
            <w:tcW w:w="1200" w:type="dxa"/>
            <w:tcBorders>
              <w:top w:val="nil"/>
              <w:left w:val="single" w:sz="8" w:space="0" w:color="auto"/>
              <w:bottom w:val="single" w:sz="8" w:space="0" w:color="auto"/>
              <w:right w:val="single" w:sz="8" w:space="0" w:color="auto"/>
            </w:tcBorders>
            <w:vAlign w:val="bottom"/>
            <w:hideMark/>
          </w:tcPr>
          <w:p w14:paraId="08FD1061"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600" w:type="dxa"/>
            <w:tcBorders>
              <w:top w:val="nil"/>
              <w:left w:val="nil"/>
              <w:bottom w:val="single" w:sz="8" w:space="0" w:color="auto"/>
              <w:right w:val="single" w:sz="8" w:space="0" w:color="auto"/>
            </w:tcBorders>
            <w:vAlign w:val="bottom"/>
            <w:hideMark/>
          </w:tcPr>
          <w:p w14:paraId="6F6A0EE2"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200" w:type="dxa"/>
            <w:tcBorders>
              <w:top w:val="nil"/>
              <w:left w:val="nil"/>
              <w:bottom w:val="single" w:sz="8" w:space="0" w:color="auto"/>
              <w:right w:val="single" w:sz="8" w:space="0" w:color="auto"/>
            </w:tcBorders>
            <w:vAlign w:val="bottom"/>
            <w:hideMark/>
          </w:tcPr>
          <w:p w14:paraId="52C9F667"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1E9091F8" w14:textId="77777777" w:rsidTr="00F67F46">
        <w:trPr>
          <w:trHeight w:val="315"/>
          <w:tblHeader/>
          <w:jc w:val="center"/>
        </w:trPr>
        <w:tc>
          <w:tcPr>
            <w:tcW w:w="1200" w:type="dxa"/>
            <w:tcBorders>
              <w:top w:val="nil"/>
              <w:left w:val="single" w:sz="8" w:space="0" w:color="auto"/>
              <w:bottom w:val="single" w:sz="8" w:space="0" w:color="auto"/>
              <w:right w:val="single" w:sz="8" w:space="0" w:color="auto"/>
            </w:tcBorders>
            <w:vAlign w:val="bottom"/>
            <w:hideMark/>
          </w:tcPr>
          <w:p w14:paraId="4BAB68ED"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600" w:type="dxa"/>
            <w:tcBorders>
              <w:top w:val="nil"/>
              <w:left w:val="nil"/>
              <w:bottom w:val="single" w:sz="8" w:space="0" w:color="auto"/>
              <w:right w:val="single" w:sz="8" w:space="0" w:color="auto"/>
            </w:tcBorders>
            <w:vAlign w:val="bottom"/>
            <w:hideMark/>
          </w:tcPr>
          <w:p w14:paraId="09E520B2"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200" w:type="dxa"/>
            <w:tcBorders>
              <w:top w:val="nil"/>
              <w:left w:val="nil"/>
              <w:bottom w:val="single" w:sz="8" w:space="0" w:color="auto"/>
              <w:right w:val="single" w:sz="8" w:space="0" w:color="auto"/>
            </w:tcBorders>
            <w:vAlign w:val="bottom"/>
            <w:hideMark/>
          </w:tcPr>
          <w:p w14:paraId="362402EA"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200A31E0" w14:textId="77777777" w:rsidTr="00F67F46">
        <w:trPr>
          <w:trHeight w:val="315"/>
          <w:tblHeader/>
          <w:jc w:val="center"/>
        </w:trPr>
        <w:tc>
          <w:tcPr>
            <w:tcW w:w="1200" w:type="dxa"/>
            <w:tcBorders>
              <w:top w:val="nil"/>
              <w:left w:val="single" w:sz="8" w:space="0" w:color="auto"/>
              <w:bottom w:val="single" w:sz="8" w:space="0" w:color="auto"/>
              <w:right w:val="single" w:sz="8" w:space="0" w:color="auto"/>
            </w:tcBorders>
            <w:vAlign w:val="bottom"/>
            <w:hideMark/>
          </w:tcPr>
          <w:p w14:paraId="2B3C8B18"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600" w:type="dxa"/>
            <w:tcBorders>
              <w:top w:val="nil"/>
              <w:left w:val="nil"/>
              <w:bottom w:val="single" w:sz="8" w:space="0" w:color="auto"/>
              <w:right w:val="single" w:sz="8" w:space="0" w:color="auto"/>
            </w:tcBorders>
            <w:vAlign w:val="bottom"/>
            <w:hideMark/>
          </w:tcPr>
          <w:p w14:paraId="4CB0F3CE"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200" w:type="dxa"/>
            <w:tcBorders>
              <w:top w:val="nil"/>
              <w:left w:val="nil"/>
              <w:bottom w:val="single" w:sz="8" w:space="0" w:color="auto"/>
              <w:right w:val="single" w:sz="8" w:space="0" w:color="auto"/>
            </w:tcBorders>
            <w:vAlign w:val="bottom"/>
            <w:hideMark/>
          </w:tcPr>
          <w:p w14:paraId="3B8608BE"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4D1853D8" w14:textId="77777777" w:rsidTr="00F67F46">
        <w:trPr>
          <w:trHeight w:val="315"/>
          <w:tblHeader/>
          <w:jc w:val="center"/>
        </w:trPr>
        <w:tc>
          <w:tcPr>
            <w:tcW w:w="1200" w:type="dxa"/>
            <w:tcBorders>
              <w:top w:val="nil"/>
              <w:left w:val="single" w:sz="8" w:space="0" w:color="auto"/>
              <w:bottom w:val="single" w:sz="8" w:space="0" w:color="auto"/>
              <w:right w:val="single" w:sz="8" w:space="0" w:color="auto"/>
            </w:tcBorders>
            <w:vAlign w:val="bottom"/>
            <w:hideMark/>
          </w:tcPr>
          <w:p w14:paraId="4228117A"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600" w:type="dxa"/>
            <w:tcBorders>
              <w:top w:val="nil"/>
              <w:left w:val="nil"/>
              <w:bottom w:val="single" w:sz="8" w:space="0" w:color="auto"/>
              <w:right w:val="single" w:sz="8" w:space="0" w:color="auto"/>
            </w:tcBorders>
            <w:vAlign w:val="bottom"/>
            <w:hideMark/>
          </w:tcPr>
          <w:p w14:paraId="16334A84"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200" w:type="dxa"/>
            <w:tcBorders>
              <w:top w:val="nil"/>
              <w:left w:val="nil"/>
              <w:bottom w:val="single" w:sz="8" w:space="0" w:color="auto"/>
              <w:right w:val="single" w:sz="8" w:space="0" w:color="auto"/>
            </w:tcBorders>
            <w:vAlign w:val="bottom"/>
            <w:hideMark/>
          </w:tcPr>
          <w:p w14:paraId="48BE7196"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046D89AD" w14:textId="77777777" w:rsidTr="00F67F46">
        <w:trPr>
          <w:trHeight w:val="315"/>
          <w:tblHeader/>
          <w:jc w:val="center"/>
        </w:trPr>
        <w:tc>
          <w:tcPr>
            <w:tcW w:w="1200" w:type="dxa"/>
            <w:tcBorders>
              <w:top w:val="nil"/>
              <w:left w:val="single" w:sz="8" w:space="0" w:color="auto"/>
              <w:bottom w:val="single" w:sz="8" w:space="0" w:color="auto"/>
              <w:right w:val="single" w:sz="8" w:space="0" w:color="auto"/>
            </w:tcBorders>
            <w:vAlign w:val="bottom"/>
            <w:hideMark/>
          </w:tcPr>
          <w:p w14:paraId="395562D5"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600" w:type="dxa"/>
            <w:tcBorders>
              <w:top w:val="nil"/>
              <w:left w:val="nil"/>
              <w:bottom w:val="single" w:sz="8" w:space="0" w:color="auto"/>
              <w:right w:val="single" w:sz="8" w:space="0" w:color="auto"/>
            </w:tcBorders>
            <w:vAlign w:val="bottom"/>
            <w:hideMark/>
          </w:tcPr>
          <w:p w14:paraId="1BBD454C"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200" w:type="dxa"/>
            <w:tcBorders>
              <w:top w:val="nil"/>
              <w:left w:val="nil"/>
              <w:bottom w:val="single" w:sz="8" w:space="0" w:color="auto"/>
              <w:right w:val="single" w:sz="8" w:space="0" w:color="auto"/>
            </w:tcBorders>
            <w:vAlign w:val="bottom"/>
            <w:hideMark/>
          </w:tcPr>
          <w:p w14:paraId="471825C3"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7CBDFF24" w14:textId="77777777" w:rsidTr="00F67F46">
        <w:trPr>
          <w:trHeight w:val="315"/>
          <w:tblHeader/>
          <w:jc w:val="center"/>
        </w:trPr>
        <w:tc>
          <w:tcPr>
            <w:tcW w:w="1200" w:type="dxa"/>
            <w:tcBorders>
              <w:top w:val="nil"/>
              <w:left w:val="single" w:sz="8" w:space="0" w:color="auto"/>
              <w:bottom w:val="single" w:sz="8" w:space="0" w:color="auto"/>
              <w:right w:val="single" w:sz="8" w:space="0" w:color="auto"/>
            </w:tcBorders>
            <w:vAlign w:val="bottom"/>
            <w:hideMark/>
          </w:tcPr>
          <w:p w14:paraId="79477189"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600" w:type="dxa"/>
            <w:tcBorders>
              <w:top w:val="nil"/>
              <w:left w:val="nil"/>
              <w:bottom w:val="single" w:sz="8" w:space="0" w:color="auto"/>
              <w:right w:val="single" w:sz="8" w:space="0" w:color="auto"/>
            </w:tcBorders>
            <w:vAlign w:val="bottom"/>
            <w:hideMark/>
          </w:tcPr>
          <w:p w14:paraId="44DB7DBE"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200" w:type="dxa"/>
            <w:tcBorders>
              <w:top w:val="nil"/>
              <w:left w:val="nil"/>
              <w:bottom w:val="single" w:sz="8" w:space="0" w:color="auto"/>
              <w:right w:val="single" w:sz="8" w:space="0" w:color="auto"/>
            </w:tcBorders>
            <w:vAlign w:val="bottom"/>
            <w:hideMark/>
          </w:tcPr>
          <w:p w14:paraId="3373CE4C"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4B37E17A" w14:textId="77777777" w:rsidTr="00F67F46">
        <w:trPr>
          <w:trHeight w:val="315"/>
          <w:tblHeader/>
          <w:jc w:val="center"/>
        </w:trPr>
        <w:tc>
          <w:tcPr>
            <w:tcW w:w="1200" w:type="dxa"/>
            <w:tcBorders>
              <w:top w:val="nil"/>
              <w:left w:val="single" w:sz="8" w:space="0" w:color="auto"/>
              <w:bottom w:val="single" w:sz="8" w:space="0" w:color="auto"/>
              <w:right w:val="single" w:sz="8" w:space="0" w:color="auto"/>
            </w:tcBorders>
            <w:vAlign w:val="bottom"/>
            <w:hideMark/>
          </w:tcPr>
          <w:p w14:paraId="1FF1F780"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600" w:type="dxa"/>
            <w:tcBorders>
              <w:top w:val="nil"/>
              <w:left w:val="nil"/>
              <w:bottom w:val="single" w:sz="8" w:space="0" w:color="auto"/>
              <w:right w:val="single" w:sz="8" w:space="0" w:color="auto"/>
            </w:tcBorders>
            <w:vAlign w:val="bottom"/>
            <w:hideMark/>
          </w:tcPr>
          <w:p w14:paraId="20B0A0E0"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200" w:type="dxa"/>
            <w:tcBorders>
              <w:top w:val="nil"/>
              <w:left w:val="nil"/>
              <w:bottom w:val="single" w:sz="8" w:space="0" w:color="auto"/>
              <w:right w:val="single" w:sz="8" w:space="0" w:color="auto"/>
            </w:tcBorders>
            <w:vAlign w:val="bottom"/>
            <w:hideMark/>
          </w:tcPr>
          <w:p w14:paraId="33186DC5"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r>
      <w:tr w:rsidR="008762D1" w:rsidRPr="008762D1" w14:paraId="22B684B2" w14:textId="77777777" w:rsidTr="00F67F46">
        <w:trPr>
          <w:trHeight w:val="315"/>
          <w:tblHeader/>
          <w:jc w:val="center"/>
        </w:trPr>
        <w:tc>
          <w:tcPr>
            <w:tcW w:w="1200" w:type="dxa"/>
            <w:tcBorders>
              <w:top w:val="nil"/>
              <w:left w:val="single" w:sz="8" w:space="0" w:color="auto"/>
              <w:bottom w:val="single" w:sz="8" w:space="0" w:color="auto"/>
              <w:right w:val="single" w:sz="8" w:space="0" w:color="auto"/>
            </w:tcBorders>
            <w:vAlign w:val="bottom"/>
            <w:hideMark/>
          </w:tcPr>
          <w:p w14:paraId="39D1E707"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600" w:type="dxa"/>
            <w:tcBorders>
              <w:top w:val="nil"/>
              <w:left w:val="nil"/>
              <w:bottom w:val="single" w:sz="8" w:space="0" w:color="auto"/>
              <w:right w:val="single" w:sz="8" w:space="0" w:color="auto"/>
            </w:tcBorders>
            <w:vAlign w:val="bottom"/>
            <w:hideMark/>
          </w:tcPr>
          <w:p w14:paraId="4498CBFD"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c>
          <w:tcPr>
            <w:tcW w:w="1200" w:type="dxa"/>
            <w:tcBorders>
              <w:top w:val="nil"/>
              <w:left w:val="nil"/>
              <w:bottom w:val="single" w:sz="8" w:space="0" w:color="auto"/>
              <w:right w:val="single" w:sz="8" w:space="0" w:color="auto"/>
            </w:tcBorders>
            <w:vAlign w:val="bottom"/>
            <w:hideMark/>
          </w:tcPr>
          <w:p w14:paraId="34D67796" w14:textId="77777777" w:rsidR="00526FE9" w:rsidRPr="008762D1" w:rsidRDefault="00526FE9" w:rsidP="00F67F46">
            <w:pPr>
              <w:spacing w:before="240" w:after="0"/>
              <w:jc w:val="both"/>
              <w:rPr>
                <w:rFonts w:ascii="ITC Avant Garde" w:hAnsi="ITC Avant Garde"/>
                <w:color w:val="000000" w:themeColor="text1"/>
              </w:rPr>
            </w:pPr>
            <w:r w:rsidRPr="008762D1">
              <w:rPr>
                <w:rFonts w:ascii="ITC Avant Garde" w:hAnsi="ITC Avant Garde"/>
                <w:color w:val="000000" w:themeColor="text1"/>
              </w:rPr>
              <w:t> </w:t>
            </w:r>
          </w:p>
        </w:tc>
      </w:tr>
    </w:tbl>
    <w:p w14:paraId="4F0D53EA" w14:textId="77777777" w:rsidR="00526FE9" w:rsidRPr="008762D1" w:rsidRDefault="00526FE9" w:rsidP="000F0B9F">
      <w:pPr>
        <w:spacing w:before="240"/>
        <w:rPr>
          <w:rFonts w:ascii="ITC Avant Garde" w:hAnsi="ITC Avant Garde"/>
          <w:color w:val="000000" w:themeColor="text1"/>
        </w:rPr>
        <w:sectPr w:rsidR="00526FE9" w:rsidRPr="008762D1">
          <w:pgSz w:w="12240" w:h="15840"/>
          <w:pgMar w:top="1843" w:right="1440" w:bottom="1440" w:left="1440" w:header="720" w:footer="720" w:gutter="0"/>
          <w:pgNumType w:start="1"/>
          <w:cols w:space="720"/>
        </w:sectPr>
      </w:pPr>
    </w:p>
    <w:p w14:paraId="14D4F236" w14:textId="77777777" w:rsidR="000F0B9F" w:rsidRPr="008762D1" w:rsidRDefault="00526FE9" w:rsidP="002C0F86">
      <w:pPr>
        <w:pStyle w:val="Ttulo3"/>
        <w:spacing w:before="240"/>
        <w:jc w:val="center"/>
        <w:rPr>
          <w:rFonts w:ascii="ITC Avant Garde" w:hAnsi="ITC Avant Garde"/>
          <w:color w:val="000000" w:themeColor="text1"/>
        </w:rPr>
      </w:pPr>
      <w:proofErr w:type="spellStart"/>
      <w:r w:rsidRPr="008762D1">
        <w:rPr>
          <w:rFonts w:ascii="ITC Avant Garde" w:hAnsi="ITC Avant Garde"/>
          <w:color w:val="000000" w:themeColor="text1"/>
        </w:rPr>
        <w:lastRenderedPageBreak/>
        <w:t>Subanexo</w:t>
      </w:r>
      <w:proofErr w:type="spellEnd"/>
      <w:r w:rsidRPr="008762D1">
        <w:rPr>
          <w:rFonts w:ascii="ITC Avant Garde" w:hAnsi="ITC Avant Garde"/>
          <w:color w:val="000000" w:themeColor="text1"/>
        </w:rPr>
        <w:t xml:space="preserve"> “G-4”</w:t>
      </w:r>
    </w:p>
    <w:p w14:paraId="4AF30FB2" w14:textId="7DF75716" w:rsidR="00526FE9" w:rsidRPr="008762D1" w:rsidRDefault="00526FE9" w:rsidP="002C0F86">
      <w:pPr>
        <w:spacing w:before="240"/>
        <w:jc w:val="center"/>
        <w:rPr>
          <w:rFonts w:ascii="ITC Avant Garde" w:hAnsi="ITC Avant Garde"/>
          <w:b/>
          <w:color w:val="000000" w:themeColor="text1"/>
        </w:rPr>
      </w:pPr>
      <w:r w:rsidRPr="008762D1">
        <w:rPr>
          <w:rFonts w:ascii="ITC Avant Garde" w:hAnsi="ITC Avant Garde"/>
          <w:b/>
          <w:color w:val="000000" w:themeColor="text1"/>
        </w:rPr>
        <w:t xml:space="preserve">Tiempos de Traslado para Atención a Fallas </w:t>
      </w:r>
    </w:p>
    <w:p w14:paraId="69ADF60E" w14:textId="77777777" w:rsidR="00526FE9" w:rsidRPr="008762D1" w:rsidRDefault="00526FE9" w:rsidP="002C0F86">
      <w:pPr>
        <w:jc w:val="center"/>
        <w:rPr>
          <w:rFonts w:ascii="ITC Avant Garde" w:hAnsi="ITC Avant Garde"/>
          <w:color w:val="000000" w:themeColor="text1"/>
        </w:rPr>
      </w:pPr>
      <w:r w:rsidRPr="008762D1">
        <w:rPr>
          <w:rFonts w:ascii="ITC Avant Garde" w:hAnsi="ITC Avant Garde"/>
          <w:color w:val="000000" w:themeColor="text1"/>
        </w:rPr>
        <w:t>Zona Metro</w:t>
      </w:r>
    </w:p>
    <w:p w14:paraId="51C5617C" w14:textId="77777777" w:rsidR="00526FE9" w:rsidRPr="008762D1" w:rsidRDefault="00526FE9" w:rsidP="002C0F86">
      <w:pPr>
        <w:spacing w:before="240"/>
        <w:rPr>
          <w:rFonts w:ascii="ITC Avant Garde" w:hAnsi="ITC Avant Garde"/>
          <w:color w:val="000000" w:themeColor="text1"/>
        </w:rPr>
      </w:pPr>
    </w:p>
    <w:tbl>
      <w:tblPr>
        <w:tblW w:w="6462" w:type="dxa"/>
        <w:jc w:val="center"/>
        <w:tblCellMar>
          <w:left w:w="70" w:type="dxa"/>
          <w:right w:w="70" w:type="dxa"/>
        </w:tblCellMar>
        <w:tblLook w:val="04A0" w:firstRow="1" w:lastRow="0" w:firstColumn="1" w:lastColumn="0" w:noHBand="0" w:noVBand="1"/>
        <w:tblCaption w:val="Tabla"/>
        <w:tblDescription w:val="Tiempos de Traslado para Atención a Fallas &#10;Zona Metro&#10;"/>
      </w:tblPr>
      <w:tblGrid>
        <w:gridCol w:w="1173"/>
        <w:gridCol w:w="2410"/>
        <w:gridCol w:w="2879"/>
      </w:tblGrid>
      <w:tr w:rsidR="008762D1" w:rsidRPr="008762D1" w14:paraId="4AF4A7CF" w14:textId="77777777" w:rsidTr="00526FE9">
        <w:trPr>
          <w:trHeight w:val="450"/>
          <w:jc w:val="center"/>
        </w:trPr>
        <w:tc>
          <w:tcPr>
            <w:tcW w:w="1173" w:type="dxa"/>
            <w:tcBorders>
              <w:top w:val="single" w:sz="8" w:space="0" w:color="auto"/>
              <w:left w:val="single" w:sz="8" w:space="0" w:color="auto"/>
              <w:bottom w:val="single" w:sz="4" w:space="0" w:color="auto"/>
              <w:right w:val="single" w:sz="4" w:space="0" w:color="auto"/>
            </w:tcBorders>
            <w:shd w:val="clear" w:color="auto" w:fill="8DB3E2"/>
            <w:noWrap/>
            <w:vAlign w:val="center"/>
            <w:hideMark/>
          </w:tcPr>
          <w:p w14:paraId="1C39A931" w14:textId="77777777" w:rsidR="00526FE9" w:rsidRPr="008762D1" w:rsidRDefault="00526FE9" w:rsidP="002C0F86">
            <w:pPr>
              <w:spacing w:after="0"/>
              <w:jc w:val="center"/>
              <w:rPr>
                <w:rFonts w:ascii="ITC Avant Garde" w:hAnsi="ITC Avant Garde"/>
                <w:b/>
                <w:color w:val="000000" w:themeColor="text1"/>
                <w:sz w:val="20"/>
              </w:rPr>
            </w:pPr>
            <w:bookmarkStart w:id="11" w:name="RANGE!A1:C29"/>
            <w:r w:rsidRPr="008762D1">
              <w:rPr>
                <w:rFonts w:ascii="ITC Avant Garde" w:hAnsi="ITC Avant Garde"/>
                <w:b/>
                <w:color w:val="000000" w:themeColor="text1"/>
                <w:sz w:val="20"/>
              </w:rPr>
              <w:t>División</w:t>
            </w:r>
            <w:bookmarkEnd w:id="11"/>
          </w:p>
        </w:tc>
        <w:tc>
          <w:tcPr>
            <w:tcW w:w="2410" w:type="dxa"/>
            <w:tcBorders>
              <w:top w:val="single" w:sz="8" w:space="0" w:color="auto"/>
              <w:left w:val="nil"/>
              <w:bottom w:val="single" w:sz="4" w:space="0" w:color="auto"/>
              <w:right w:val="single" w:sz="4" w:space="0" w:color="auto"/>
            </w:tcBorders>
            <w:shd w:val="clear" w:color="auto" w:fill="8DB3E2"/>
            <w:vAlign w:val="center"/>
            <w:hideMark/>
          </w:tcPr>
          <w:p w14:paraId="6B1C79CA" w14:textId="77777777" w:rsidR="00526FE9" w:rsidRPr="008762D1" w:rsidRDefault="00526FE9" w:rsidP="002C0F86">
            <w:pPr>
              <w:spacing w:after="0"/>
              <w:jc w:val="center"/>
              <w:rPr>
                <w:rFonts w:ascii="ITC Avant Garde" w:hAnsi="ITC Avant Garde"/>
                <w:b/>
                <w:color w:val="000000" w:themeColor="text1"/>
                <w:sz w:val="20"/>
              </w:rPr>
            </w:pPr>
            <w:r w:rsidRPr="008762D1">
              <w:rPr>
                <w:rFonts w:ascii="ITC Avant Garde" w:hAnsi="ITC Avant Garde"/>
                <w:b/>
                <w:color w:val="000000" w:themeColor="text1"/>
                <w:sz w:val="20"/>
              </w:rPr>
              <w:t xml:space="preserve">Área urbana </w:t>
            </w:r>
            <w:r w:rsidRPr="008762D1">
              <w:rPr>
                <w:rFonts w:ascii="ITC Avant Garde" w:hAnsi="ITC Avant Garde"/>
                <w:b/>
                <w:color w:val="000000" w:themeColor="text1"/>
                <w:sz w:val="20"/>
              </w:rPr>
              <w:br/>
              <w:t>(1 hora de traslado)</w:t>
            </w:r>
          </w:p>
        </w:tc>
        <w:tc>
          <w:tcPr>
            <w:tcW w:w="2879" w:type="dxa"/>
            <w:tcBorders>
              <w:top w:val="single" w:sz="8" w:space="0" w:color="auto"/>
              <w:left w:val="nil"/>
              <w:bottom w:val="single" w:sz="4" w:space="0" w:color="auto"/>
              <w:right w:val="single" w:sz="8" w:space="0" w:color="auto"/>
            </w:tcBorders>
            <w:shd w:val="clear" w:color="auto" w:fill="8DB3E2"/>
            <w:vAlign w:val="center"/>
            <w:hideMark/>
          </w:tcPr>
          <w:p w14:paraId="3E79350A" w14:textId="77777777" w:rsidR="00526FE9" w:rsidRPr="008762D1" w:rsidRDefault="00526FE9" w:rsidP="002C0F86">
            <w:pPr>
              <w:spacing w:after="0"/>
              <w:jc w:val="center"/>
              <w:rPr>
                <w:rFonts w:ascii="ITC Avant Garde" w:hAnsi="ITC Avant Garde"/>
                <w:b/>
                <w:color w:val="000000" w:themeColor="text1"/>
                <w:sz w:val="20"/>
              </w:rPr>
            </w:pPr>
            <w:r w:rsidRPr="008762D1">
              <w:rPr>
                <w:rFonts w:ascii="ITC Avant Garde" w:hAnsi="ITC Avant Garde"/>
                <w:b/>
                <w:color w:val="000000" w:themeColor="text1"/>
                <w:sz w:val="20"/>
              </w:rPr>
              <w:t>Área suburbana</w:t>
            </w:r>
            <w:r w:rsidRPr="008762D1">
              <w:rPr>
                <w:rFonts w:ascii="ITC Avant Garde" w:hAnsi="ITC Avant Garde"/>
                <w:b/>
                <w:color w:val="000000" w:themeColor="text1"/>
                <w:sz w:val="20"/>
              </w:rPr>
              <w:br/>
              <w:t>(2 horas de traslado)</w:t>
            </w:r>
          </w:p>
        </w:tc>
      </w:tr>
      <w:tr w:rsidR="008762D1" w:rsidRPr="008762D1" w14:paraId="3BA2DA2A" w14:textId="77777777" w:rsidTr="00526FE9">
        <w:trPr>
          <w:trHeight w:val="300"/>
          <w:jc w:val="center"/>
        </w:trPr>
        <w:tc>
          <w:tcPr>
            <w:tcW w:w="1173" w:type="dxa"/>
            <w:vMerge w:val="restart"/>
            <w:tcBorders>
              <w:top w:val="nil"/>
              <w:left w:val="single" w:sz="8" w:space="0" w:color="auto"/>
              <w:bottom w:val="single" w:sz="8" w:space="0" w:color="000000"/>
              <w:right w:val="nil"/>
            </w:tcBorders>
            <w:noWrap/>
            <w:hideMark/>
          </w:tcPr>
          <w:p w14:paraId="26D68E9C"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METRO</w:t>
            </w:r>
          </w:p>
        </w:tc>
        <w:tc>
          <w:tcPr>
            <w:tcW w:w="2410" w:type="dxa"/>
            <w:vMerge w:val="restart"/>
            <w:tcBorders>
              <w:top w:val="nil"/>
              <w:left w:val="single" w:sz="4" w:space="0" w:color="000000"/>
              <w:bottom w:val="nil"/>
              <w:right w:val="single" w:sz="4" w:space="0" w:color="000000"/>
            </w:tcBorders>
            <w:noWrap/>
            <w:hideMark/>
          </w:tcPr>
          <w:p w14:paraId="1029CB6B"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CD. MÉXICO</w:t>
            </w:r>
          </w:p>
        </w:tc>
        <w:tc>
          <w:tcPr>
            <w:tcW w:w="2879" w:type="dxa"/>
            <w:tcBorders>
              <w:top w:val="nil"/>
              <w:left w:val="nil"/>
              <w:bottom w:val="nil"/>
              <w:right w:val="single" w:sz="8" w:space="0" w:color="auto"/>
            </w:tcBorders>
            <w:noWrap/>
            <w:vAlign w:val="bottom"/>
            <w:hideMark/>
          </w:tcPr>
          <w:p w14:paraId="2E6D8C0F"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BOSQUES DEL LAGO</w:t>
            </w:r>
          </w:p>
        </w:tc>
      </w:tr>
      <w:tr w:rsidR="008762D1" w:rsidRPr="008762D1" w14:paraId="3FE1AA7B"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7198585E"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7C83098D"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4A126CB8"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CIUDAD LABOR</w:t>
            </w:r>
          </w:p>
        </w:tc>
      </w:tr>
      <w:tr w:rsidR="008762D1" w:rsidRPr="008762D1" w14:paraId="06E19F6E"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4F561024"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33B61EA7"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6CC2C3E2"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SANTA MARIA TULTEPEC</w:t>
            </w:r>
          </w:p>
        </w:tc>
      </w:tr>
      <w:tr w:rsidR="008762D1" w:rsidRPr="008762D1" w14:paraId="23225DD6"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18ADE8D9"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62CA94E9"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10BFA4CF"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TEPOTZOTLAN</w:t>
            </w:r>
          </w:p>
        </w:tc>
      </w:tr>
      <w:tr w:rsidR="008762D1" w:rsidRPr="008762D1" w14:paraId="2E34EA41"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78769CE7"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796E32AA"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139AA191"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VILLA DE LAS FLORES</w:t>
            </w:r>
          </w:p>
        </w:tc>
      </w:tr>
      <w:tr w:rsidR="008762D1" w:rsidRPr="008762D1" w14:paraId="74FAE21B"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3F0B8A64"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38C902CF"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127D88EF"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ZUMPANGO</w:t>
            </w:r>
          </w:p>
        </w:tc>
      </w:tr>
      <w:tr w:rsidR="008762D1" w:rsidRPr="008762D1" w14:paraId="557C9E28"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57C1293B"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2857AD5A"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46A22545"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CHALCO</w:t>
            </w:r>
          </w:p>
        </w:tc>
      </w:tr>
      <w:tr w:rsidR="008762D1" w:rsidRPr="008762D1" w14:paraId="35CEC4A8"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28CC596C"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428F457F"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0D69FAFF"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CIUDAD LOPEZ MATEOS</w:t>
            </w:r>
          </w:p>
        </w:tc>
      </w:tr>
      <w:tr w:rsidR="008762D1" w:rsidRPr="008762D1" w14:paraId="798B7570"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585B2776"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3C05D02E"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46104748"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VILLA NICOLAS ROMERO</w:t>
            </w:r>
          </w:p>
        </w:tc>
      </w:tr>
      <w:tr w:rsidR="008762D1" w:rsidRPr="008762D1" w14:paraId="763DBF7C"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7625332F"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0C2988B0"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306D9018"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CHIMALHUACAN</w:t>
            </w:r>
          </w:p>
        </w:tc>
      </w:tr>
      <w:tr w:rsidR="008762D1" w:rsidRPr="008762D1" w14:paraId="61EB9A34"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39E7DEED"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0F5FECB6"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6E08C7F3"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LOS REYES</w:t>
            </w:r>
          </w:p>
        </w:tc>
      </w:tr>
      <w:tr w:rsidR="008762D1" w:rsidRPr="008762D1" w14:paraId="73420B00"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2687B082"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3E8B291E"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7BB53F15"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OJO DE AGUA</w:t>
            </w:r>
          </w:p>
        </w:tc>
      </w:tr>
      <w:tr w:rsidR="008762D1" w:rsidRPr="008762D1" w14:paraId="766A072E"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47AD014D"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5317BC04"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5094C583"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TEOTIHUACAN</w:t>
            </w:r>
          </w:p>
        </w:tc>
      </w:tr>
      <w:tr w:rsidR="008762D1" w:rsidRPr="008762D1" w14:paraId="3CADD2AC"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5CA272AF"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0" w:type="auto"/>
            <w:vMerge/>
            <w:tcBorders>
              <w:top w:val="nil"/>
              <w:left w:val="single" w:sz="4" w:space="0" w:color="000000"/>
              <w:bottom w:val="nil"/>
              <w:right w:val="single" w:sz="4" w:space="0" w:color="000000"/>
            </w:tcBorders>
            <w:vAlign w:val="center"/>
            <w:hideMark/>
          </w:tcPr>
          <w:p w14:paraId="5F1690E5"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879" w:type="dxa"/>
            <w:tcBorders>
              <w:top w:val="nil"/>
              <w:left w:val="nil"/>
              <w:bottom w:val="nil"/>
              <w:right w:val="single" w:sz="8" w:space="0" w:color="auto"/>
            </w:tcBorders>
            <w:noWrap/>
            <w:vAlign w:val="bottom"/>
            <w:hideMark/>
          </w:tcPr>
          <w:p w14:paraId="7FC17B8D"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VENTA DE CARPIO</w:t>
            </w:r>
          </w:p>
        </w:tc>
      </w:tr>
      <w:tr w:rsidR="008762D1" w:rsidRPr="008762D1" w14:paraId="5F5CDFF5"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7377F376"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single" w:sz="4" w:space="0" w:color="auto"/>
              <w:left w:val="single" w:sz="4" w:space="0" w:color="000000"/>
              <w:bottom w:val="nil"/>
              <w:right w:val="nil"/>
            </w:tcBorders>
            <w:noWrap/>
            <w:vAlign w:val="bottom"/>
            <w:hideMark/>
          </w:tcPr>
          <w:p w14:paraId="5BC3F40C"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ACAPULCO</w:t>
            </w:r>
          </w:p>
        </w:tc>
        <w:tc>
          <w:tcPr>
            <w:tcW w:w="2879" w:type="dxa"/>
            <w:tcBorders>
              <w:top w:val="single" w:sz="4" w:space="0" w:color="auto"/>
              <w:left w:val="single" w:sz="4" w:space="0" w:color="000000"/>
              <w:bottom w:val="nil"/>
              <w:right w:val="single" w:sz="8" w:space="0" w:color="auto"/>
            </w:tcBorders>
            <w:noWrap/>
            <w:vAlign w:val="bottom"/>
            <w:hideMark/>
          </w:tcPr>
          <w:p w14:paraId="077645B5"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OMETEPEC </w:t>
            </w:r>
          </w:p>
        </w:tc>
      </w:tr>
      <w:tr w:rsidR="008762D1" w:rsidRPr="008762D1" w14:paraId="0E0E6BD6"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0908A47B"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000000"/>
              <w:bottom w:val="nil"/>
              <w:right w:val="nil"/>
            </w:tcBorders>
            <w:noWrap/>
            <w:vAlign w:val="bottom"/>
          </w:tcPr>
          <w:p w14:paraId="2B9ABA6F"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nil"/>
              <w:right w:val="single" w:sz="8" w:space="0" w:color="auto"/>
            </w:tcBorders>
            <w:noWrap/>
            <w:vAlign w:val="bottom"/>
            <w:hideMark/>
          </w:tcPr>
          <w:p w14:paraId="69EEED31"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PIE DE LA CUESTA</w:t>
            </w:r>
          </w:p>
        </w:tc>
      </w:tr>
      <w:tr w:rsidR="008762D1" w:rsidRPr="008762D1" w14:paraId="58DBEB0D"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5A4BADF5"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000000"/>
              <w:bottom w:val="nil"/>
              <w:right w:val="nil"/>
            </w:tcBorders>
            <w:noWrap/>
            <w:vAlign w:val="bottom"/>
          </w:tcPr>
          <w:p w14:paraId="245D7935"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nil"/>
              <w:right w:val="single" w:sz="8" w:space="0" w:color="auto"/>
            </w:tcBorders>
            <w:noWrap/>
            <w:vAlign w:val="bottom"/>
            <w:hideMark/>
          </w:tcPr>
          <w:p w14:paraId="30FF9AA1"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TECPAN DE GALEANA</w:t>
            </w:r>
          </w:p>
        </w:tc>
      </w:tr>
      <w:tr w:rsidR="008762D1" w:rsidRPr="008762D1" w14:paraId="4BC7BE01"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07D54664"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000000"/>
              <w:bottom w:val="nil"/>
              <w:right w:val="nil"/>
            </w:tcBorders>
            <w:noWrap/>
            <w:vAlign w:val="bottom"/>
          </w:tcPr>
          <w:p w14:paraId="1BFA16B0"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nil"/>
              <w:right w:val="single" w:sz="8" w:space="0" w:color="auto"/>
            </w:tcBorders>
            <w:noWrap/>
            <w:vAlign w:val="bottom"/>
            <w:hideMark/>
          </w:tcPr>
          <w:p w14:paraId="644525CB"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ZIHUATANEJO</w:t>
            </w:r>
          </w:p>
        </w:tc>
      </w:tr>
      <w:tr w:rsidR="008762D1" w:rsidRPr="008762D1" w14:paraId="16CA02B1"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48D0FD5C"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single" w:sz="4" w:space="0" w:color="000000"/>
              <w:left w:val="single" w:sz="4" w:space="0" w:color="000000"/>
              <w:bottom w:val="nil"/>
              <w:right w:val="nil"/>
            </w:tcBorders>
            <w:noWrap/>
            <w:vAlign w:val="bottom"/>
            <w:hideMark/>
          </w:tcPr>
          <w:p w14:paraId="149499D3"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CHILPANCINGO</w:t>
            </w:r>
          </w:p>
        </w:tc>
        <w:tc>
          <w:tcPr>
            <w:tcW w:w="2879" w:type="dxa"/>
            <w:tcBorders>
              <w:top w:val="single" w:sz="4" w:space="0" w:color="000000"/>
              <w:left w:val="single" w:sz="4" w:space="0" w:color="000000"/>
              <w:bottom w:val="nil"/>
              <w:right w:val="single" w:sz="8" w:space="0" w:color="auto"/>
            </w:tcBorders>
            <w:noWrap/>
            <w:vAlign w:val="bottom"/>
            <w:hideMark/>
          </w:tcPr>
          <w:p w14:paraId="23DE009B"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CIUDAD ALTAMIRANO</w:t>
            </w:r>
          </w:p>
        </w:tc>
      </w:tr>
      <w:tr w:rsidR="008762D1" w:rsidRPr="008762D1" w14:paraId="28C606BF"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5ED6059C"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000000"/>
              <w:bottom w:val="nil"/>
              <w:right w:val="nil"/>
            </w:tcBorders>
            <w:noWrap/>
            <w:vAlign w:val="bottom"/>
          </w:tcPr>
          <w:p w14:paraId="53A20C2F"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nil"/>
              <w:right w:val="single" w:sz="8" w:space="0" w:color="auto"/>
            </w:tcBorders>
            <w:noWrap/>
            <w:vAlign w:val="bottom"/>
            <w:hideMark/>
          </w:tcPr>
          <w:p w14:paraId="0ABA511A"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IGUALA</w:t>
            </w:r>
          </w:p>
        </w:tc>
      </w:tr>
      <w:tr w:rsidR="008762D1" w:rsidRPr="008762D1" w14:paraId="32CA596E"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4FFD9EFC"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000000"/>
              <w:bottom w:val="nil"/>
              <w:right w:val="nil"/>
            </w:tcBorders>
            <w:noWrap/>
            <w:vAlign w:val="bottom"/>
          </w:tcPr>
          <w:p w14:paraId="4FC8FBF8"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nil"/>
              <w:right w:val="single" w:sz="8" w:space="0" w:color="auto"/>
            </w:tcBorders>
            <w:noWrap/>
            <w:vAlign w:val="bottom"/>
            <w:hideMark/>
          </w:tcPr>
          <w:p w14:paraId="6C772B70"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TAXCO</w:t>
            </w:r>
          </w:p>
        </w:tc>
      </w:tr>
      <w:tr w:rsidR="008762D1" w:rsidRPr="008762D1" w14:paraId="5D361E1A"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17D5A09D"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single" w:sz="4" w:space="0" w:color="auto"/>
              <w:left w:val="single" w:sz="4" w:space="0" w:color="auto"/>
              <w:bottom w:val="nil"/>
              <w:right w:val="nil"/>
            </w:tcBorders>
            <w:noWrap/>
            <w:vAlign w:val="bottom"/>
            <w:hideMark/>
          </w:tcPr>
          <w:p w14:paraId="797F5DBB"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TOLUCA</w:t>
            </w:r>
          </w:p>
        </w:tc>
        <w:tc>
          <w:tcPr>
            <w:tcW w:w="2879" w:type="dxa"/>
            <w:tcBorders>
              <w:top w:val="single" w:sz="4" w:space="0" w:color="auto"/>
              <w:left w:val="single" w:sz="4" w:space="0" w:color="000000"/>
              <w:bottom w:val="nil"/>
              <w:right w:val="single" w:sz="8" w:space="0" w:color="auto"/>
            </w:tcBorders>
            <w:noWrap/>
            <w:vAlign w:val="bottom"/>
            <w:hideMark/>
          </w:tcPr>
          <w:p w14:paraId="263BBFB4"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ATLACOMULCO</w:t>
            </w:r>
          </w:p>
        </w:tc>
      </w:tr>
      <w:tr w:rsidR="008762D1" w:rsidRPr="008762D1" w14:paraId="1FF97B70"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002DB0C1"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auto"/>
              <w:bottom w:val="nil"/>
              <w:right w:val="nil"/>
            </w:tcBorders>
            <w:noWrap/>
            <w:vAlign w:val="bottom"/>
          </w:tcPr>
          <w:p w14:paraId="73E27F67"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nil"/>
              <w:right w:val="single" w:sz="8" w:space="0" w:color="auto"/>
            </w:tcBorders>
            <w:noWrap/>
            <w:vAlign w:val="bottom"/>
            <w:hideMark/>
          </w:tcPr>
          <w:p w14:paraId="533E8176"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LERMA</w:t>
            </w:r>
          </w:p>
        </w:tc>
      </w:tr>
      <w:tr w:rsidR="008762D1" w:rsidRPr="008762D1" w14:paraId="1E30237A"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41013CEC"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auto"/>
              <w:bottom w:val="nil"/>
              <w:right w:val="nil"/>
            </w:tcBorders>
            <w:noWrap/>
            <w:vAlign w:val="bottom"/>
          </w:tcPr>
          <w:p w14:paraId="678AFD47"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nil"/>
              <w:right w:val="single" w:sz="8" w:space="0" w:color="auto"/>
            </w:tcBorders>
            <w:noWrap/>
            <w:vAlign w:val="bottom"/>
            <w:hideMark/>
          </w:tcPr>
          <w:p w14:paraId="5A237AF0"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SANTIAGO TIANGUISTENCO</w:t>
            </w:r>
          </w:p>
        </w:tc>
      </w:tr>
      <w:tr w:rsidR="008762D1" w:rsidRPr="008762D1" w14:paraId="57DDC4C6"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37CDD471"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auto"/>
              <w:bottom w:val="nil"/>
              <w:right w:val="nil"/>
            </w:tcBorders>
            <w:noWrap/>
            <w:vAlign w:val="bottom"/>
          </w:tcPr>
          <w:p w14:paraId="6E5BB3B6"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nil"/>
              <w:right w:val="single" w:sz="8" w:space="0" w:color="auto"/>
            </w:tcBorders>
            <w:noWrap/>
            <w:vAlign w:val="bottom"/>
            <w:hideMark/>
          </w:tcPr>
          <w:p w14:paraId="4F0A43F4"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TENANCINGO</w:t>
            </w:r>
          </w:p>
        </w:tc>
      </w:tr>
      <w:tr w:rsidR="008762D1" w:rsidRPr="008762D1" w14:paraId="2DBFA539"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71D2D7AA"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auto"/>
              <w:bottom w:val="single" w:sz="4" w:space="0" w:color="auto"/>
              <w:right w:val="nil"/>
            </w:tcBorders>
            <w:noWrap/>
            <w:vAlign w:val="bottom"/>
          </w:tcPr>
          <w:p w14:paraId="40A878A3"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single" w:sz="4" w:space="0" w:color="auto"/>
              <w:right w:val="single" w:sz="8" w:space="0" w:color="auto"/>
            </w:tcBorders>
            <w:noWrap/>
            <w:vAlign w:val="bottom"/>
            <w:hideMark/>
          </w:tcPr>
          <w:p w14:paraId="1A28E400"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VALLE DE BRAVO</w:t>
            </w:r>
          </w:p>
        </w:tc>
      </w:tr>
      <w:tr w:rsidR="008762D1" w:rsidRPr="008762D1" w14:paraId="6CE1FCCA" w14:textId="77777777" w:rsidTr="00526FE9">
        <w:trPr>
          <w:trHeight w:val="300"/>
          <w:jc w:val="center"/>
        </w:trPr>
        <w:tc>
          <w:tcPr>
            <w:tcW w:w="0" w:type="auto"/>
            <w:vMerge/>
            <w:tcBorders>
              <w:top w:val="nil"/>
              <w:left w:val="single" w:sz="8" w:space="0" w:color="auto"/>
              <w:bottom w:val="single" w:sz="8" w:space="0" w:color="000000"/>
              <w:right w:val="nil"/>
            </w:tcBorders>
            <w:vAlign w:val="center"/>
            <w:hideMark/>
          </w:tcPr>
          <w:p w14:paraId="2C3251A7"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000000"/>
              <w:bottom w:val="nil"/>
              <w:right w:val="nil"/>
            </w:tcBorders>
            <w:noWrap/>
            <w:vAlign w:val="bottom"/>
            <w:hideMark/>
          </w:tcPr>
          <w:p w14:paraId="21733442"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CUERNAVACA</w:t>
            </w:r>
          </w:p>
        </w:tc>
        <w:tc>
          <w:tcPr>
            <w:tcW w:w="2879" w:type="dxa"/>
            <w:tcBorders>
              <w:top w:val="nil"/>
              <w:left w:val="single" w:sz="4" w:space="0" w:color="000000"/>
              <w:bottom w:val="nil"/>
              <w:right w:val="single" w:sz="8" w:space="0" w:color="auto"/>
            </w:tcBorders>
            <w:noWrap/>
            <w:vAlign w:val="bottom"/>
            <w:hideMark/>
          </w:tcPr>
          <w:p w14:paraId="5BA8917B"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CUAUTLA</w:t>
            </w:r>
          </w:p>
        </w:tc>
      </w:tr>
      <w:tr w:rsidR="00526FE9" w:rsidRPr="008762D1" w14:paraId="638EAFC7" w14:textId="77777777" w:rsidTr="00526FE9">
        <w:trPr>
          <w:trHeight w:val="315"/>
          <w:jc w:val="center"/>
        </w:trPr>
        <w:tc>
          <w:tcPr>
            <w:tcW w:w="0" w:type="auto"/>
            <w:vMerge/>
            <w:tcBorders>
              <w:top w:val="nil"/>
              <w:left w:val="single" w:sz="8" w:space="0" w:color="auto"/>
              <w:bottom w:val="single" w:sz="8" w:space="0" w:color="000000"/>
              <w:right w:val="nil"/>
            </w:tcBorders>
            <w:vAlign w:val="center"/>
            <w:hideMark/>
          </w:tcPr>
          <w:p w14:paraId="34ABBACF" w14:textId="77777777" w:rsidR="00526FE9" w:rsidRPr="008762D1" w:rsidRDefault="00526FE9" w:rsidP="002C0F86">
            <w:pPr>
              <w:spacing w:after="0"/>
              <w:rPr>
                <w:rFonts w:ascii="ITC Avant Garde" w:hAnsi="ITC Avant Garde"/>
                <w:color w:val="000000" w:themeColor="text1"/>
                <w:sz w:val="20"/>
                <w:szCs w:val="24"/>
                <w:lang w:eastAsia="es-ES"/>
              </w:rPr>
            </w:pPr>
          </w:p>
        </w:tc>
        <w:tc>
          <w:tcPr>
            <w:tcW w:w="2410" w:type="dxa"/>
            <w:tcBorders>
              <w:top w:val="nil"/>
              <w:left w:val="single" w:sz="4" w:space="0" w:color="000000"/>
              <w:bottom w:val="single" w:sz="8" w:space="0" w:color="auto"/>
              <w:right w:val="nil"/>
            </w:tcBorders>
            <w:noWrap/>
            <w:vAlign w:val="bottom"/>
          </w:tcPr>
          <w:p w14:paraId="3B2A608E" w14:textId="77777777" w:rsidR="00526FE9" w:rsidRPr="008762D1" w:rsidRDefault="00526FE9" w:rsidP="002C0F86">
            <w:pPr>
              <w:spacing w:after="0"/>
              <w:rPr>
                <w:rFonts w:ascii="ITC Avant Garde" w:hAnsi="ITC Avant Garde"/>
                <w:color w:val="000000" w:themeColor="text1"/>
                <w:sz w:val="20"/>
              </w:rPr>
            </w:pPr>
          </w:p>
        </w:tc>
        <w:tc>
          <w:tcPr>
            <w:tcW w:w="2879" w:type="dxa"/>
            <w:tcBorders>
              <w:top w:val="nil"/>
              <w:left w:val="single" w:sz="4" w:space="0" w:color="000000"/>
              <w:bottom w:val="single" w:sz="8" w:space="0" w:color="auto"/>
              <w:right w:val="single" w:sz="8" w:space="0" w:color="auto"/>
            </w:tcBorders>
            <w:noWrap/>
            <w:vAlign w:val="bottom"/>
            <w:hideMark/>
          </w:tcPr>
          <w:p w14:paraId="63C6FAC1" w14:textId="77777777" w:rsidR="00526FE9" w:rsidRPr="008762D1" w:rsidRDefault="00526FE9" w:rsidP="002C0F86">
            <w:pPr>
              <w:spacing w:after="0"/>
              <w:rPr>
                <w:rFonts w:ascii="ITC Avant Garde" w:hAnsi="ITC Avant Garde"/>
                <w:color w:val="000000" w:themeColor="text1"/>
                <w:sz w:val="20"/>
              </w:rPr>
            </w:pPr>
            <w:r w:rsidRPr="008762D1">
              <w:rPr>
                <w:rFonts w:ascii="ITC Avant Garde" w:hAnsi="ITC Avant Garde"/>
                <w:color w:val="000000" w:themeColor="text1"/>
                <w:sz w:val="20"/>
              </w:rPr>
              <w:t xml:space="preserve"> JOJUTLA</w:t>
            </w:r>
          </w:p>
        </w:tc>
      </w:tr>
    </w:tbl>
    <w:p w14:paraId="73FA542F" w14:textId="77777777" w:rsidR="00526FE9" w:rsidRPr="008762D1" w:rsidRDefault="00526FE9" w:rsidP="002C0F86">
      <w:pPr>
        <w:spacing w:before="240"/>
        <w:rPr>
          <w:rFonts w:ascii="ITC Avant Garde" w:hAnsi="ITC Avant Garde"/>
          <w:color w:val="000000" w:themeColor="text1"/>
          <w:lang w:eastAsia="es-ES"/>
        </w:rPr>
      </w:pPr>
    </w:p>
    <w:p w14:paraId="657C88AE" w14:textId="77777777" w:rsidR="00526FE9" w:rsidRPr="008762D1" w:rsidRDefault="00526FE9" w:rsidP="002C0F86">
      <w:pPr>
        <w:spacing w:before="240"/>
        <w:jc w:val="center"/>
        <w:rPr>
          <w:rFonts w:ascii="ITC Avant Garde" w:hAnsi="ITC Avant Garde"/>
          <w:color w:val="000000" w:themeColor="text1"/>
          <w:lang w:val="es-ES"/>
        </w:rPr>
      </w:pPr>
      <w:r w:rsidRPr="008762D1">
        <w:rPr>
          <w:rFonts w:ascii="ITC Avant Garde" w:hAnsi="ITC Avant Garde"/>
          <w:color w:val="000000" w:themeColor="text1"/>
        </w:rPr>
        <w:br w:type="page"/>
      </w:r>
      <w:r w:rsidRPr="008762D1">
        <w:rPr>
          <w:rFonts w:ascii="ITC Avant Garde" w:hAnsi="ITC Avant Garde"/>
          <w:color w:val="000000" w:themeColor="text1"/>
        </w:rPr>
        <w:lastRenderedPageBreak/>
        <w:t>Zona Sur</w:t>
      </w:r>
    </w:p>
    <w:p w14:paraId="759473EB" w14:textId="77777777" w:rsidR="00526FE9" w:rsidRPr="008762D1" w:rsidRDefault="00526FE9" w:rsidP="002C0F86">
      <w:pPr>
        <w:spacing w:before="240"/>
        <w:ind w:left="-720" w:right="-676"/>
        <w:rPr>
          <w:rFonts w:ascii="ITC Avant Garde" w:hAnsi="ITC Avant Garde"/>
          <w:color w:val="000000" w:themeColor="text1"/>
          <w:sz w:val="12"/>
        </w:rPr>
      </w:pPr>
    </w:p>
    <w:tbl>
      <w:tblPr>
        <w:tblW w:w="9911" w:type="dxa"/>
        <w:tblInd w:w="55" w:type="dxa"/>
        <w:tblCellMar>
          <w:left w:w="70" w:type="dxa"/>
          <w:right w:w="70" w:type="dxa"/>
        </w:tblCellMar>
        <w:tblLook w:val="04A0" w:firstRow="1" w:lastRow="0" w:firstColumn="1" w:lastColumn="0" w:noHBand="0" w:noVBand="1"/>
        <w:tblCaption w:val="Tabla"/>
        <w:tblDescription w:val="Tiempos de Traslado para Atención a Fallas &#10;Zona Sur"/>
      </w:tblPr>
      <w:tblGrid>
        <w:gridCol w:w="866"/>
        <w:gridCol w:w="1967"/>
        <w:gridCol w:w="1984"/>
        <w:gridCol w:w="284"/>
        <w:gridCol w:w="852"/>
        <w:gridCol w:w="1843"/>
        <w:gridCol w:w="2241"/>
      </w:tblGrid>
      <w:tr w:rsidR="008762D1" w:rsidRPr="008762D1" w14:paraId="58478E9D" w14:textId="77777777" w:rsidTr="00F67F46">
        <w:trPr>
          <w:trHeight w:val="675"/>
          <w:tblHeader/>
        </w:trPr>
        <w:tc>
          <w:tcPr>
            <w:tcW w:w="866" w:type="dxa"/>
            <w:tcBorders>
              <w:top w:val="single" w:sz="8" w:space="0" w:color="auto"/>
              <w:left w:val="single" w:sz="8" w:space="0" w:color="auto"/>
              <w:bottom w:val="single" w:sz="4" w:space="0" w:color="auto"/>
              <w:right w:val="single" w:sz="4" w:space="0" w:color="auto"/>
            </w:tcBorders>
            <w:shd w:val="clear" w:color="auto" w:fill="8DB3E2"/>
            <w:noWrap/>
            <w:vAlign w:val="center"/>
            <w:hideMark/>
          </w:tcPr>
          <w:p w14:paraId="5B2FF01C" w14:textId="77777777" w:rsidR="00526FE9" w:rsidRPr="008762D1" w:rsidRDefault="00526FE9" w:rsidP="002C0F86">
            <w:pPr>
              <w:spacing w:after="0"/>
              <w:jc w:val="center"/>
              <w:rPr>
                <w:rFonts w:ascii="ITC Avant Garde" w:hAnsi="ITC Avant Garde"/>
                <w:b/>
                <w:color w:val="000000" w:themeColor="text1"/>
                <w:sz w:val="20"/>
                <w:szCs w:val="20"/>
              </w:rPr>
            </w:pPr>
            <w:bookmarkStart w:id="12" w:name="RANGE!A1:G31"/>
            <w:r w:rsidRPr="008762D1">
              <w:rPr>
                <w:rFonts w:ascii="ITC Avant Garde" w:hAnsi="ITC Avant Garde"/>
                <w:b/>
                <w:color w:val="000000" w:themeColor="text1"/>
                <w:sz w:val="20"/>
                <w:szCs w:val="20"/>
              </w:rPr>
              <w:t>División</w:t>
            </w:r>
            <w:bookmarkEnd w:id="12"/>
          </w:p>
        </w:tc>
        <w:tc>
          <w:tcPr>
            <w:tcW w:w="1843" w:type="dxa"/>
            <w:tcBorders>
              <w:top w:val="single" w:sz="8" w:space="0" w:color="auto"/>
              <w:left w:val="nil"/>
              <w:bottom w:val="single" w:sz="4" w:space="0" w:color="auto"/>
              <w:right w:val="single" w:sz="4" w:space="0" w:color="auto"/>
            </w:tcBorders>
            <w:shd w:val="clear" w:color="auto" w:fill="8DB3E2"/>
            <w:vAlign w:val="center"/>
            <w:hideMark/>
          </w:tcPr>
          <w:p w14:paraId="591B582F" w14:textId="77777777" w:rsidR="00526FE9" w:rsidRPr="008762D1" w:rsidRDefault="00526FE9" w:rsidP="002C0F86">
            <w:pPr>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 xml:space="preserve">Área urbana </w:t>
            </w:r>
            <w:r w:rsidRPr="008762D1">
              <w:rPr>
                <w:rFonts w:ascii="ITC Avant Garde" w:hAnsi="ITC Avant Garde"/>
                <w:b/>
                <w:color w:val="000000" w:themeColor="text1"/>
                <w:sz w:val="20"/>
                <w:szCs w:val="20"/>
              </w:rPr>
              <w:br/>
              <w:t>(1 hora de traslado)</w:t>
            </w:r>
          </w:p>
        </w:tc>
        <w:tc>
          <w:tcPr>
            <w:tcW w:w="1984" w:type="dxa"/>
            <w:tcBorders>
              <w:top w:val="single" w:sz="8" w:space="0" w:color="auto"/>
              <w:left w:val="nil"/>
              <w:bottom w:val="single" w:sz="4" w:space="0" w:color="auto"/>
              <w:right w:val="single" w:sz="8" w:space="0" w:color="auto"/>
            </w:tcBorders>
            <w:shd w:val="clear" w:color="auto" w:fill="8DB3E2"/>
            <w:vAlign w:val="center"/>
            <w:hideMark/>
          </w:tcPr>
          <w:p w14:paraId="0912E024" w14:textId="77777777" w:rsidR="00526FE9" w:rsidRPr="008762D1" w:rsidRDefault="00526FE9" w:rsidP="002C0F86">
            <w:pPr>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Área suburbana</w:t>
            </w:r>
            <w:r w:rsidRPr="008762D1">
              <w:rPr>
                <w:rFonts w:ascii="ITC Avant Garde" w:hAnsi="ITC Avant Garde"/>
                <w:b/>
                <w:color w:val="000000" w:themeColor="text1"/>
                <w:sz w:val="20"/>
                <w:szCs w:val="20"/>
              </w:rPr>
              <w:br/>
              <w:t>(2 horas de traslado)</w:t>
            </w:r>
          </w:p>
        </w:tc>
        <w:tc>
          <w:tcPr>
            <w:tcW w:w="284" w:type="dxa"/>
            <w:noWrap/>
            <w:vAlign w:val="bottom"/>
          </w:tcPr>
          <w:p w14:paraId="342D691F"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single" w:sz="8" w:space="0" w:color="auto"/>
              <w:left w:val="single" w:sz="8" w:space="0" w:color="auto"/>
              <w:bottom w:val="single" w:sz="4" w:space="0" w:color="auto"/>
              <w:right w:val="single" w:sz="4" w:space="0" w:color="auto"/>
            </w:tcBorders>
            <w:shd w:val="clear" w:color="auto" w:fill="8DB3E2"/>
            <w:noWrap/>
            <w:vAlign w:val="center"/>
            <w:hideMark/>
          </w:tcPr>
          <w:p w14:paraId="4D268BE6" w14:textId="77777777" w:rsidR="00526FE9" w:rsidRPr="008762D1" w:rsidRDefault="00526FE9" w:rsidP="002C0F86">
            <w:pPr>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División</w:t>
            </w:r>
          </w:p>
        </w:tc>
        <w:tc>
          <w:tcPr>
            <w:tcW w:w="1843" w:type="dxa"/>
            <w:tcBorders>
              <w:top w:val="single" w:sz="8" w:space="0" w:color="auto"/>
              <w:left w:val="nil"/>
              <w:bottom w:val="single" w:sz="4" w:space="0" w:color="auto"/>
              <w:right w:val="single" w:sz="4" w:space="0" w:color="auto"/>
            </w:tcBorders>
            <w:shd w:val="clear" w:color="auto" w:fill="8DB3E2"/>
            <w:vAlign w:val="center"/>
            <w:hideMark/>
          </w:tcPr>
          <w:p w14:paraId="5AD1D4E3" w14:textId="77777777" w:rsidR="00526FE9" w:rsidRPr="008762D1" w:rsidRDefault="00526FE9" w:rsidP="002C0F86">
            <w:pPr>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 xml:space="preserve">Área urbana </w:t>
            </w:r>
            <w:r w:rsidRPr="008762D1">
              <w:rPr>
                <w:rFonts w:ascii="ITC Avant Garde" w:hAnsi="ITC Avant Garde"/>
                <w:b/>
                <w:color w:val="000000" w:themeColor="text1"/>
                <w:sz w:val="20"/>
                <w:szCs w:val="20"/>
              </w:rPr>
              <w:br/>
              <w:t>(1 hora de traslado)</w:t>
            </w:r>
          </w:p>
        </w:tc>
        <w:tc>
          <w:tcPr>
            <w:tcW w:w="2241" w:type="dxa"/>
            <w:tcBorders>
              <w:top w:val="single" w:sz="8" w:space="0" w:color="auto"/>
              <w:left w:val="nil"/>
              <w:bottom w:val="single" w:sz="4" w:space="0" w:color="auto"/>
              <w:right w:val="single" w:sz="8" w:space="0" w:color="auto"/>
            </w:tcBorders>
            <w:shd w:val="clear" w:color="auto" w:fill="8DB3E2"/>
            <w:vAlign w:val="center"/>
            <w:hideMark/>
          </w:tcPr>
          <w:p w14:paraId="3EE0FC9B" w14:textId="77777777" w:rsidR="00526FE9" w:rsidRPr="008762D1" w:rsidRDefault="00526FE9" w:rsidP="002C0F86">
            <w:pPr>
              <w:spacing w:after="0"/>
              <w:jc w:val="center"/>
              <w:rPr>
                <w:rFonts w:ascii="ITC Avant Garde" w:hAnsi="ITC Avant Garde"/>
                <w:b/>
                <w:color w:val="000000" w:themeColor="text1"/>
                <w:sz w:val="20"/>
                <w:szCs w:val="20"/>
              </w:rPr>
            </w:pPr>
            <w:r w:rsidRPr="008762D1">
              <w:rPr>
                <w:rFonts w:ascii="ITC Avant Garde" w:hAnsi="ITC Avant Garde"/>
                <w:b/>
                <w:color w:val="000000" w:themeColor="text1"/>
                <w:sz w:val="20"/>
                <w:szCs w:val="20"/>
              </w:rPr>
              <w:t>Área suburbana</w:t>
            </w:r>
            <w:r w:rsidRPr="008762D1">
              <w:rPr>
                <w:rFonts w:ascii="ITC Avant Garde" w:hAnsi="ITC Avant Garde"/>
                <w:b/>
                <w:color w:val="000000" w:themeColor="text1"/>
                <w:sz w:val="20"/>
                <w:szCs w:val="20"/>
              </w:rPr>
              <w:br/>
              <w:t>(2 horas de traslado)</w:t>
            </w:r>
          </w:p>
        </w:tc>
      </w:tr>
      <w:tr w:rsidR="008762D1" w:rsidRPr="008762D1" w14:paraId="71C42E5E" w14:textId="77777777" w:rsidTr="00526FE9">
        <w:trPr>
          <w:trHeight w:val="20"/>
        </w:trPr>
        <w:tc>
          <w:tcPr>
            <w:tcW w:w="866" w:type="dxa"/>
            <w:tcBorders>
              <w:top w:val="nil"/>
              <w:left w:val="single" w:sz="8" w:space="0" w:color="auto"/>
              <w:bottom w:val="nil"/>
              <w:right w:val="nil"/>
            </w:tcBorders>
            <w:noWrap/>
            <w:vAlign w:val="bottom"/>
            <w:hideMark/>
          </w:tcPr>
          <w:p w14:paraId="4C3701BD"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SUR</w:t>
            </w:r>
          </w:p>
        </w:tc>
        <w:tc>
          <w:tcPr>
            <w:tcW w:w="1843" w:type="dxa"/>
            <w:tcBorders>
              <w:top w:val="nil"/>
              <w:left w:val="single" w:sz="4" w:space="0" w:color="000000"/>
              <w:bottom w:val="nil"/>
              <w:right w:val="nil"/>
            </w:tcBorders>
            <w:noWrap/>
            <w:vAlign w:val="bottom"/>
            <w:hideMark/>
          </w:tcPr>
          <w:p w14:paraId="754A8E4B"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CAMPECHE</w:t>
            </w:r>
          </w:p>
        </w:tc>
        <w:tc>
          <w:tcPr>
            <w:tcW w:w="1984" w:type="dxa"/>
            <w:tcBorders>
              <w:top w:val="nil"/>
              <w:left w:val="single" w:sz="4" w:space="0" w:color="000000"/>
              <w:bottom w:val="nil"/>
              <w:right w:val="single" w:sz="8" w:space="0" w:color="auto"/>
            </w:tcBorders>
            <w:noWrap/>
            <w:vAlign w:val="bottom"/>
            <w:hideMark/>
          </w:tcPr>
          <w:p w14:paraId="4841BCE5"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CIUDAD DEL CARMEN</w:t>
            </w:r>
          </w:p>
        </w:tc>
        <w:tc>
          <w:tcPr>
            <w:tcW w:w="284" w:type="dxa"/>
            <w:noWrap/>
            <w:vAlign w:val="bottom"/>
          </w:tcPr>
          <w:p w14:paraId="1CF87B87"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hideMark/>
          </w:tcPr>
          <w:p w14:paraId="03A7B7D3"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Sur</w:t>
            </w:r>
          </w:p>
        </w:tc>
        <w:tc>
          <w:tcPr>
            <w:tcW w:w="1843" w:type="dxa"/>
            <w:tcBorders>
              <w:top w:val="nil"/>
              <w:left w:val="single" w:sz="4" w:space="0" w:color="000000"/>
              <w:bottom w:val="nil"/>
              <w:right w:val="nil"/>
            </w:tcBorders>
            <w:noWrap/>
            <w:vAlign w:val="bottom"/>
            <w:hideMark/>
          </w:tcPr>
          <w:p w14:paraId="5443BB98"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PUEBLA</w:t>
            </w:r>
          </w:p>
        </w:tc>
        <w:tc>
          <w:tcPr>
            <w:tcW w:w="2241" w:type="dxa"/>
            <w:tcBorders>
              <w:top w:val="nil"/>
              <w:left w:val="single" w:sz="4" w:space="0" w:color="000000"/>
              <w:bottom w:val="nil"/>
              <w:right w:val="single" w:sz="8" w:space="0" w:color="auto"/>
            </w:tcBorders>
            <w:noWrap/>
            <w:vAlign w:val="bottom"/>
            <w:hideMark/>
          </w:tcPr>
          <w:p w14:paraId="45809AEC"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CHOLULA</w:t>
            </w:r>
          </w:p>
        </w:tc>
      </w:tr>
      <w:tr w:rsidR="008762D1" w:rsidRPr="008762D1" w14:paraId="593F73DA" w14:textId="77777777" w:rsidTr="00526FE9">
        <w:trPr>
          <w:trHeight w:val="20"/>
        </w:trPr>
        <w:tc>
          <w:tcPr>
            <w:tcW w:w="866" w:type="dxa"/>
            <w:tcBorders>
              <w:top w:val="nil"/>
              <w:left w:val="single" w:sz="8" w:space="0" w:color="auto"/>
              <w:bottom w:val="nil"/>
              <w:right w:val="nil"/>
            </w:tcBorders>
            <w:noWrap/>
            <w:vAlign w:val="bottom"/>
          </w:tcPr>
          <w:p w14:paraId="0E33B5CD"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70D23171"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CANCUN</w:t>
            </w:r>
          </w:p>
        </w:tc>
        <w:tc>
          <w:tcPr>
            <w:tcW w:w="1984" w:type="dxa"/>
            <w:tcBorders>
              <w:top w:val="single" w:sz="4" w:space="0" w:color="000000"/>
              <w:left w:val="single" w:sz="4" w:space="0" w:color="000000"/>
              <w:bottom w:val="nil"/>
              <w:right w:val="single" w:sz="8" w:space="0" w:color="auto"/>
            </w:tcBorders>
            <w:noWrap/>
            <w:vAlign w:val="bottom"/>
            <w:hideMark/>
          </w:tcPr>
          <w:p w14:paraId="4ABFB030"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CHETUMAL</w:t>
            </w:r>
          </w:p>
        </w:tc>
        <w:tc>
          <w:tcPr>
            <w:tcW w:w="284" w:type="dxa"/>
            <w:noWrap/>
            <w:vAlign w:val="bottom"/>
          </w:tcPr>
          <w:p w14:paraId="36D71042"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73978040"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16201402"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TLAXCALA</w:t>
            </w:r>
          </w:p>
        </w:tc>
        <w:tc>
          <w:tcPr>
            <w:tcW w:w="2241" w:type="dxa"/>
            <w:tcBorders>
              <w:top w:val="single" w:sz="4" w:space="0" w:color="000000"/>
              <w:left w:val="single" w:sz="4" w:space="0" w:color="000000"/>
              <w:bottom w:val="nil"/>
              <w:right w:val="single" w:sz="8" w:space="0" w:color="auto"/>
            </w:tcBorders>
            <w:noWrap/>
            <w:vAlign w:val="bottom"/>
            <w:hideMark/>
          </w:tcPr>
          <w:p w14:paraId="67AC54D6"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APIZACO</w:t>
            </w:r>
          </w:p>
        </w:tc>
      </w:tr>
      <w:tr w:rsidR="008762D1" w:rsidRPr="008762D1" w14:paraId="6EFF30C9" w14:textId="77777777" w:rsidTr="00526FE9">
        <w:trPr>
          <w:trHeight w:val="20"/>
        </w:trPr>
        <w:tc>
          <w:tcPr>
            <w:tcW w:w="866" w:type="dxa"/>
            <w:tcBorders>
              <w:top w:val="nil"/>
              <w:left w:val="single" w:sz="8" w:space="0" w:color="auto"/>
              <w:bottom w:val="nil"/>
              <w:right w:val="nil"/>
            </w:tcBorders>
            <w:noWrap/>
            <w:vAlign w:val="bottom"/>
          </w:tcPr>
          <w:p w14:paraId="724C516D"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74DCBDA1"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5363AD38"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COZUMEL</w:t>
            </w:r>
          </w:p>
        </w:tc>
        <w:tc>
          <w:tcPr>
            <w:tcW w:w="284" w:type="dxa"/>
            <w:noWrap/>
            <w:vAlign w:val="bottom"/>
          </w:tcPr>
          <w:p w14:paraId="31F90E31"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3AA24744"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7E94D0E5"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2E1ECF30"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HUAMANTLA</w:t>
            </w:r>
          </w:p>
        </w:tc>
      </w:tr>
      <w:tr w:rsidR="008762D1" w:rsidRPr="008762D1" w14:paraId="2DA3C3C7" w14:textId="77777777" w:rsidTr="00526FE9">
        <w:trPr>
          <w:trHeight w:val="20"/>
        </w:trPr>
        <w:tc>
          <w:tcPr>
            <w:tcW w:w="866" w:type="dxa"/>
            <w:tcBorders>
              <w:top w:val="nil"/>
              <w:left w:val="single" w:sz="8" w:space="0" w:color="auto"/>
              <w:bottom w:val="nil"/>
              <w:right w:val="nil"/>
            </w:tcBorders>
            <w:noWrap/>
            <w:vAlign w:val="bottom"/>
          </w:tcPr>
          <w:p w14:paraId="4EFF92BE"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3DAD6973"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40B3463B"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PLAYA DEL CARMEN</w:t>
            </w:r>
          </w:p>
        </w:tc>
        <w:tc>
          <w:tcPr>
            <w:tcW w:w="284" w:type="dxa"/>
            <w:noWrap/>
            <w:vAlign w:val="bottom"/>
          </w:tcPr>
          <w:p w14:paraId="389A1D07"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0B5855FC"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56E7601D"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055F21E3"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HUAUCHINANGO</w:t>
            </w:r>
          </w:p>
        </w:tc>
      </w:tr>
      <w:tr w:rsidR="008762D1" w:rsidRPr="008762D1" w14:paraId="79B3E6DD" w14:textId="77777777" w:rsidTr="00526FE9">
        <w:trPr>
          <w:trHeight w:val="283"/>
        </w:trPr>
        <w:tc>
          <w:tcPr>
            <w:tcW w:w="866" w:type="dxa"/>
            <w:tcBorders>
              <w:top w:val="nil"/>
              <w:left w:val="single" w:sz="8" w:space="0" w:color="auto"/>
              <w:bottom w:val="nil"/>
              <w:right w:val="nil"/>
            </w:tcBorders>
            <w:noWrap/>
            <w:vAlign w:val="bottom"/>
          </w:tcPr>
          <w:p w14:paraId="7E9A799D"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07387174"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COATZACOALCOS</w:t>
            </w:r>
          </w:p>
        </w:tc>
        <w:tc>
          <w:tcPr>
            <w:tcW w:w="1984" w:type="dxa"/>
            <w:tcBorders>
              <w:top w:val="single" w:sz="4" w:space="0" w:color="000000"/>
              <w:left w:val="single" w:sz="4" w:space="0" w:color="000000"/>
              <w:bottom w:val="nil"/>
              <w:right w:val="single" w:sz="8" w:space="0" w:color="auto"/>
            </w:tcBorders>
            <w:noWrap/>
            <w:vAlign w:val="bottom"/>
            <w:hideMark/>
          </w:tcPr>
          <w:p w14:paraId="1B651488"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ACAYUCAN</w:t>
            </w:r>
          </w:p>
        </w:tc>
        <w:tc>
          <w:tcPr>
            <w:tcW w:w="284" w:type="dxa"/>
            <w:noWrap/>
            <w:vAlign w:val="bottom"/>
          </w:tcPr>
          <w:p w14:paraId="0FD17163"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70F79D7B"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66617290"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4374FA52"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IZUCAR DE MATAMOROS</w:t>
            </w:r>
          </w:p>
        </w:tc>
      </w:tr>
      <w:tr w:rsidR="008762D1" w:rsidRPr="008762D1" w14:paraId="6F0900A8" w14:textId="77777777" w:rsidTr="00526FE9">
        <w:trPr>
          <w:trHeight w:val="283"/>
        </w:trPr>
        <w:tc>
          <w:tcPr>
            <w:tcW w:w="866" w:type="dxa"/>
            <w:tcBorders>
              <w:top w:val="nil"/>
              <w:left w:val="single" w:sz="8" w:space="0" w:color="auto"/>
              <w:bottom w:val="nil"/>
              <w:right w:val="nil"/>
            </w:tcBorders>
            <w:noWrap/>
            <w:vAlign w:val="bottom"/>
          </w:tcPr>
          <w:p w14:paraId="05ACACA4"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4C67C8E6"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4492F7AC"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AGUA DULCE</w:t>
            </w:r>
          </w:p>
        </w:tc>
        <w:tc>
          <w:tcPr>
            <w:tcW w:w="284" w:type="dxa"/>
            <w:noWrap/>
            <w:vAlign w:val="bottom"/>
          </w:tcPr>
          <w:p w14:paraId="55344C56"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52616AB0"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7E46CDE8"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7D5633AA"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SAN MARTIN TEXMELUCAN</w:t>
            </w:r>
          </w:p>
        </w:tc>
      </w:tr>
      <w:tr w:rsidR="008762D1" w:rsidRPr="008762D1" w14:paraId="6CFC73C2" w14:textId="77777777" w:rsidTr="00526FE9">
        <w:trPr>
          <w:trHeight w:val="283"/>
        </w:trPr>
        <w:tc>
          <w:tcPr>
            <w:tcW w:w="866" w:type="dxa"/>
            <w:tcBorders>
              <w:top w:val="nil"/>
              <w:left w:val="single" w:sz="8" w:space="0" w:color="auto"/>
              <w:bottom w:val="nil"/>
              <w:right w:val="nil"/>
            </w:tcBorders>
            <w:noWrap/>
            <w:vAlign w:val="bottom"/>
          </w:tcPr>
          <w:p w14:paraId="476B2FA2"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760F2467"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3DF4795B"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LAS CHOAPAS</w:t>
            </w:r>
          </w:p>
        </w:tc>
        <w:tc>
          <w:tcPr>
            <w:tcW w:w="284" w:type="dxa"/>
            <w:noWrap/>
            <w:vAlign w:val="bottom"/>
          </w:tcPr>
          <w:p w14:paraId="66E06E4D"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4AF45C6F"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1B8AEDB6"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3BCE1B5C"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TECAMACHALCO</w:t>
            </w:r>
          </w:p>
        </w:tc>
      </w:tr>
      <w:tr w:rsidR="008762D1" w:rsidRPr="008762D1" w14:paraId="3A2F6291" w14:textId="77777777" w:rsidTr="00526FE9">
        <w:trPr>
          <w:trHeight w:val="283"/>
        </w:trPr>
        <w:tc>
          <w:tcPr>
            <w:tcW w:w="866" w:type="dxa"/>
            <w:tcBorders>
              <w:top w:val="nil"/>
              <w:left w:val="single" w:sz="8" w:space="0" w:color="auto"/>
              <w:bottom w:val="nil"/>
              <w:right w:val="nil"/>
            </w:tcBorders>
            <w:noWrap/>
            <w:vAlign w:val="bottom"/>
          </w:tcPr>
          <w:p w14:paraId="2BF1C36D"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74E30071"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4394D2B5"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MINATITLAN</w:t>
            </w:r>
          </w:p>
        </w:tc>
        <w:tc>
          <w:tcPr>
            <w:tcW w:w="284" w:type="dxa"/>
            <w:noWrap/>
            <w:vAlign w:val="bottom"/>
          </w:tcPr>
          <w:p w14:paraId="3F6433B5"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02208B50"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358D2666"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0306E297"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TEHUACAN</w:t>
            </w:r>
          </w:p>
        </w:tc>
      </w:tr>
      <w:tr w:rsidR="008762D1" w:rsidRPr="008762D1" w14:paraId="5DB9B13E" w14:textId="77777777" w:rsidTr="00526FE9">
        <w:trPr>
          <w:trHeight w:val="20"/>
        </w:trPr>
        <w:tc>
          <w:tcPr>
            <w:tcW w:w="866" w:type="dxa"/>
            <w:tcBorders>
              <w:top w:val="nil"/>
              <w:left w:val="single" w:sz="8" w:space="0" w:color="auto"/>
              <w:bottom w:val="nil"/>
              <w:right w:val="nil"/>
            </w:tcBorders>
            <w:noWrap/>
            <w:vAlign w:val="bottom"/>
          </w:tcPr>
          <w:p w14:paraId="46E538DB"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62C314C7"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CORDOBA</w:t>
            </w:r>
          </w:p>
        </w:tc>
        <w:tc>
          <w:tcPr>
            <w:tcW w:w="1984" w:type="dxa"/>
            <w:tcBorders>
              <w:top w:val="single" w:sz="4" w:space="0" w:color="000000"/>
              <w:left w:val="single" w:sz="4" w:space="0" w:color="000000"/>
              <w:bottom w:val="nil"/>
              <w:right w:val="single" w:sz="8" w:space="0" w:color="auto"/>
            </w:tcBorders>
            <w:noWrap/>
            <w:vAlign w:val="bottom"/>
            <w:hideMark/>
          </w:tcPr>
          <w:p w14:paraId="710113B8"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ORIZABA</w:t>
            </w:r>
          </w:p>
        </w:tc>
        <w:tc>
          <w:tcPr>
            <w:tcW w:w="284" w:type="dxa"/>
            <w:noWrap/>
            <w:vAlign w:val="bottom"/>
          </w:tcPr>
          <w:p w14:paraId="515E7C98"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30DEABB6"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696E2C72"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TUXTLA GUTIERREZ</w:t>
            </w:r>
          </w:p>
        </w:tc>
        <w:tc>
          <w:tcPr>
            <w:tcW w:w="2241" w:type="dxa"/>
            <w:tcBorders>
              <w:top w:val="single" w:sz="4" w:space="0" w:color="000000"/>
              <w:left w:val="single" w:sz="4" w:space="0" w:color="000000"/>
              <w:bottom w:val="nil"/>
              <w:right w:val="single" w:sz="8" w:space="0" w:color="auto"/>
            </w:tcBorders>
            <w:noWrap/>
            <w:vAlign w:val="bottom"/>
            <w:hideMark/>
          </w:tcPr>
          <w:p w14:paraId="42AC0E9F"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ARRIAGA</w:t>
            </w:r>
          </w:p>
        </w:tc>
      </w:tr>
      <w:tr w:rsidR="008762D1" w:rsidRPr="008762D1" w14:paraId="792BA32C" w14:textId="77777777" w:rsidTr="00526FE9">
        <w:trPr>
          <w:trHeight w:val="20"/>
        </w:trPr>
        <w:tc>
          <w:tcPr>
            <w:tcW w:w="866" w:type="dxa"/>
            <w:tcBorders>
              <w:top w:val="nil"/>
              <w:left w:val="single" w:sz="8" w:space="0" w:color="auto"/>
              <w:bottom w:val="nil"/>
              <w:right w:val="nil"/>
            </w:tcBorders>
            <w:noWrap/>
            <w:vAlign w:val="bottom"/>
          </w:tcPr>
          <w:p w14:paraId="37D17C4E"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7A9A7B92"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13839BEF"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TIERRA BLANCA</w:t>
            </w:r>
          </w:p>
        </w:tc>
        <w:tc>
          <w:tcPr>
            <w:tcW w:w="284" w:type="dxa"/>
            <w:noWrap/>
            <w:vAlign w:val="bottom"/>
          </w:tcPr>
          <w:p w14:paraId="3B01D819"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50CBFA5E"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3C50C655"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01D59116"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COMITAN</w:t>
            </w:r>
          </w:p>
        </w:tc>
      </w:tr>
      <w:tr w:rsidR="008762D1" w:rsidRPr="008762D1" w14:paraId="41B75C89" w14:textId="77777777" w:rsidTr="00526FE9">
        <w:trPr>
          <w:trHeight w:val="20"/>
        </w:trPr>
        <w:tc>
          <w:tcPr>
            <w:tcW w:w="866" w:type="dxa"/>
            <w:tcBorders>
              <w:top w:val="nil"/>
              <w:left w:val="single" w:sz="8" w:space="0" w:color="auto"/>
              <w:bottom w:val="nil"/>
              <w:right w:val="nil"/>
            </w:tcBorders>
            <w:noWrap/>
            <w:vAlign w:val="bottom"/>
          </w:tcPr>
          <w:p w14:paraId="1A1FD94F"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52E05BBA"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042BD8F9"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TUXTEPEC</w:t>
            </w:r>
          </w:p>
        </w:tc>
        <w:tc>
          <w:tcPr>
            <w:tcW w:w="284" w:type="dxa"/>
            <w:noWrap/>
            <w:vAlign w:val="bottom"/>
          </w:tcPr>
          <w:p w14:paraId="212F793D"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354AD627"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13066A77"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782F17F7"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SAN CRISTOBAL DE LAS CASAS</w:t>
            </w:r>
          </w:p>
        </w:tc>
      </w:tr>
      <w:tr w:rsidR="008762D1" w:rsidRPr="008762D1" w14:paraId="1A477E05" w14:textId="77777777" w:rsidTr="00526FE9">
        <w:trPr>
          <w:trHeight w:val="20"/>
        </w:trPr>
        <w:tc>
          <w:tcPr>
            <w:tcW w:w="866" w:type="dxa"/>
            <w:tcBorders>
              <w:top w:val="nil"/>
              <w:left w:val="single" w:sz="8" w:space="0" w:color="auto"/>
              <w:bottom w:val="nil"/>
              <w:right w:val="nil"/>
            </w:tcBorders>
            <w:noWrap/>
            <w:vAlign w:val="bottom"/>
          </w:tcPr>
          <w:p w14:paraId="3265CCB6"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066B2CE6"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JALAPA</w:t>
            </w:r>
          </w:p>
        </w:tc>
        <w:tc>
          <w:tcPr>
            <w:tcW w:w="1984" w:type="dxa"/>
            <w:tcBorders>
              <w:top w:val="single" w:sz="4" w:space="0" w:color="000000"/>
              <w:left w:val="single" w:sz="4" w:space="0" w:color="000000"/>
              <w:bottom w:val="nil"/>
              <w:right w:val="single" w:sz="8" w:space="0" w:color="auto"/>
            </w:tcBorders>
            <w:noWrap/>
            <w:vAlign w:val="bottom"/>
            <w:hideMark/>
          </w:tcPr>
          <w:p w14:paraId="58A631AB"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MARTINEZ DE LA TORRE</w:t>
            </w:r>
          </w:p>
        </w:tc>
        <w:tc>
          <w:tcPr>
            <w:tcW w:w="284" w:type="dxa"/>
            <w:noWrap/>
            <w:vAlign w:val="bottom"/>
          </w:tcPr>
          <w:p w14:paraId="7ACC5D36"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0D20D6A2"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3FD6BBA0"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2BE8BA80"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TAPACHULA</w:t>
            </w:r>
          </w:p>
        </w:tc>
      </w:tr>
      <w:tr w:rsidR="008762D1" w:rsidRPr="008762D1" w14:paraId="175FED90" w14:textId="77777777" w:rsidTr="00526FE9">
        <w:trPr>
          <w:trHeight w:val="300"/>
        </w:trPr>
        <w:tc>
          <w:tcPr>
            <w:tcW w:w="866" w:type="dxa"/>
            <w:tcBorders>
              <w:top w:val="nil"/>
              <w:left w:val="single" w:sz="8" w:space="0" w:color="auto"/>
              <w:bottom w:val="nil"/>
              <w:right w:val="nil"/>
            </w:tcBorders>
            <w:noWrap/>
            <w:vAlign w:val="bottom"/>
          </w:tcPr>
          <w:p w14:paraId="43BA3E2A"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5AEF9B83"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352DCAA8"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TEZIUTLAN</w:t>
            </w:r>
          </w:p>
        </w:tc>
        <w:tc>
          <w:tcPr>
            <w:tcW w:w="284" w:type="dxa"/>
            <w:noWrap/>
            <w:vAlign w:val="bottom"/>
          </w:tcPr>
          <w:p w14:paraId="38C44F3F"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5E20F0E9"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30C7105C"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VERACRUZ</w:t>
            </w:r>
          </w:p>
        </w:tc>
        <w:tc>
          <w:tcPr>
            <w:tcW w:w="2241" w:type="dxa"/>
            <w:tcBorders>
              <w:top w:val="single" w:sz="4" w:space="0" w:color="000000"/>
              <w:left w:val="single" w:sz="4" w:space="0" w:color="000000"/>
              <w:bottom w:val="nil"/>
              <w:right w:val="single" w:sz="8" w:space="0" w:color="auto"/>
            </w:tcBorders>
            <w:noWrap/>
            <w:vAlign w:val="bottom"/>
            <w:hideMark/>
          </w:tcPr>
          <w:p w14:paraId="5FCB5A9C"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COSAMALOAPAN</w:t>
            </w:r>
          </w:p>
        </w:tc>
      </w:tr>
      <w:tr w:rsidR="008762D1" w:rsidRPr="008762D1" w14:paraId="7FD8EC2E" w14:textId="77777777" w:rsidTr="00526FE9">
        <w:trPr>
          <w:trHeight w:val="300"/>
        </w:trPr>
        <w:tc>
          <w:tcPr>
            <w:tcW w:w="866" w:type="dxa"/>
            <w:tcBorders>
              <w:top w:val="nil"/>
              <w:left w:val="single" w:sz="8" w:space="0" w:color="auto"/>
              <w:bottom w:val="nil"/>
              <w:right w:val="nil"/>
            </w:tcBorders>
            <w:noWrap/>
            <w:vAlign w:val="bottom"/>
          </w:tcPr>
          <w:p w14:paraId="56296D73"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0E58C134"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MERIDA</w:t>
            </w:r>
          </w:p>
        </w:tc>
        <w:tc>
          <w:tcPr>
            <w:tcW w:w="1984" w:type="dxa"/>
            <w:tcBorders>
              <w:top w:val="single" w:sz="4" w:space="0" w:color="000000"/>
              <w:left w:val="single" w:sz="4" w:space="0" w:color="000000"/>
              <w:bottom w:val="nil"/>
              <w:right w:val="single" w:sz="8" w:space="0" w:color="auto"/>
            </w:tcBorders>
            <w:noWrap/>
            <w:vAlign w:val="bottom"/>
            <w:hideMark/>
          </w:tcPr>
          <w:p w14:paraId="7DF894FE"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PROGRESO</w:t>
            </w:r>
          </w:p>
        </w:tc>
        <w:tc>
          <w:tcPr>
            <w:tcW w:w="284" w:type="dxa"/>
            <w:noWrap/>
            <w:vAlign w:val="bottom"/>
          </w:tcPr>
          <w:p w14:paraId="4478E1D0"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6C7BC70B"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638FF312"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246CDFF8"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SAN ANDRES TUXTLA</w:t>
            </w:r>
          </w:p>
        </w:tc>
      </w:tr>
      <w:tr w:rsidR="008762D1" w:rsidRPr="008762D1" w14:paraId="521FF551" w14:textId="77777777" w:rsidTr="00526FE9">
        <w:trPr>
          <w:trHeight w:val="300"/>
        </w:trPr>
        <w:tc>
          <w:tcPr>
            <w:tcW w:w="866" w:type="dxa"/>
            <w:tcBorders>
              <w:top w:val="nil"/>
              <w:left w:val="single" w:sz="8" w:space="0" w:color="auto"/>
              <w:bottom w:val="nil"/>
              <w:right w:val="nil"/>
            </w:tcBorders>
            <w:noWrap/>
            <w:vAlign w:val="bottom"/>
          </w:tcPr>
          <w:p w14:paraId="3FE99EAA"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0078C6A3"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34691DC1"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TICUL</w:t>
            </w:r>
          </w:p>
        </w:tc>
        <w:tc>
          <w:tcPr>
            <w:tcW w:w="284" w:type="dxa"/>
            <w:noWrap/>
            <w:vAlign w:val="bottom"/>
          </w:tcPr>
          <w:p w14:paraId="3FA733FB"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0C81F260"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703C01EC"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VILLAHERMOSA</w:t>
            </w:r>
          </w:p>
        </w:tc>
        <w:tc>
          <w:tcPr>
            <w:tcW w:w="2241" w:type="dxa"/>
            <w:tcBorders>
              <w:top w:val="single" w:sz="4" w:space="0" w:color="000000"/>
              <w:left w:val="single" w:sz="4" w:space="0" w:color="000000"/>
              <w:bottom w:val="nil"/>
              <w:right w:val="single" w:sz="8" w:space="0" w:color="auto"/>
            </w:tcBorders>
            <w:noWrap/>
            <w:vAlign w:val="bottom"/>
            <w:hideMark/>
          </w:tcPr>
          <w:p w14:paraId="4922ABA7"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CARDENAS</w:t>
            </w:r>
          </w:p>
        </w:tc>
      </w:tr>
      <w:tr w:rsidR="008762D1" w:rsidRPr="008762D1" w14:paraId="349810AE" w14:textId="77777777" w:rsidTr="00526FE9">
        <w:trPr>
          <w:trHeight w:val="300"/>
        </w:trPr>
        <w:tc>
          <w:tcPr>
            <w:tcW w:w="866" w:type="dxa"/>
            <w:tcBorders>
              <w:top w:val="nil"/>
              <w:left w:val="single" w:sz="8" w:space="0" w:color="auto"/>
              <w:bottom w:val="nil"/>
              <w:right w:val="nil"/>
            </w:tcBorders>
            <w:noWrap/>
            <w:vAlign w:val="bottom"/>
          </w:tcPr>
          <w:p w14:paraId="2F13017D"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072CE2D1"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60062D90"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TIZIMIN</w:t>
            </w:r>
          </w:p>
        </w:tc>
        <w:tc>
          <w:tcPr>
            <w:tcW w:w="284" w:type="dxa"/>
            <w:noWrap/>
            <w:vAlign w:val="bottom"/>
          </w:tcPr>
          <w:p w14:paraId="680ECBA5"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1AA76D15"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241086F0"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29156388"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COMALCALCO</w:t>
            </w:r>
          </w:p>
        </w:tc>
      </w:tr>
      <w:tr w:rsidR="008762D1" w:rsidRPr="008762D1" w14:paraId="65EED8EA" w14:textId="77777777" w:rsidTr="00526FE9">
        <w:trPr>
          <w:trHeight w:val="300"/>
        </w:trPr>
        <w:tc>
          <w:tcPr>
            <w:tcW w:w="866" w:type="dxa"/>
            <w:tcBorders>
              <w:top w:val="nil"/>
              <w:left w:val="single" w:sz="8" w:space="0" w:color="auto"/>
              <w:bottom w:val="nil"/>
              <w:right w:val="nil"/>
            </w:tcBorders>
            <w:noWrap/>
            <w:vAlign w:val="bottom"/>
          </w:tcPr>
          <w:p w14:paraId="48C4A67F"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3B343452"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5CC813FD"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VALLADOLID</w:t>
            </w:r>
          </w:p>
        </w:tc>
        <w:tc>
          <w:tcPr>
            <w:tcW w:w="284" w:type="dxa"/>
            <w:noWrap/>
            <w:vAlign w:val="bottom"/>
          </w:tcPr>
          <w:p w14:paraId="02B3C7D3"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4605A73E"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61EDDB34"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7CFF3706"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EMILIANO ZAPATA</w:t>
            </w:r>
          </w:p>
        </w:tc>
      </w:tr>
      <w:tr w:rsidR="008762D1" w:rsidRPr="008762D1" w14:paraId="25A11DC0" w14:textId="77777777" w:rsidTr="00526FE9">
        <w:trPr>
          <w:trHeight w:val="300"/>
        </w:trPr>
        <w:tc>
          <w:tcPr>
            <w:tcW w:w="866" w:type="dxa"/>
            <w:tcBorders>
              <w:top w:val="nil"/>
              <w:left w:val="single" w:sz="8" w:space="0" w:color="auto"/>
              <w:bottom w:val="nil"/>
              <w:right w:val="nil"/>
            </w:tcBorders>
            <w:noWrap/>
            <w:vAlign w:val="bottom"/>
          </w:tcPr>
          <w:p w14:paraId="17046D0A"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1FD7DEEB"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OAXACA</w:t>
            </w:r>
          </w:p>
        </w:tc>
        <w:tc>
          <w:tcPr>
            <w:tcW w:w="1984" w:type="dxa"/>
            <w:tcBorders>
              <w:top w:val="single" w:sz="4" w:space="0" w:color="000000"/>
              <w:left w:val="single" w:sz="4" w:space="0" w:color="000000"/>
              <w:bottom w:val="nil"/>
              <w:right w:val="single" w:sz="8" w:space="0" w:color="auto"/>
            </w:tcBorders>
            <w:noWrap/>
            <w:vAlign w:val="bottom"/>
            <w:hideMark/>
          </w:tcPr>
          <w:p w14:paraId="378F9F62"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BAHIAS DE HUATULCO</w:t>
            </w:r>
          </w:p>
        </w:tc>
        <w:tc>
          <w:tcPr>
            <w:tcW w:w="284" w:type="dxa"/>
            <w:noWrap/>
            <w:vAlign w:val="bottom"/>
          </w:tcPr>
          <w:p w14:paraId="1BE24D6B"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53C0BB0A"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23D45F2D"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25541472"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MACUSPANA</w:t>
            </w:r>
          </w:p>
        </w:tc>
      </w:tr>
      <w:tr w:rsidR="008762D1" w:rsidRPr="008762D1" w14:paraId="7C1E3853" w14:textId="77777777" w:rsidTr="00526FE9">
        <w:trPr>
          <w:trHeight w:val="300"/>
        </w:trPr>
        <w:tc>
          <w:tcPr>
            <w:tcW w:w="866" w:type="dxa"/>
            <w:tcBorders>
              <w:top w:val="nil"/>
              <w:left w:val="single" w:sz="8" w:space="0" w:color="auto"/>
              <w:bottom w:val="nil"/>
              <w:right w:val="nil"/>
            </w:tcBorders>
            <w:noWrap/>
            <w:vAlign w:val="bottom"/>
          </w:tcPr>
          <w:p w14:paraId="30FF1B67"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45CB114A"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1A6319AE"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HUAJUAPAN DE LEON</w:t>
            </w:r>
          </w:p>
        </w:tc>
        <w:tc>
          <w:tcPr>
            <w:tcW w:w="284" w:type="dxa"/>
            <w:noWrap/>
            <w:vAlign w:val="bottom"/>
          </w:tcPr>
          <w:p w14:paraId="66DCDADC"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41C52208"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42B76D44"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11E793CF"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PALENQUE</w:t>
            </w:r>
          </w:p>
        </w:tc>
      </w:tr>
      <w:tr w:rsidR="008762D1" w:rsidRPr="008762D1" w14:paraId="2853BBDE" w14:textId="77777777" w:rsidTr="00526FE9">
        <w:trPr>
          <w:trHeight w:val="300"/>
        </w:trPr>
        <w:tc>
          <w:tcPr>
            <w:tcW w:w="866" w:type="dxa"/>
            <w:tcBorders>
              <w:top w:val="nil"/>
              <w:left w:val="single" w:sz="8" w:space="0" w:color="auto"/>
              <w:bottom w:val="nil"/>
              <w:right w:val="nil"/>
            </w:tcBorders>
            <w:noWrap/>
            <w:vAlign w:val="bottom"/>
          </w:tcPr>
          <w:p w14:paraId="2E63B6F9"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426F3ACF"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402FF48F"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JUCHITAN</w:t>
            </w:r>
          </w:p>
        </w:tc>
        <w:tc>
          <w:tcPr>
            <w:tcW w:w="284" w:type="dxa"/>
            <w:noWrap/>
            <w:vAlign w:val="bottom"/>
          </w:tcPr>
          <w:p w14:paraId="0AC5F83B"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67D0A096"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49AD7A53"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1F3AA835"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PICHUCALCO</w:t>
            </w:r>
          </w:p>
        </w:tc>
      </w:tr>
      <w:tr w:rsidR="008762D1" w:rsidRPr="008762D1" w14:paraId="4FB88157" w14:textId="77777777" w:rsidTr="00526FE9">
        <w:trPr>
          <w:trHeight w:val="300"/>
        </w:trPr>
        <w:tc>
          <w:tcPr>
            <w:tcW w:w="866" w:type="dxa"/>
            <w:tcBorders>
              <w:top w:val="nil"/>
              <w:left w:val="single" w:sz="8" w:space="0" w:color="auto"/>
              <w:bottom w:val="nil"/>
              <w:right w:val="nil"/>
            </w:tcBorders>
            <w:noWrap/>
            <w:vAlign w:val="bottom"/>
          </w:tcPr>
          <w:p w14:paraId="2F5AF97C"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5021C89D"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3B19FC36"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PINOTEPA NACIONAL</w:t>
            </w:r>
          </w:p>
        </w:tc>
        <w:tc>
          <w:tcPr>
            <w:tcW w:w="284" w:type="dxa"/>
            <w:noWrap/>
            <w:vAlign w:val="bottom"/>
          </w:tcPr>
          <w:p w14:paraId="6EED80E6"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nil"/>
              <w:right w:val="nil"/>
            </w:tcBorders>
            <w:noWrap/>
            <w:vAlign w:val="bottom"/>
          </w:tcPr>
          <w:p w14:paraId="2876FD3B"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77DD75B4"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nil"/>
              <w:right w:val="single" w:sz="8" w:space="0" w:color="auto"/>
            </w:tcBorders>
            <w:noWrap/>
            <w:vAlign w:val="bottom"/>
            <w:hideMark/>
          </w:tcPr>
          <w:p w14:paraId="05F98037"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TEAPA</w:t>
            </w:r>
          </w:p>
        </w:tc>
      </w:tr>
      <w:tr w:rsidR="008762D1" w:rsidRPr="008762D1" w14:paraId="42C66721" w14:textId="77777777" w:rsidTr="00526FE9">
        <w:trPr>
          <w:trHeight w:val="315"/>
        </w:trPr>
        <w:tc>
          <w:tcPr>
            <w:tcW w:w="866" w:type="dxa"/>
            <w:tcBorders>
              <w:top w:val="nil"/>
              <w:left w:val="single" w:sz="8" w:space="0" w:color="auto"/>
              <w:bottom w:val="nil"/>
              <w:right w:val="nil"/>
            </w:tcBorders>
            <w:noWrap/>
            <w:vAlign w:val="bottom"/>
          </w:tcPr>
          <w:p w14:paraId="7446CBC1"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5B03B38E"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380C45F3"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PUERTO ESCONDIDO</w:t>
            </w:r>
          </w:p>
        </w:tc>
        <w:tc>
          <w:tcPr>
            <w:tcW w:w="284" w:type="dxa"/>
            <w:noWrap/>
            <w:vAlign w:val="bottom"/>
          </w:tcPr>
          <w:p w14:paraId="49E43C51" w14:textId="77777777" w:rsidR="00526FE9" w:rsidRPr="008762D1" w:rsidRDefault="00526FE9" w:rsidP="002C0F86">
            <w:pPr>
              <w:spacing w:after="0"/>
              <w:rPr>
                <w:rFonts w:ascii="ITC Avant Garde" w:hAnsi="ITC Avant Garde"/>
                <w:color w:val="000000" w:themeColor="text1"/>
                <w:sz w:val="20"/>
                <w:szCs w:val="20"/>
              </w:rPr>
            </w:pPr>
          </w:p>
        </w:tc>
        <w:tc>
          <w:tcPr>
            <w:tcW w:w="850" w:type="dxa"/>
            <w:tcBorders>
              <w:top w:val="nil"/>
              <w:left w:val="single" w:sz="8" w:space="0" w:color="auto"/>
              <w:bottom w:val="single" w:sz="8" w:space="0" w:color="auto"/>
              <w:right w:val="nil"/>
            </w:tcBorders>
            <w:noWrap/>
            <w:vAlign w:val="bottom"/>
          </w:tcPr>
          <w:p w14:paraId="53EABC60"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single" w:sz="8" w:space="0" w:color="auto"/>
              <w:right w:val="nil"/>
            </w:tcBorders>
            <w:noWrap/>
            <w:vAlign w:val="bottom"/>
          </w:tcPr>
          <w:p w14:paraId="6F499D9E" w14:textId="77777777" w:rsidR="00526FE9" w:rsidRPr="008762D1" w:rsidRDefault="00526FE9" w:rsidP="002C0F86">
            <w:pPr>
              <w:spacing w:after="0"/>
              <w:rPr>
                <w:rFonts w:ascii="ITC Avant Garde" w:hAnsi="ITC Avant Garde"/>
                <w:color w:val="000000" w:themeColor="text1"/>
                <w:sz w:val="20"/>
                <w:szCs w:val="20"/>
              </w:rPr>
            </w:pPr>
          </w:p>
        </w:tc>
        <w:tc>
          <w:tcPr>
            <w:tcW w:w="2241" w:type="dxa"/>
            <w:tcBorders>
              <w:top w:val="nil"/>
              <w:left w:val="single" w:sz="4" w:space="0" w:color="000000"/>
              <w:bottom w:val="single" w:sz="8" w:space="0" w:color="auto"/>
              <w:right w:val="single" w:sz="8" w:space="0" w:color="auto"/>
            </w:tcBorders>
            <w:noWrap/>
            <w:vAlign w:val="bottom"/>
            <w:hideMark/>
          </w:tcPr>
          <w:p w14:paraId="7630A211"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TENOSIQUE</w:t>
            </w:r>
          </w:p>
        </w:tc>
      </w:tr>
      <w:tr w:rsidR="008762D1" w:rsidRPr="008762D1" w14:paraId="689CA667" w14:textId="77777777" w:rsidTr="00526FE9">
        <w:trPr>
          <w:trHeight w:val="300"/>
        </w:trPr>
        <w:tc>
          <w:tcPr>
            <w:tcW w:w="866" w:type="dxa"/>
            <w:tcBorders>
              <w:top w:val="nil"/>
              <w:left w:val="single" w:sz="8" w:space="0" w:color="auto"/>
              <w:bottom w:val="nil"/>
              <w:right w:val="nil"/>
            </w:tcBorders>
            <w:noWrap/>
            <w:vAlign w:val="bottom"/>
          </w:tcPr>
          <w:p w14:paraId="506F27B1"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53528ECF"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213D8F6A"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SALINA CRUZ</w:t>
            </w:r>
          </w:p>
        </w:tc>
        <w:tc>
          <w:tcPr>
            <w:tcW w:w="284" w:type="dxa"/>
            <w:noWrap/>
            <w:vAlign w:val="bottom"/>
          </w:tcPr>
          <w:p w14:paraId="51B3A4C8" w14:textId="77777777" w:rsidR="00526FE9" w:rsidRPr="008762D1" w:rsidRDefault="00526FE9" w:rsidP="002C0F86">
            <w:pPr>
              <w:spacing w:after="0"/>
              <w:rPr>
                <w:rFonts w:ascii="ITC Avant Garde" w:hAnsi="ITC Avant Garde"/>
                <w:color w:val="000000" w:themeColor="text1"/>
                <w:sz w:val="20"/>
                <w:szCs w:val="20"/>
              </w:rPr>
            </w:pPr>
          </w:p>
        </w:tc>
        <w:tc>
          <w:tcPr>
            <w:tcW w:w="850" w:type="dxa"/>
            <w:noWrap/>
            <w:vAlign w:val="bottom"/>
          </w:tcPr>
          <w:p w14:paraId="73C56D3C" w14:textId="77777777" w:rsidR="00526FE9" w:rsidRPr="008762D1" w:rsidRDefault="00526FE9" w:rsidP="002C0F86">
            <w:pPr>
              <w:spacing w:after="0"/>
              <w:rPr>
                <w:rFonts w:ascii="ITC Avant Garde" w:hAnsi="ITC Avant Garde"/>
                <w:color w:val="000000" w:themeColor="text1"/>
                <w:sz w:val="20"/>
                <w:szCs w:val="20"/>
              </w:rPr>
            </w:pPr>
          </w:p>
        </w:tc>
        <w:tc>
          <w:tcPr>
            <w:tcW w:w="1843" w:type="dxa"/>
            <w:noWrap/>
            <w:vAlign w:val="bottom"/>
          </w:tcPr>
          <w:p w14:paraId="77FC9C2B" w14:textId="77777777" w:rsidR="00526FE9" w:rsidRPr="008762D1" w:rsidRDefault="00526FE9" w:rsidP="002C0F86">
            <w:pPr>
              <w:spacing w:after="0"/>
              <w:rPr>
                <w:rFonts w:ascii="ITC Avant Garde" w:hAnsi="ITC Avant Garde"/>
                <w:color w:val="000000" w:themeColor="text1"/>
                <w:sz w:val="20"/>
                <w:szCs w:val="20"/>
              </w:rPr>
            </w:pPr>
          </w:p>
        </w:tc>
        <w:tc>
          <w:tcPr>
            <w:tcW w:w="2241" w:type="dxa"/>
            <w:noWrap/>
            <w:vAlign w:val="bottom"/>
          </w:tcPr>
          <w:p w14:paraId="310003C0" w14:textId="77777777" w:rsidR="00526FE9" w:rsidRPr="008762D1" w:rsidRDefault="00526FE9" w:rsidP="002C0F86">
            <w:pPr>
              <w:spacing w:after="0"/>
              <w:rPr>
                <w:rFonts w:ascii="ITC Avant Garde" w:hAnsi="ITC Avant Garde"/>
                <w:color w:val="000000" w:themeColor="text1"/>
                <w:sz w:val="20"/>
                <w:szCs w:val="20"/>
              </w:rPr>
            </w:pPr>
          </w:p>
        </w:tc>
      </w:tr>
      <w:tr w:rsidR="008762D1" w:rsidRPr="008762D1" w14:paraId="27C61D0F" w14:textId="77777777" w:rsidTr="00526FE9">
        <w:trPr>
          <w:trHeight w:val="300"/>
        </w:trPr>
        <w:tc>
          <w:tcPr>
            <w:tcW w:w="866" w:type="dxa"/>
            <w:tcBorders>
              <w:top w:val="nil"/>
              <w:left w:val="single" w:sz="8" w:space="0" w:color="auto"/>
              <w:bottom w:val="nil"/>
              <w:right w:val="nil"/>
            </w:tcBorders>
            <w:noWrap/>
            <w:vAlign w:val="bottom"/>
          </w:tcPr>
          <w:p w14:paraId="5CA8AC76"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4DED0C0C"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19F418C1"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TLACOLULA</w:t>
            </w:r>
          </w:p>
        </w:tc>
        <w:tc>
          <w:tcPr>
            <w:tcW w:w="284" w:type="dxa"/>
            <w:noWrap/>
            <w:vAlign w:val="bottom"/>
          </w:tcPr>
          <w:p w14:paraId="44666946" w14:textId="77777777" w:rsidR="00526FE9" w:rsidRPr="008762D1" w:rsidRDefault="00526FE9" w:rsidP="002C0F86">
            <w:pPr>
              <w:spacing w:after="0"/>
              <w:rPr>
                <w:rFonts w:ascii="ITC Avant Garde" w:hAnsi="ITC Avant Garde"/>
                <w:color w:val="000000" w:themeColor="text1"/>
                <w:sz w:val="20"/>
                <w:szCs w:val="20"/>
              </w:rPr>
            </w:pPr>
          </w:p>
        </w:tc>
        <w:tc>
          <w:tcPr>
            <w:tcW w:w="850" w:type="dxa"/>
            <w:noWrap/>
            <w:vAlign w:val="bottom"/>
          </w:tcPr>
          <w:p w14:paraId="27E16F02" w14:textId="77777777" w:rsidR="00526FE9" w:rsidRPr="008762D1" w:rsidRDefault="00526FE9" w:rsidP="002C0F86">
            <w:pPr>
              <w:spacing w:after="0"/>
              <w:rPr>
                <w:rFonts w:ascii="ITC Avant Garde" w:hAnsi="ITC Avant Garde"/>
                <w:color w:val="000000" w:themeColor="text1"/>
                <w:sz w:val="20"/>
                <w:szCs w:val="20"/>
              </w:rPr>
            </w:pPr>
          </w:p>
        </w:tc>
        <w:tc>
          <w:tcPr>
            <w:tcW w:w="1843" w:type="dxa"/>
            <w:noWrap/>
            <w:vAlign w:val="bottom"/>
          </w:tcPr>
          <w:p w14:paraId="0E6C6BA2" w14:textId="77777777" w:rsidR="00526FE9" w:rsidRPr="008762D1" w:rsidRDefault="00526FE9" w:rsidP="002C0F86">
            <w:pPr>
              <w:spacing w:after="0"/>
              <w:rPr>
                <w:rFonts w:ascii="ITC Avant Garde" w:hAnsi="ITC Avant Garde"/>
                <w:color w:val="000000" w:themeColor="text1"/>
                <w:sz w:val="20"/>
                <w:szCs w:val="20"/>
              </w:rPr>
            </w:pPr>
          </w:p>
        </w:tc>
        <w:tc>
          <w:tcPr>
            <w:tcW w:w="2241" w:type="dxa"/>
            <w:noWrap/>
            <w:vAlign w:val="bottom"/>
          </w:tcPr>
          <w:p w14:paraId="7069D966" w14:textId="77777777" w:rsidR="00526FE9" w:rsidRPr="008762D1" w:rsidRDefault="00526FE9" w:rsidP="002C0F86">
            <w:pPr>
              <w:spacing w:after="0"/>
              <w:rPr>
                <w:rFonts w:ascii="ITC Avant Garde" w:hAnsi="ITC Avant Garde"/>
                <w:color w:val="000000" w:themeColor="text1"/>
                <w:sz w:val="20"/>
                <w:szCs w:val="20"/>
              </w:rPr>
            </w:pPr>
          </w:p>
        </w:tc>
      </w:tr>
      <w:tr w:rsidR="008762D1" w:rsidRPr="008762D1" w14:paraId="779DCA59" w14:textId="77777777" w:rsidTr="00526FE9">
        <w:trPr>
          <w:trHeight w:val="300"/>
        </w:trPr>
        <w:tc>
          <w:tcPr>
            <w:tcW w:w="866" w:type="dxa"/>
            <w:tcBorders>
              <w:top w:val="nil"/>
              <w:left w:val="single" w:sz="8" w:space="0" w:color="auto"/>
              <w:bottom w:val="nil"/>
              <w:right w:val="nil"/>
            </w:tcBorders>
            <w:noWrap/>
            <w:vAlign w:val="bottom"/>
          </w:tcPr>
          <w:p w14:paraId="76559DCA"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nil"/>
              <w:right w:val="nil"/>
            </w:tcBorders>
            <w:noWrap/>
            <w:vAlign w:val="bottom"/>
            <w:hideMark/>
          </w:tcPr>
          <w:p w14:paraId="4D934A50"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PACHUCA</w:t>
            </w:r>
          </w:p>
        </w:tc>
        <w:tc>
          <w:tcPr>
            <w:tcW w:w="1984" w:type="dxa"/>
            <w:tcBorders>
              <w:top w:val="single" w:sz="4" w:space="0" w:color="000000"/>
              <w:left w:val="single" w:sz="4" w:space="0" w:color="000000"/>
              <w:bottom w:val="nil"/>
              <w:right w:val="single" w:sz="8" w:space="0" w:color="auto"/>
            </w:tcBorders>
            <w:noWrap/>
            <w:vAlign w:val="bottom"/>
            <w:hideMark/>
          </w:tcPr>
          <w:p w14:paraId="2696C9B0"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AOPAN</w:t>
            </w:r>
          </w:p>
        </w:tc>
        <w:tc>
          <w:tcPr>
            <w:tcW w:w="284" w:type="dxa"/>
            <w:noWrap/>
            <w:vAlign w:val="bottom"/>
          </w:tcPr>
          <w:p w14:paraId="01C42AA0" w14:textId="77777777" w:rsidR="00526FE9" w:rsidRPr="008762D1" w:rsidRDefault="00526FE9" w:rsidP="002C0F86">
            <w:pPr>
              <w:spacing w:after="0"/>
              <w:rPr>
                <w:rFonts w:ascii="ITC Avant Garde" w:hAnsi="ITC Avant Garde"/>
                <w:color w:val="000000" w:themeColor="text1"/>
                <w:sz w:val="20"/>
                <w:szCs w:val="20"/>
              </w:rPr>
            </w:pPr>
          </w:p>
        </w:tc>
        <w:tc>
          <w:tcPr>
            <w:tcW w:w="850" w:type="dxa"/>
            <w:noWrap/>
            <w:vAlign w:val="bottom"/>
          </w:tcPr>
          <w:p w14:paraId="5DA3ECC1" w14:textId="77777777" w:rsidR="00526FE9" w:rsidRPr="008762D1" w:rsidRDefault="00526FE9" w:rsidP="002C0F86">
            <w:pPr>
              <w:spacing w:after="0"/>
              <w:rPr>
                <w:rFonts w:ascii="ITC Avant Garde" w:hAnsi="ITC Avant Garde"/>
                <w:color w:val="000000" w:themeColor="text1"/>
                <w:sz w:val="20"/>
                <w:szCs w:val="20"/>
              </w:rPr>
            </w:pPr>
          </w:p>
        </w:tc>
        <w:tc>
          <w:tcPr>
            <w:tcW w:w="1843" w:type="dxa"/>
            <w:noWrap/>
            <w:vAlign w:val="bottom"/>
          </w:tcPr>
          <w:p w14:paraId="74BE7D88" w14:textId="77777777" w:rsidR="00526FE9" w:rsidRPr="008762D1" w:rsidRDefault="00526FE9" w:rsidP="002C0F86">
            <w:pPr>
              <w:spacing w:after="0"/>
              <w:rPr>
                <w:rFonts w:ascii="ITC Avant Garde" w:hAnsi="ITC Avant Garde"/>
                <w:color w:val="000000" w:themeColor="text1"/>
                <w:sz w:val="20"/>
                <w:szCs w:val="20"/>
              </w:rPr>
            </w:pPr>
          </w:p>
        </w:tc>
        <w:tc>
          <w:tcPr>
            <w:tcW w:w="2241" w:type="dxa"/>
            <w:noWrap/>
            <w:vAlign w:val="bottom"/>
          </w:tcPr>
          <w:p w14:paraId="4AE2BDF2" w14:textId="77777777" w:rsidR="00526FE9" w:rsidRPr="008762D1" w:rsidRDefault="00526FE9" w:rsidP="002C0F86">
            <w:pPr>
              <w:spacing w:after="0"/>
              <w:rPr>
                <w:rFonts w:ascii="ITC Avant Garde" w:hAnsi="ITC Avant Garde"/>
                <w:color w:val="000000" w:themeColor="text1"/>
                <w:sz w:val="20"/>
                <w:szCs w:val="20"/>
              </w:rPr>
            </w:pPr>
          </w:p>
        </w:tc>
      </w:tr>
      <w:tr w:rsidR="008762D1" w:rsidRPr="008762D1" w14:paraId="19F89CE4" w14:textId="77777777" w:rsidTr="00526FE9">
        <w:trPr>
          <w:trHeight w:val="300"/>
        </w:trPr>
        <w:tc>
          <w:tcPr>
            <w:tcW w:w="866" w:type="dxa"/>
            <w:tcBorders>
              <w:top w:val="nil"/>
              <w:left w:val="single" w:sz="8" w:space="0" w:color="auto"/>
              <w:bottom w:val="nil"/>
              <w:right w:val="nil"/>
            </w:tcBorders>
            <w:noWrap/>
            <w:vAlign w:val="bottom"/>
          </w:tcPr>
          <w:p w14:paraId="7B68A593"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78A4F24F"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6AF0AEEB"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APAM</w:t>
            </w:r>
          </w:p>
        </w:tc>
        <w:tc>
          <w:tcPr>
            <w:tcW w:w="284" w:type="dxa"/>
            <w:noWrap/>
            <w:vAlign w:val="bottom"/>
          </w:tcPr>
          <w:p w14:paraId="2E734EB4" w14:textId="77777777" w:rsidR="00526FE9" w:rsidRPr="008762D1" w:rsidRDefault="00526FE9" w:rsidP="002C0F86">
            <w:pPr>
              <w:spacing w:after="0"/>
              <w:rPr>
                <w:rFonts w:ascii="ITC Avant Garde" w:hAnsi="ITC Avant Garde"/>
                <w:color w:val="000000" w:themeColor="text1"/>
                <w:sz w:val="20"/>
                <w:szCs w:val="20"/>
              </w:rPr>
            </w:pPr>
          </w:p>
        </w:tc>
        <w:tc>
          <w:tcPr>
            <w:tcW w:w="850" w:type="dxa"/>
            <w:noWrap/>
            <w:vAlign w:val="bottom"/>
          </w:tcPr>
          <w:p w14:paraId="189F276F" w14:textId="77777777" w:rsidR="00526FE9" w:rsidRPr="008762D1" w:rsidRDefault="00526FE9" w:rsidP="002C0F86">
            <w:pPr>
              <w:spacing w:after="0"/>
              <w:rPr>
                <w:rFonts w:ascii="ITC Avant Garde" w:hAnsi="ITC Avant Garde"/>
                <w:color w:val="000000" w:themeColor="text1"/>
                <w:sz w:val="20"/>
                <w:szCs w:val="20"/>
              </w:rPr>
            </w:pPr>
          </w:p>
        </w:tc>
        <w:tc>
          <w:tcPr>
            <w:tcW w:w="1843" w:type="dxa"/>
            <w:noWrap/>
            <w:vAlign w:val="bottom"/>
          </w:tcPr>
          <w:p w14:paraId="2CB89136" w14:textId="77777777" w:rsidR="00526FE9" w:rsidRPr="008762D1" w:rsidRDefault="00526FE9" w:rsidP="002C0F86">
            <w:pPr>
              <w:spacing w:after="0"/>
              <w:rPr>
                <w:rFonts w:ascii="ITC Avant Garde" w:hAnsi="ITC Avant Garde"/>
                <w:color w:val="000000" w:themeColor="text1"/>
                <w:sz w:val="20"/>
                <w:szCs w:val="20"/>
              </w:rPr>
            </w:pPr>
          </w:p>
        </w:tc>
        <w:tc>
          <w:tcPr>
            <w:tcW w:w="2241" w:type="dxa"/>
            <w:noWrap/>
            <w:vAlign w:val="bottom"/>
          </w:tcPr>
          <w:p w14:paraId="3FA78DD3" w14:textId="77777777" w:rsidR="00526FE9" w:rsidRPr="008762D1" w:rsidRDefault="00526FE9" w:rsidP="002C0F86">
            <w:pPr>
              <w:spacing w:after="0"/>
              <w:rPr>
                <w:rFonts w:ascii="ITC Avant Garde" w:hAnsi="ITC Avant Garde"/>
                <w:color w:val="000000" w:themeColor="text1"/>
                <w:sz w:val="20"/>
                <w:szCs w:val="20"/>
              </w:rPr>
            </w:pPr>
          </w:p>
        </w:tc>
      </w:tr>
      <w:tr w:rsidR="008762D1" w:rsidRPr="008762D1" w14:paraId="75046013" w14:textId="77777777" w:rsidTr="00526FE9">
        <w:trPr>
          <w:trHeight w:val="300"/>
        </w:trPr>
        <w:tc>
          <w:tcPr>
            <w:tcW w:w="866" w:type="dxa"/>
            <w:tcBorders>
              <w:top w:val="nil"/>
              <w:left w:val="single" w:sz="8" w:space="0" w:color="auto"/>
              <w:bottom w:val="nil"/>
              <w:right w:val="nil"/>
            </w:tcBorders>
            <w:noWrap/>
            <w:vAlign w:val="bottom"/>
          </w:tcPr>
          <w:p w14:paraId="71A78402"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42802EDF"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4A92FB73"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CIUDAD SAHAGUN</w:t>
            </w:r>
          </w:p>
        </w:tc>
        <w:tc>
          <w:tcPr>
            <w:tcW w:w="284" w:type="dxa"/>
            <w:noWrap/>
            <w:vAlign w:val="bottom"/>
          </w:tcPr>
          <w:p w14:paraId="03C54DD6" w14:textId="77777777" w:rsidR="00526FE9" w:rsidRPr="008762D1" w:rsidRDefault="00526FE9" w:rsidP="002C0F86">
            <w:pPr>
              <w:spacing w:after="0"/>
              <w:rPr>
                <w:rFonts w:ascii="ITC Avant Garde" w:hAnsi="ITC Avant Garde"/>
                <w:color w:val="000000" w:themeColor="text1"/>
                <w:sz w:val="20"/>
                <w:szCs w:val="20"/>
              </w:rPr>
            </w:pPr>
          </w:p>
        </w:tc>
        <w:tc>
          <w:tcPr>
            <w:tcW w:w="850" w:type="dxa"/>
            <w:noWrap/>
            <w:vAlign w:val="bottom"/>
          </w:tcPr>
          <w:p w14:paraId="4347C32A" w14:textId="77777777" w:rsidR="00526FE9" w:rsidRPr="008762D1" w:rsidRDefault="00526FE9" w:rsidP="002C0F86">
            <w:pPr>
              <w:spacing w:after="0"/>
              <w:rPr>
                <w:rFonts w:ascii="ITC Avant Garde" w:hAnsi="ITC Avant Garde"/>
                <w:color w:val="000000" w:themeColor="text1"/>
                <w:sz w:val="20"/>
                <w:szCs w:val="20"/>
              </w:rPr>
            </w:pPr>
          </w:p>
        </w:tc>
        <w:tc>
          <w:tcPr>
            <w:tcW w:w="1843" w:type="dxa"/>
            <w:noWrap/>
            <w:vAlign w:val="bottom"/>
          </w:tcPr>
          <w:p w14:paraId="3316F37B" w14:textId="77777777" w:rsidR="00526FE9" w:rsidRPr="008762D1" w:rsidRDefault="00526FE9" w:rsidP="002C0F86">
            <w:pPr>
              <w:spacing w:after="0"/>
              <w:rPr>
                <w:rFonts w:ascii="ITC Avant Garde" w:hAnsi="ITC Avant Garde"/>
                <w:color w:val="000000" w:themeColor="text1"/>
                <w:sz w:val="20"/>
                <w:szCs w:val="20"/>
              </w:rPr>
            </w:pPr>
          </w:p>
        </w:tc>
        <w:tc>
          <w:tcPr>
            <w:tcW w:w="2241" w:type="dxa"/>
            <w:noWrap/>
            <w:vAlign w:val="bottom"/>
          </w:tcPr>
          <w:p w14:paraId="12878BA1" w14:textId="77777777" w:rsidR="00526FE9" w:rsidRPr="008762D1" w:rsidRDefault="00526FE9" w:rsidP="002C0F86">
            <w:pPr>
              <w:spacing w:after="0"/>
              <w:rPr>
                <w:rFonts w:ascii="ITC Avant Garde" w:hAnsi="ITC Avant Garde"/>
                <w:color w:val="000000" w:themeColor="text1"/>
                <w:sz w:val="20"/>
                <w:szCs w:val="20"/>
              </w:rPr>
            </w:pPr>
          </w:p>
        </w:tc>
      </w:tr>
      <w:tr w:rsidR="008762D1" w:rsidRPr="008762D1" w14:paraId="03BC5ECB" w14:textId="77777777" w:rsidTr="00526FE9">
        <w:trPr>
          <w:trHeight w:val="300"/>
        </w:trPr>
        <w:tc>
          <w:tcPr>
            <w:tcW w:w="866" w:type="dxa"/>
            <w:tcBorders>
              <w:top w:val="nil"/>
              <w:left w:val="single" w:sz="8" w:space="0" w:color="auto"/>
              <w:bottom w:val="nil"/>
              <w:right w:val="nil"/>
            </w:tcBorders>
            <w:noWrap/>
            <w:vAlign w:val="bottom"/>
          </w:tcPr>
          <w:p w14:paraId="43E6A8C5"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02E56EC1"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36D685C8"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TULA</w:t>
            </w:r>
          </w:p>
        </w:tc>
        <w:tc>
          <w:tcPr>
            <w:tcW w:w="284" w:type="dxa"/>
            <w:noWrap/>
            <w:vAlign w:val="bottom"/>
          </w:tcPr>
          <w:p w14:paraId="5ED70ED1" w14:textId="77777777" w:rsidR="00526FE9" w:rsidRPr="008762D1" w:rsidRDefault="00526FE9" w:rsidP="002C0F86">
            <w:pPr>
              <w:spacing w:after="0"/>
              <w:rPr>
                <w:rFonts w:ascii="ITC Avant Garde" w:hAnsi="ITC Avant Garde"/>
                <w:color w:val="000000" w:themeColor="text1"/>
                <w:sz w:val="20"/>
                <w:szCs w:val="20"/>
              </w:rPr>
            </w:pPr>
          </w:p>
        </w:tc>
        <w:tc>
          <w:tcPr>
            <w:tcW w:w="850" w:type="dxa"/>
            <w:noWrap/>
            <w:vAlign w:val="bottom"/>
          </w:tcPr>
          <w:p w14:paraId="7B604B81" w14:textId="77777777" w:rsidR="00526FE9" w:rsidRPr="008762D1" w:rsidRDefault="00526FE9" w:rsidP="002C0F86">
            <w:pPr>
              <w:spacing w:after="0"/>
              <w:rPr>
                <w:rFonts w:ascii="ITC Avant Garde" w:hAnsi="ITC Avant Garde"/>
                <w:color w:val="000000" w:themeColor="text1"/>
                <w:sz w:val="20"/>
                <w:szCs w:val="20"/>
              </w:rPr>
            </w:pPr>
          </w:p>
        </w:tc>
        <w:tc>
          <w:tcPr>
            <w:tcW w:w="1843" w:type="dxa"/>
            <w:noWrap/>
            <w:vAlign w:val="bottom"/>
          </w:tcPr>
          <w:p w14:paraId="383D7D10" w14:textId="77777777" w:rsidR="00526FE9" w:rsidRPr="008762D1" w:rsidRDefault="00526FE9" w:rsidP="002C0F86">
            <w:pPr>
              <w:spacing w:after="0"/>
              <w:rPr>
                <w:rFonts w:ascii="ITC Avant Garde" w:hAnsi="ITC Avant Garde"/>
                <w:color w:val="000000" w:themeColor="text1"/>
                <w:sz w:val="20"/>
                <w:szCs w:val="20"/>
              </w:rPr>
            </w:pPr>
          </w:p>
        </w:tc>
        <w:tc>
          <w:tcPr>
            <w:tcW w:w="2241" w:type="dxa"/>
            <w:noWrap/>
            <w:vAlign w:val="bottom"/>
          </w:tcPr>
          <w:p w14:paraId="29F3A98D" w14:textId="77777777" w:rsidR="00526FE9" w:rsidRPr="008762D1" w:rsidRDefault="00526FE9" w:rsidP="002C0F86">
            <w:pPr>
              <w:spacing w:after="0"/>
              <w:rPr>
                <w:rFonts w:ascii="ITC Avant Garde" w:hAnsi="ITC Avant Garde"/>
                <w:color w:val="000000" w:themeColor="text1"/>
                <w:sz w:val="20"/>
                <w:szCs w:val="20"/>
              </w:rPr>
            </w:pPr>
          </w:p>
        </w:tc>
      </w:tr>
      <w:tr w:rsidR="008762D1" w:rsidRPr="008762D1" w14:paraId="68915AF2" w14:textId="77777777" w:rsidTr="00526FE9">
        <w:trPr>
          <w:trHeight w:val="300"/>
        </w:trPr>
        <w:tc>
          <w:tcPr>
            <w:tcW w:w="866" w:type="dxa"/>
            <w:tcBorders>
              <w:top w:val="nil"/>
              <w:left w:val="single" w:sz="8" w:space="0" w:color="auto"/>
              <w:bottom w:val="nil"/>
              <w:right w:val="nil"/>
            </w:tcBorders>
            <w:noWrap/>
            <w:vAlign w:val="bottom"/>
          </w:tcPr>
          <w:p w14:paraId="6C8D39AE"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nil"/>
              <w:left w:val="single" w:sz="4" w:space="0" w:color="000000"/>
              <w:bottom w:val="nil"/>
              <w:right w:val="nil"/>
            </w:tcBorders>
            <w:noWrap/>
            <w:vAlign w:val="bottom"/>
          </w:tcPr>
          <w:p w14:paraId="00EAC14D" w14:textId="77777777" w:rsidR="00526FE9" w:rsidRPr="008762D1" w:rsidRDefault="00526FE9" w:rsidP="002C0F86">
            <w:pPr>
              <w:spacing w:after="0"/>
              <w:rPr>
                <w:rFonts w:ascii="ITC Avant Garde" w:hAnsi="ITC Avant Garde"/>
                <w:color w:val="000000" w:themeColor="text1"/>
                <w:sz w:val="20"/>
                <w:szCs w:val="20"/>
              </w:rPr>
            </w:pPr>
          </w:p>
        </w:tc>
        <w:tc>
          <w:tcPr>
            <w:tcW w:w="1984" w:type="dxa"/>
            <w:tcBorders>
              <w:top w:val="nil"/>
              <w:left w:val="single" w:sz="4" w:space="0" w:color="000000"/>
              <w:bottom w:val="nil"/>
              <w:right w:val="single" w:sz="8" w:space="0" w:color="auto"/>
            </w:tcBorders>
            <w:noWrap/>
            <w:vAlign w:val="bottom"/>
            <w:hideMark/>
          </w:tcPr>
          <w:p w14:paraId="49064877"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TULANCINGO</w:t>
            </w:r>
          </w:p>
        </w:tc>
        <w:tc>
          <w:tcPr>
            <w:tcW w:w="284" w:type="dxa"/>
            <w:noWrap/>
            <w:vAlign w:val="bottom"/>
          </w:tcPr>
          <w:p w14:paraId="1116DE7E" w14:textId="77777777" w:rsidR="00526FE9" w:rsidRPr="008762D1" w:rsidRDefault="00526FE9" w:rsidP="002C0F86">
            <w:pPr>
              <w:spacing w:after="0"/>
              <w:rPr>
                <w:rFonts w:ascii="ITC Avant Garde" w:hAnsi="ITC Avant Garde"/>
                <w:color w:val="000000" w:themeColor="text1"/>
                <w:sz w:val="20"/>
                <w:szCs w:val="20"/>
              </w:rPr>
            </w:pPr>
          </w:p>
        </w:tc>
        <w:tc>
          <w:tcPr>
            <w:tcW w:w="850" w:type="dxa"/>
            <w:noWrap/>
            <w:vAlign w:val="bottom"/>
          </w:tcPr>
          <w:p w14:paraId="35623DDF" w14:textId="77777777" w:rsidR="00526FE9" w:rsidRPr="008762D1" w:rsidRDefault="00526FE9" w:rsidP="002C0F86">
            <w:pPr>
              <w:spacing w:after="0"/>
              <w:rPr>
                <w:rFonts w:ascii="ITC Avant Garde" w:hAnsi="ITC Avant Garde"/>
                <w:color w:val="000000" w:themeColor="text1"/>
                <w:sz w:val="20"/>
                <w:szCs w:val="20"/>
              </w:rPr>
            </w:pPr>
          </w:p>
        </w:tc>
        <w:tc>
          <w:tcPr>
            <w:tcW w:w="1843" w:type="dxa"/>
            <w:noWrap/>
            <w:vAlign w:val="bottom"/>
          </w:tcPr>
          <w:p w14:paraId="14EC7366" w14:textId="77777777" w:rsidR="00526FE9" w:rsidRPr="008762D1" w:rsidRDefault="00526FE9" w:rsidP="002C0F86">
            <w:pPr>
              <w:spacing w:after="0"/>
              <w:rPr>
                <w:rFonts w:ascii="ITC Avant Garde" w:hAnsi="ITC Avant Garde"/>
                <w:color w:val="000000" w:themeColor="text1"/>
                <w:sz w:val="20"/>
                <w:szCs w:val="20"/>
              </w:rPr>
            </w:pPr>
          </w:p>
        </w:tc>
        <w:tc>
          <w:tcPr>
            <w:tcW w:w="2241" w:type="dxa"/>
            <w:noWrap/>
            <w:vAlign w:val="bottom"/>
          </w:tcPr>
          <w:p w14:paraId="4E13CC4C" w14:textId="77777777" w:rsidR="00526FE9" w:rsidRPr="008762D1" w:rsidRDefault="00526FE9" w:rsidP="002C0F86">
            <w:pPr>
              <w:spacing w:after="0"/>
              <w:rPr>
                <w:rFonts w:ascii="ITC Avant Garde" w:hAnsi="ITC Avant Garde"/>
                <w:color w:val="000000" w:themeColor="text1"/>
                <w:sz w:val="20"/>
                <w:szCs w:val="20"/>
              </w:rPr>
            </w:pPr>
          </w:p>
        </w:tc>
      </w:tr>
      <w:tr w:rsidR="00526FE9" w:rsidRPr="008762D1" w14:paraId="422A01B5" w14:textId="77777777" w:rsidTr="00526FE9">
        <w:trPr>
          <w:trHeight w:val="315"/>
        </w:trPr>
        <w:tc>
          <w:tcPr>
            <w:tcW w:w="866" w:type="dxa"/>
            <w:tcBorders>
              <w:top w:val="nil"/>
              <w:left w:val="single" w:sz="8" w:space="0" w:color="auto"/>
              <w:bottom w:val="single" w:sz="8" w:space="0" w:color="auto"/>
              <w:right w:val="nil"/>
            </w:tcBorders>
            <w:noWrap/>
            <w:vAlign w:val="bottom"/>
          </w:tcPr>
          <w:p w14:paraId="2B5ADFDD" w14:textId="77777777" w:rsidR="00526FE9" w:rsidRPr="008762D1" w:rsidRDefault="00526FE9" w:rsidP="002C0F86">
            <w:pPr>
              <w:spacing w:after="0"/>
              <w:rPr>
                <w:rFonts w:ascii="ITC Avant Garde" w:hAnsi="ITC Avant Garde"/>
                <w:color w:val="000000" w:themeColor="text1"/>
                <w:sz w:val="20"/>
                <w:szCs w:val="20"/>
              </w:rPr>
            </w:pPr>
          </w:p>
        </w:tc>
        <w:tc>
          <w:tcPr>
            <w:tcW w:w="1843" w:type="dxa"/>
            <w:tcBorders>
              <w:top w:val="single" w:sz="4" w:space="0" w:color="000000"/>
              <w:left w:val="single" w:sz="4" w:space="0" w:color="000000"/>
              <w:bottom w:val="single" w:sz="8" w:space="0" w:color="auto"/>
              <w:right w:val="nil"/>
            </w:tcBorders>
            <w:noWrap/>
            <w:vAlign w:val="bottom"/>
            <w:hideMark/>
          </w:tcPr>
          <w:p w14:paraId="584AF4FB"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POZA RICA</w:t>
            </w:r>
          </w:p>
        </w:tc>
        <w:tc>
          <w:tcPr>
            <w:tcW w:w="1984" w:type="dxa"/>
            <w:tcBorders>
              <w:top w:val="single" w:sz="4" w:space="0" w:color="000000"/>
              <w:left w:val="single" w:sz="4" w:space="0" w:color="000000"/>
              <w:bottom w:val="single" w:sz="8" w:space="0" w:color="auto"/>
              <w:right w:val="single" w:sz="8" w:space="0" w:color="auto"/>
            </w:tcBorders>
            <w:noWrap/>
            <w:vAlign w:val="bottom"/>
            <w:hideMark/>
          </w:tcPr>
          <w:p w14:paraId="4EA516E7" w14:textId="77777777" w:rsidR="00526FE9" w:rsidRPr="008762D1" w:rsidRDefault="00526FE9" w:rsidP="002C0F86">
            <w:pPr>
              <w:spacing w:after="0"/>
              <w:rPr>
                <w:rFonts w:ascii="ITC Avant Garde" w:hAnsi="ITC Avant Garde"/>
                <w:color w:val="000000" w:themeColor="text1"/>
                <w:sz w:val="20"/>
                <w:szCs w:val="20"/>
              </w:rPr>
            </w:pPr>
            <w:r w:rsidRPr="008762D1">
              <w:rPr>
                <w:rFonts w:ascii="ITC Avant Garde" w:hAnsi="ITC Avant Garde"/>
                <w:color w:val="000000" w:themeColor="text1"/>
                <w:sz w:val="20"/>
                <w:szCs w:val="20"/>
              </w:rPr>
              <w:t xml:space="preserve"> TUXPAN</w:t>
            </w:r>
          </w:p>
        </w:tc>
        <w:tc>
          <w:tcPr>
            <w:tcW w:w="284" w:type="dxa"/>
            <w:noWrap/>
            <w:vAlign w:val="bottom"/>
          </w:tcPr>
          <w:p w14:paraId="2E6C6DF7" w14:textId="77777777" w:rsidR="00526FE9" w:rsidRPr="008762D1" w:rsidRDefault="00526FE9" w:rsidP="002C0F86">
            <w:pPr>
              <w:spacing w:after="0"/>
              <w:rPr>
                <w:rFonts w:ascii="ITC Avant Garde" w:hAnsi="ITC Avant Garde"/>
                <w:color w:val="000000" w:themeColor="text1"/>
                <w:sz w:val="20"/>
                <w:szCs w:val="20"/>
              </w:rPr>
            </w:pPr>
          </w:p>
        </w:tc>
        <w:tc>
          <w:tcPr>
            <w:tcW w:w="850" w:type="dxa"/>
            <w:noWrap/>
            <w:vAlign w:val="bottom"/>
          </w:tcPr>
          <w:p w14:paraId="10C3729A" w14:textId="77777777" w:rsidR="00526FE9" w:rsidRPr="008762D1" w:rsidRDefault="00526FE9" w:rsidP="002C0F86">
            <w:pPr>
              <w:spacing w:after="0"/>
              <w:rPr>
                <w:rFonts w:ascii="ITC Avant Garde" w:hAnsi="ITC Avant Garde"/>
                <w:color w:val="000000" w:themeColor="text1"/>
                <w:sz w:val="20"/>
                <w:szCs w:val="20"/>
              </w:rPr>
            </w:pPr>
          </w:p>
        </w:tc>
        <w:tc>
          <w:tcPr>
            <w:tcW w:w="1843" w:type="dxa"/>
            <w:noWrap/>
            <w:vAlign w:val="bottom"/>
          </w:tcPr>
          <w:p w14:paraId="35103791" w14:textId="77777777" w:rsidR="00526FE9" w:rsidRPr="008762D1" w:rsidRDefault="00526FE9" w:rsidP="002C0F86">
            <w:pPr>
              <w:spacing w:after="0"/>
              <w:rPr>
                <w:rFonts w:ascii="ITC Avant Garde" w:hAnsi="ITC Avant Garde"/>
                <w:color w:val="000000" w:themeColor="text1"/>
                <w:sz w:val="20"/>
                <w:szCs w:val="20"/>
              </w:rPr>
            </w:pPr>
          </w:p>
        </w:tc>
        <w:tc>
          <w:tcPr>
            <w:tcW w:w="2241" w:type="dxa"/>
            <w:noWrap/>
            <w:vAlign w:val="bottom"/>
          </w:tcPr>
          <w:p w14:paraId="4A30834D" w14:textId="77777777" w:rsidR="00526FE9" w:rsidRPr="008762D1" w:rsidRDefault="00526FE9" w:rsidP="002C0F86">
            <w:pPr>
              <w:spacing w:after="0"/>
              <w:rPr>
                <w:rFonts w:ascii="ITC Avant Garde" w:hAnsi="ITC Avant Garde"/>
                <w:color w:val="000000" w:themeColor="text1"/>
                <w:sz w:val="20"/>
                <w:szCs w:val="20"/>
              </w:rPr>
            </w:pPr>
          </w:p>
        </w:tc>
      </w:tr>
    </w:tbl>
    <w:p w14:paraId="60904356" w14:textId="77777777" w:rsidR="00526FE9" w:rsidRPr="008762D1" w:rsidRDefault="00526FE9" w:rsidP="002C0F86">
      <w:pPr>
        <w:spacing w:before="240"/>
        <w:jc w:val="center"/>
        <w:rPr>
          <w:rFonts w:ascii="ITC Avant Garde" w:hAnsi="ITC Avant Garde"/>
          <w:color w:val="000000" w:themeColor="text1"/>
          <w:szCs w:val="24"/>
          <w:lang w:val="es-ES" w:eastAsia="es-ES"/>
        </w:rPr>
      </w:pPr>
    </w:p>
    <w:p w14:paraId="19741821" w14:textId="77777777" w:rsidR="00526FE9" w:rsidRPr="008762D1" w:rsidRDefault="00526FE9" w:rsidP="002C0F86">
      <w:pPr>
        <w:spacing w:before="240"/>
        <w:jc w:val="center"/>
        <w:rPr>
          <w:rFonts w:ascii="ITC Avant Garde" w:hAnsi="ITC Avant Garde"/>
          <w:color w:val="000000" w:themeColor="text1"/>
        </w:rPr>
      </w:pPr>
      <w:r w:rsidRPr="008762D1">
        <w:rPr>
          <w:rFonts w:ascii="ITC Avant Garde" w:hAnsi="ITC Avant Garde"/>
          <w:color w:val="000000" w:themeColor="text1"/>
        </w:rPr>
        <w:t>Zona Occidente</w:t>
      </w:r>
    </w:p>
    <w:p w14:paraId="15CE7452" w14:textId="77777777" w:rsidR="00526FE9" w:rsidRPr="008762D1" w:rsidRDefault="00526FE9" w:rsidP="002C0F86">
      <w:pPr>
        <w:spacing w:before="240"/>
        <w:jc w:val="center"/>
        <w:rPr>
          <w:rFonts w:ascii="ITC Avant Garde" w:hAnsi="ITC Avant Garde"/>
          <w:color w:val="000000" w:themeColor="text1"/>
          <w:sz w:val="14"/>
        </w:rPr>
      </w:pPr>
    </w:p>
    <w:tbl>
      <w:tblPr>
        <w:tblW w:w="10744" w:type="dxa"/>
        <w:jc w:val="center"/>
        <w:tblCellMar>
          <w:left w:w="70" w:type="dxa"/>
          <w:right w:w="70" w:type="dxa"/>
        </w:tblCellMar>
        <w:tblLook w:val="04A0" w:firstRow="1" w:lastRow="0" w:firstColumn="1" w:lastColumn="0" w:noHBand="0" w:noVBand="1"/>
        <w:tblCaption w:val="Tabla"/>
        <w:tblDescription w:val="Tiempos de Traslado para Atención a Fallas &#10;Zona Occidente&#10;"/>
      </w:tblPr>
      <w:tblGrid>
        <w:gridCol w:w="1167"/>
        <w:gridCol w:w="2128"/>
        <w:gridCol w:w="2268"/>
        <w:gridCol w:w="186"/>
        <w:gridCol w:w="1167"/>
        <w:gridCol w:w="1843"/>
        <w:gridCol w:w="1985"/>
      </w:tblGrid>
      <w:tr w:rsidR="008762D1" w:rsidRPr="008762D1" w14:paraId="200326A5" w14:textId="77777777" w:rsidTr="00F67F46">
        <w:trPr>
          <w:trHeight w:val="690"/>
          <w:tblHeader/>
          <w:jc w:val="center"/>
        </w:trPr>
        <w:tc>
          <w:tcPr>
            <w:tcW w:w="1167" w:type="dxa"/>
            <w:tcBorders>
              <w:top w:val="single" w:sz="8" w:space="0" w:color="auto"/>
              <w:left w:val="single" w:sz="8" w:space="0" w:color="auto"/>
              <w:bottom w:val="single" w:sz="4" w:space="0" w:color="auto"/>
              <w:right w:val="single" w:sz="4" w:space="0" w:color="auto"/>
            </w:tcBorders>
            <w:shd w:val="clear" w:color="auto" w:fill="8DB3E2"/>
            <w:noWrap/>
            <w:vAlign w:val="center"/>
            <w:hideMark/>
          </w:tcPr>
          <w:p w14:paraId="2C512876" w14:textId="77777777" w:rsidR="00526FE9" w:rsidRPr="008762D1" w:rsidRDefault="00526FE9" w:rsidP="002C0F86">
            <w:pPr>
              <w:spacing w:after="0"/>
              <w:jc w:val="center"/>
              <w:rPr>
                <w:rFonts w:ascii="ITC Avant Garde" w:hAnsi="ITC Avant Garde"/>
                <w:b/>
                <w:color w:val="000000" w:themeColor="text1"/>
                <w:sz w:val="18"/>
              </w:rPr>
            </w:pPr>
            <w:bookmarkStart w:id="13" w:name="RANGE!A1:C36"/>
            <w:r w:rsidRPr="008762D1">
              <w:rPr>
                <w:rFonts w:ascii="ITC Avant Garde" w:hAnsi="ITC Avant Garde"/>
                <w:b/>
                <w:color w:val="000000" w:themeColor="text1"/>
                <w:sz w:val="18"/>
              </w:rPr>
              <w:t>División</w:t>
            </w:r>
            <w:bookmarkEnd w:id="13"/>
          </w:p>
        </w:tc>
        <w:tc>
          <w:tcPr>
            <w:tcW w:w="2128" w:type="dxa"/>
            <w:tcBorders>
              <w:top w:val="single" w:sz="8" w:space="0" w:color="auto"/>
              <w:left w:val="nil"/>
              <w:bottom w:val="single" w:sz="4" w:space="0" w:color="auto"/>
              <w:right w:val="single" w:sz="4" w:space="0" w:color="auto"/>
            </w:tcBorders>
            <w:shd w:val="clear" w:color="auto" w:fill="8DB3E2"/>
            <w:vAlign w:val="center"/>
            <w:hideMark/>
          </w:tcPr>
          <w:p w14:paraId="4089F2F6" w14:textId="77777777" w:rsidR="00526FE9" w:rsidRPr="008762D1" w:rsidRDefault="00526FE9" w:rsidP="002C0F86">
            <w:pPr>
              <w:spacing w:after="0"/>
              <w:jc w:val="center"/>
              <w:rPr>
                <w:rFonts w:ascii="ITC Avant Garde" w:hAnsi="ITC Avant Garde"/>
                <w:b/>
                <w:color w:val="000000" w:themeColor="text1"/>
                <w:sz w:val="18"/>
              </w:rPr>
            </w:pPr>
            <w:r w:rsidRPr="008762D1">
              <w:rPr>
                <w:rFonts w:ascii="ITC Avant Garde" w:hAnsi="ITC Avant Garde"/>
                <w:b/>
                <w:color w:val="000000" w:themeColor="text1"/>
                <w:sz w:val="18"/>
              </w:rPr>
              <w:t xml:space="preserve">Área urbana </w:t>
            </w:r>
            <w:r w:rsidRPr="008762D1">
              <w:rPr>
                <w:rFonts w:ascii="ITC Avant Garde" w:hAnsi="ITC Avant Garde"/>
                <w:b/>
                <w:color w:val="000000" w:themeColor="text1"/>
                <w:sz w:val="18"/>
              </w:rPr>
              <w:br/>
              <w:t>(1 hora de traslado)</w:t>
            </w:r>
          </w:p>
        </w:tc>
        <w:tc>
          <w:tcPr>
            <w:tcW w:w="2268" w:type="dxa"/>
            <w:tcBorders>
              <w:top w:val="single" w:sz="8" w:space="0" w:color="auto"/>
              <w:left w:val="nil"/>
              <w:bottom w:val="single" w:sz="4" w:space="0" w:color="auto"/>
              <w:right w:val="single" w:sz="8" w:space="0" w:color="auto"/>
            </w:tcBorders>
            <w:shd w:val="clear" w:color="auto" w:fill="8DB3E2"/>
            <w:vAlign w:val="center"/>
            <w:hideMark/>
          </w:tcPr>
          <w:p w14:paraId="073A94C6" w14:textId="77777777" w:rsidR="00526FE9" w:rsidRPr="008762D1" w:rsidRDefault="00526FE9" w:rsidP="002C0F86">
            <w:pPr>
              <w:spacing w:after="0"/>
              <w:jc w:val="center"/>
              <w:rPr>
                <w:rFonts w:ascii="ITC Avant Garde" w:hAnsi="ITC Avant Garde"/>
                <w:b/>
                <w:color w:val="000000" w:themeColor="text1"/>
                <w:sz w:val="18"/>
              </w:rPr>
            </w:pPr>
            <w:r w:rsidRPr="008762D1">
              <w:rPr>
                <w:rFonts w:ascii="ITC Avant Garde" w:hAnsi="ITC Avant Garde"/>
                <w:b/>
                <w:color w:val="000000" w:themeColor="text1"/>
                <w:sz w:val="18"/>
              </w:rPr>
              <w:t>Área suburbana</w:t>
            </w:r>
            <w:r w:rsidRPr="008762D1">
              <w:rPr>
                <w:rFonts w:ascii="ITC Avant Garde" w:hAnsi="ITC Avant Garde"/>
                <w:b/>
                <w:color w:val="000000" w:themeColor="text1"/>
                <w:sz w:val="18"/>
              </w:rPr>
              <w:br/>
              <w:t>(2 horas de traslado)</w:t>
            </w:r>
          </w:p>
        </w:tc>
        <w:tc>
          <w:tcPr>
            <w:tcW w:w="186" w:type="dxa"/>
            <w:noWrap/>
            <w:vAlign w:val="bottom"/>
          </w:tcPr>
          <w:p w14:paraId="6D6A1564"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single" w:sz="8" w:space="0" w:color="auto"/>
              <w:left w:val="single" w:sz="8" w:space="0" w:color="auto"/>
              <w:bottom w:val="single" w:sz="4" w:space="0" w:color="auto"/>
              <w:right w:val="single" w:sz="4" w:space="0" w:color="auto"/>
            </w:tcBorders>
            <w:shd w:val="clear" w:color="auto" w:fill="8DB3E2"/>
            <w:noWrap/>
            <w:vAlign w:val="center"/>
            <w:hideMark/>
          </w:tcPr>
          <w:p w14:paraId="19C396A4" w14:textId="77777777" w:rsidR="00526FE9" w:rsidRPr="008762D1" w:rsidRDefault="00526FE9" w:rsidP="002C0F86">
            <w:pPr>
              <w:spacing w:after="0"/>
              <w:jc w:val="center"/>
              <w:rPr>
                <w:rFonts w:ascii="ITC Avant Garde" w:hAnsi="ITC Avant Garde"/>
                <w:b/>
                <w:color w:val="000000" w:themeColor="text1"/>
                <w:sz w:val="18"/>
              </w:rPr>
            </w:pPr>
            <w:r w:rsidRPr="008762D1">
              <w:rPr>
                <w:rFonts w:ascii="ITC Avant Garde" w:hAnsi="ITC Avant Garde"/>
                <w:b/>
                <w:color w:val="000000" w:themeColor="text1"/>
                <w:sz w:val="18"/>
              </w:rPr>
              <w:t>División</w:t>
            </w:r>
          </w:p>
        </w:tc>
        <w:tc>
          <w:tcPr>
            <w:tcW w:w="1843" w:type="dxa"/>
            <w:tcBorders>
              <w:top w:val="single" w:sz="8" w:space="0" w:color="auto"/>
              <w:left w:val="nil"/>
              <w:bottom w:val="single" w:sz="4" w:space="0" w:color="auto"/>
              <w:right w:val="single" w:sz="4" w:space="0" w:color="auto"/>
            </w:tcBorders>
            <w:shd w:val="clear" w:color="auto" w:fill="8DB3E2"/>
            <w:vAlign w:val="center"/>
            <w:hideMark/>
          </w:tcPr>
          <w:p w14:paraId="7F76C80C" w14:textId="77777777" w:rsidR="00526FE9" w:rsidRPr="008762D1" w:rsidRDefault="00526FE9" w:rsidP="002C0F86">
            <w:pPr>
              <w:spacing w:after="0"/>
              <w:jc w:val="center"/>
              <w:rPr>
                <w:rFonts w:ascii="ITC Avant Garde" w:hAnsi="ITC Avant Garde"/>
                <w:b/>
                <w:color w:val="000000" w:themeColor="text1"/>
                <w:sz w:val="18"/>
              </w:rPr>
            </w:pPr>
            <w:r w:rsidRPr="008762D1">
              <w:rPr>
                <w:rFonts w:ascii="ITC Avant Garde" w:hAnsi="ITC Avant Garde"/>
                <w:b/>
                <w:color w:val="000000" w:themeColor="text1"/>
                <w:sz w:val="18"/>
              </w:rPr>
              <w:t xml:space="preserve">Área urbana </w:t>
            </w:r>
            <w:r w:rsidRPr="008762D1">
              <w:rPr>
                <w:rFonts w:ascii="ITC Avant Garde" w:hAnsi="ITC Avant Garde"/>
                <w:b/>
                <w:color w:val="000000" w:themeColor="text1"/>
                <w:sz w:val="18"/>
              </w:rPr>
              <w:br/>
              <w:t>(1 hora de traslado)</w:t>
            </w:r>
          </w:p>
        </w:tc>
        <w:tc>
          <w:tcPr>
            <w:tcW w:w="1985" w:type="dxa"/>
            <w:tcBorders>
              <w:top w:val="single" w:sz="8" w:space="0" w:color="auto"/>
              <w:left w:val="nil"/>
              <w:bottom w:val="single" w:sz="4" w:space="0" w:color="auto"/>
              <w:right w:val="single" w:sz="8" w:space="0" w:color="auto"/>
            </w:tcBorders>
            <w:shd w:val="clear" w:color="auto" w:fill="8DB3E2"/>
            <w:vAlign w:val="center"/>
            <w:hideMark/>
          </w:tcPr>
          <w:p w14:paraId="0AE57697" w14:textId="77777777" w:rsidR="00526FE9" w:rsidRPr="008762D1" w:rsidRDefault="00526FE9" w:rsidP="002C0F86">
            <w:pPr>
              <w:spacing w:after="0"/>
              <w:jc w:val="center"/>
              <w:rPr>
                <w:rFonts w:ascii="ITC Avant Garde" w:hAnsi="ITC Avant Garde"/>
                <w:b/>
                <w:color w:val="000000" w:themeColor="text1"/>
                <w:sz w:val="18"/>
              </w:rPr>
            </w:pPr>
            <w:r w:rsidRPr="008762D1">
              <w:rPr>
                <w:rFonts w:ascii="ITC Avant Garde" w:hAnsi="ITC Avant Garde"/>
                <w:b/>
                <w:color w:val="000000" w:themeColor="text1"/>
                <w:sz w:val="18"/>
              </w:rPr>
              <w:t>Área suburbana</w:t>
            </w:r>
            <w:r w:rsidRPr="008762D1">
              <w:rPr>
                <w:rFonts w:ascii="ITC Avant Garde" w:hAnsi="ITC Avant Garde"/>
                <w:b/>
                <w:color w:val="000000" w:themeColor="text1"/>
                <w:sz w:val="18"/>
              </w:rPr>
              <w:br/>
              <w:t>(2 horas de traslado)</w:t>
            </w:r>
          </w:p>
        </w:tc>
      </w:tr>
      <w:tr w:rsidR="008762D1" w:rsidRPr="008762D1" w14:paraId="2608D584" w14:textId="77777777" w:rsidTr="00526FE9">
        <w:trPr>
          <w:trHeight w:val="300"/>
          <w:jc w:val="center"/>
        </w:trPr>
        <w:tc>
          <w:tcPr>
            <w:tcW w:w="1167" w:type="dxa"/>
            <w:tcBorders>
              <w:top w:val="single" w:sz="8" w:space="0" w:color="auto"/>
              <w:left w:val="single" w:sz="8" w:space="0" w:color="auto"/>
              <w:bottom w:val="nil"/>
              <w:right w:val="nil"/>
            </w:tcBorders>
            <w:noWrap/>
            <w:vAlign w:val="bottom"/>
            <w:hideMark/>
          </w:tcPr>
          <w:p w14:paraId="33EE4CBA"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OCCIDENTE</w:t>
            </w:r>
          </w:p>
        </w:tc>
        <w:tc>
          <w:tcPr>
            <w:tcW w:w="2128" w:type="dxa"/>
            <w:tcBorders>
              <w:top w:val="single" w:sz="8" w:space="0" w:color="auto"/>
              <w:left w:val="single" w:sz="4" w:space="0" w:color="000000"/>
              <w:bottom w:val="nil"/>
              <w:right w:val="nil"/>
            </w:tcBorders>
            <w:noWrap/>
            <w:vAlign w:val="bottom"/>
            <w:hideMark/>
          </w:tcPr>
          <w:p w14:paraId="58024BAB"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CHIHUAHUA</w:t>
            </w:r>
          </w:p>
        </w:tc>
        <w:tc>
          <w:tcPr>
            <w:tcW w:w="2268" w:type="dxa"/>
            <w:tcBorders>
              <w:top w:val="single" w:sz="8" w:space="0" w:color="auto"/>
              <w:left w:val="single" w:sz="4" w:space="0" w:color="000000"/>
              <w:bottom w:val="nil"/>
              <w:right w:val="single" w:sz="8" w:space="0" w:color="auto"/>
            </w:tcBorders>
            <w:noWrap/>
            <w:vAlign w:val="bottom"/>
            <w:hideMark/>
          </w:tcPr>
          <w:p w14:paraId="6B1DBFA0"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CIUDAD CAMARGO</w:t>
            </w:r>
          </w:p>
        </w:tc>
        <w:tc>
          <w:tcPr>
            <w:tcW w:w="186" w:type="dxa"/>
            <w:noWrap/>
            <w:vAlign w:val="bottom"/>
          </w:tcPr>
          <w:p w14:paraId="6F4D5B87"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single" w:sz="8" w:space="0" w:color="auto"/>
              <w:left w:val="single" w:sz="8" w:space="0" w:color="auto"/>
              <w:bottom w:val="nil"/>
              <w:right w:val="single" w:sz="4" w:space="0" w:color="auto"/>
            </w:tcBorders>
            <w:noWrap/>
            <w:vAlign w:val="bottom"/>
            <w:hideMark/>
          </w:tcPr>
          <w:p w14:paraId="05BD345F"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OCCIDENTE</w:t>
            </w:r>
          </w:p>
        </w:tc>
        <w:tc>
          <w:tcPr>
            <w:tcW w:w="1843" w:type="dxa"/>
            <w:noWrap/>
            <w:vAlign w:val="bottom"/>
            <w:hideMark/>
          </w:tcPr>
          <w:p w14:paraId="468ECA66"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NOGALES</w:t>
            </w:r>
          </w:p>
        </w:tc>
        <w:tc>
          <w:tcPr>
            <w:tcW w:w="1985" w:type="dxa"/>
            <w:tcBorders>
              <w:top w:val="nil"/>
              <w:left w:val="single" w:sz="4" w:space="0" w:color="000000"/>
              <w:bottom w:val="nil"/>
              <w:right w:val="single" w:sz="8" w:space="0" w:color="auto"/>
            </w:tcBorders>
            <w:noWrap/>
            <w:vAlign w:val="bottom"/>
            <w:hideMark/>
          </w:tcPr>
          <w:p w14:paraId="6EF77322"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AGUA PRIETA</w:t>
            </w:r>
          </w:p>
        </w:tc>
      </w:tr>
      <w:tr w:rsidR="008762D1" w:rsidRPr="008762D1" w14:paraId="4B0C90BE" w14:textId="77777777" w:rsidTr="00526FE9">
        <w:trPr>
          <w:trHeight w:val="300"/>
          <w:jc w:val="center"/>
        </w:trPr>
        <w:tc>
          <w:tcPr>
            <w:tcW w:w="1167" w:type="dxa"/>
            <w:tcBorders>
              <w:top w:val="nil"/>
              <w:left w:val="single" w:sz="8" w:space="0" w:color="auto"/>
              <w:bottom w:val="nil"/>
              <w:right w:val="nil"/>
            </w:tcBorders>
            <w:noWrap/>
            <w:vAlign w:val="bottom"/>
          </w:tcPr>
          <w:p w14:paraId="3BF3EDAA"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17F15BE4"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215EF819"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CIUDAD CUAUHTEMOC</w:t>
            </w:r>
          </w:p>
        </w:tc>
        <w:tc>
          <w:tcPr>
            <w:tcW w:w="186" w:type="dxa"/>
            <w:noWrap/>
            <w:vAlign w:val="bottom"/>
          </w:tcPr>
          <w:p w14:paraId="53608862"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nil"/>
              <w:left w:val="single" w:sz="8" w:space="0" w:color="auto"/>
              <w:bottom w:val="nil"/>
              <w:right w:val="single" w:sz="4" w:space="0" w:color="auto"/>
            </w:tcBorders>
            <w:noWrap/>
            <w:vAlign w:val="bottom"/>
          </w:tcPr>
          <w:p w14:paraId="395D055F"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40A3EB52" w14:textId="77777777" w:rsidR="00526FE9" w:rsidRPr="008762D1" w:rsidRDefault="00526FE9" w:rsidP="002C0F86">
            <w:pPr>
              <w:spacing w:after="0"/>
              <w:rPr>
                <w:rFonts w:ascii="ITC Avant Garde" w:hAnsi="ITC Avant Garde"/>
                <w:color w:val="000000" w:themeColor="text1"/>
                <w:sz w:val="18"/>
              </w:rPr>
            </w:pPr>
          </w:p>
        </w:tc>
        <w:tc>
          <w:tcPr>
            <w:tcW w:w="1985" w:type="dxa"/>
            <w:tcBorders>
              <w:top w:val="nil"/>
              <w:left w:val="single" w:sz="4" w:space="0" w:color="000000"/>
              <w:bottom w:val="nil"/>
              <w:right w:val="single" w:sz="8" w:space="0" w:color="auto"/>
            </w:tcBorders>
            <w:noWrap/>
            <w:vAlign w:val="bottom"/>
            <w:hideMark/>
          </w:tcPr>
          <w:p w14:paraId="6B879283"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CABORCA</w:t>
            </w:r>
          </w:p>
        </w:tc>
      </w:tr>
      <w:tr w:rsidR="008762D1" w:rsidRPr="008762D1" w14:paraId="5BA863EC" w14:textId="77777777" w:rsidTr="00526FE9">
        <w:trPr>
          <w:trHeight w:val="300"/>
          <w:jc w:val="center"/>
        </w:trPr>
        <w:tc>
          <w:tcPr>
            <w:tcW w:w="1167" w:type="dxa"/>
            <w:tcBorders>
              <w:top w:val="nil"/>
              <w:left w:val="single" w:sz="8" w:space="0" w:color="auto"/>
              <w:bottom w:val="nil"/>
              <w:right w:val="nil"/>
            </w:tcBorders>
            <w:noWrap/>
            <w:vAlign w:val="bottom"/>
          </w:tcPr>
          <w:p w14:paraId="3C19AB41"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3FCBBB79"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05E3E927"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CIUDAD DELICIAS</w:t>
            </w:r>
          </w:p>
        </w:tc>
        <w:tc>
          <w:tcPr>
            <w:tcW w:w="186" w:type="dxa"/>
            <w:noWrap/>
            <w:vAlign w:val="bottom"/>
          </w:tcPr>
          <w:p w14:paraId="137428A1"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nil"/>
              <w:left w:val="single" w:sz="8" w:space="0" w:color="auto"/>
              <w:bottom w:val="nil"/>
              <w:right w:val="single" w:sz="4" w:space="0" w:color="auto"/>
            </w:tcBorders>
            <w:noWrap/>
            <w:vAlign w:val="bottom"/>
          </w:tcPr>
          <w:p w14:paraId="6A476973"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50A54D1F" w14:textId="77777777" w:rsidR="00526FE9" w:rsidRPr="008762D1" w:rsidRDefault="00526FE9" w:rsidP="002C0F86">
            <w:pPr>
              <w:spacing w:after="0"/>
              <w:rPr>
                <w:rFonts w:ascii="ITC Avant Garde" w:hAnsi="ITC Avant Garde"/>
                <w:color w:val="000000" w:themeColor="text1"/>
                <w:sz w:val="18"/>
              </w:rPr>
            </w:pPr>
          </w:p>
        </w:tc>
        <w:tc>
          <w:tcPr>
            <w:tcW w:w="1985" w:type="dxa"/>
            <w:tcBorders>
              <w:top w:val="nil"/>
              <w:left w:val="single" w:sz="4" w:space="0" w:color="000000"/>
              <w:bottom w:val="nil"/>
              <w:right w:val="single" w:sz="8" w:space="0" w:color="auto"/>
            </w:tcBorders>
            <w:noWrap/>
            <w:vAlign w:val="bottom"/>
            <w:hideMark/>
          </w:tcPr>
          <w:p w14:paraId="708C9120"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CANANEA</w:t>
            </w:r>
          </w:p>
        </w:tc>
      </w:tr>
      <w:tr w:rsidR="008762D1" w:rsidRPr="008762D1" w14:paraId="596CEFE6" w14:textId="77777777" w:rsidTr="00526FE9">
        <w:trPr>
          <w:trHeight w:val="300"/>
          <w:jc w:val="center"/>
        </w:trPr>
        <w:tc>
          <w:tcPr>
            <w:tcW w:w="1167" w:type="dxa"/>
            <w:tcBorders>
              <w:top w:val="nil"/>
              <w:left w:val="single" w:sz="8" w:space="0" w:color="auto"/>
              <w:bottom w:val="nil"/>
              <w:right w:val="nil"/>
            </w:tcBorders>
            <w:noWrap/>
            <w:vAlign w:val="bottom"/>
          </w:tcPr>
          <w:p w14:paraId="660E32C4"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49BE87D5"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2D6DCF2C"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CIUDAD JIMENEZ</w:t>
            </w:r>
          </w:p>
        </w:tc>
        <w:tc>
          <w:tcPr>
            <w:tcW w:w="186" w:type="dxa"/>
            <w:noWrap/>
            <w:vAlign w:val="bottom"/>
          </w:tcPr>
          <w:p w14:paraId="68B187D3"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nil"/>
              <w:left w:val="single" w:sz="8" w:space="0" w:color="auto"/>
              <w:bottom w:val="nil"/>
              <w:right w:val="single" w:sz="4" w:space="0" w:color="auto"/>
            </w:tcBorders>
            <w:noWrap/>
            <w:vAlign w:val="bottom"/>
          </w:tcPr>
          <w:p w14:paraId="7DB4965F"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13F9A9DC" w14:textId="77777777" w:rsidR="00526FE9" w:rsidRPr="008762D1" w:rsidRDefault="00526FE9" w:rsidP="002C0F86">
            <w:pPr>
              <w:spacing w:after="0"/>
              <w:rPr>
                <w:rFonts w:ascii="ITC Avant Garde" w:hAnsi="ITC Avant Garde"/>
                <w:color w:val="000000" w:themeColor="text1"/>
                <w:sz w:val="18"/>
              </w:rPr>
            </w:pPr>
          </w:p>
        </w:tc>
        <w:tc>
          <w:tcPr>
            <w:tcW w:w="1985" w:type="dxa"/>
            <w:tcBorders>
              <w:top w:val="nil"/>
              <w:left w:val="single" w:sz="4" w:space="0" w:color="000000"/>
              <w:bottom w:val="nil"/>
              <w:right w:val="single" w:sz="8" w:space="0" w:color="auto"/>
            </w:tcBorders>
            <w:noWrap/>
            <w:vAlign w:val="bottom"/>
            <w:hideMark/>
          </w:tcPr>
          <w:p w14:paraId="6BF60D66"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PUERTO PEÑASCO</w:t>
            </w:r>
          </w:p>
        </w:tc>
      </w:tr>
      <w:tr w:rsidR="008762D1" w:rsidRPr="008762D1" w14:paraId="384B24D4" w14:textId="77777777" w:rsidTr="00526FE9">
        <w:trPr>
          <w:trHeight w:val="300"/>
          <w:jc w:val="center"/>
        </w:trPr>
        <w:tc>
          <w:tcPr>
            <w:tcW w:w="1167" w:type="dxa"/>
            <w:tcBorders>
              <w:top w:val="nil"/>
              <w:left w:val="single" w:sz="8" w:space="0" w:color="auto"/>
              <w:bottom w:val="nil"/>
              <w:right w:val="nil"/>
            </w:tcBorders>
            <w:noWrap/>
            <w:vAlign w:val="bottom"/>
          </w:tcPr>
          <w:p w14:paraId="433C2F7C"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76F67538"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67FBE8FE"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OJINAGA</w:t>
            </w:r>
          </w:p>
        </w:tc>
        <w:tc>
          <w:tcPr>
            <w:tcW w:w="186" w:type="dxa"/>
            <w:noWrap/>
            <w:vAlign w:val="bottom"/>
          </w:tcPr>
          <w:p w14:paraId="462637A8"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nil"/>
              <w:left w:val="single" w:sz="8" w:space="0" w:color="auto"/>
              <w:bottom w:val="nil"/>
              <w:right w:val="single" w:sz="4" w:space="0" w:color="auto"/>
            </w:tcBorders>
            <w:noWrap/>
            <w:vAlign w:val="bottom"/>
          </w:tcPr>
          <w:p w14:paraId="43320AA3" w14:textId="77777777" w:rsidR="00526FE9" w:rsidRPr="008762D1" w:rsidRDefault="00526FE9" w:rsidP="002C0F86">
            <w:pPr>
              <w:spacing w:after="0"/>
              <w:rPr>
                <w:rFonts w:ascii="ITC Avant Garde" w:hAnsi="ITC Avant Garde"/>
                <w:color w:val="000000" w:themeColor="text1"/>
                <w:sz w:val="18"/>
              </w:rPr>
            </w:pPr>
          </w:p>
        </w:tc>
        <w:tc>
          <w:tcPr>
            <w:tcW w:w="1843" w:type="dxa"/>
            <w:tcBorders>
              <w:top w:val="single" w:sz="4" w:space="0" w:color="000000"/>
              <w:left w:val="nil"/>
              <w:bottom w:val="nil"/>
              <w:right w:val="nil"/>
            </w:tcBorders>
            <w:noWrap/>
            <w:vAlign w:val="bottom"/>
            <w:hideMark/>
          </w:tcPr>
          <w:p w14:paraId="71CEEA8D"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TEPIC</w:t>
            </w:r>
          </w:p>
        </w:tc>
        <w:tc>
          <w:tcPr>
            <w:tcW w:w="1985" w:type="dxa"/>
            <w:tcBorders>
              <w:top w:val="single" w:sz="4" w:space="0" w:color="000000"/>
              <w:left w:val="single" w:sz="4" w:space="0" w:color="000000"/>
              <w:bottom w:val="nil"/>
              <w:right w:val="single" w:sz="8" w:space="0" w:color="auto"/>
            </w:tcBorders>
            <w:noWrap/>
            <w:vAlign w:val="bottom"/>
            <w:hideMark/>
          </w:tcPr>
          <w:p w14:paraId="2A090D2C"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SANTIAGO IXCUINTLA</w:t>
            </w:r>
          </w:p>
        </w:tc>
      </w:tr>
      <w:tr w:rsidR="008762D1" w:rsidRPr="008762D1" w14:paraId="14C5EB4D" w14:textId="77777777" w:rsidTr="00526FE9">
        <w:trPr>
          <w:trHeight w:val="300"/>
          <w:jc w:val="center"/>
        </w:trPr>
        <w:tc>
          <w:tcPr>
            <w:tcW w:w="1167" w:type="dxa"/>
            <w:tcBorders>
              <w:top w:val="nil"/>
              <w:left w:val="single" w:sz="8" w:space="0" w:color="auto"/>
              <w:bottom w:val="nil"/>
              <w:right w:val="nil"/>
            </w:tcBorders>
            <w:noWrap/>
            <w:vAlign w:val="bottom"/>
          </w:tcPr>
          <w:p w14:paraId="35D0BCAC"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23E2DC4A"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5129D980"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PARRAL</w:t>
            </w:r>
          </w:p>
        </w:tc>
        <w:tc>
          <w:tcPr>
            <w:tcW w:w="186" w:type="dxa"/>
            <w:noWrap/>
            <w:vAlign w:val="bottom"/>
          </w:tcPr>
          <w:p w14:paraId="4D89DC70"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nil"/>
              <w:left w:val="single" w:sz="8" w:space="0" w:color="auto"/>
              <w:bottom w:val="nil"/>
              <w:right w:val="single" w:sz="4" w:space="0" w:color="auto"/>
            </w:tcBorders>
            <w:noWrap/>
            <w:vAlign w:val="bottom"/>
          </w:tcPr>
          <w:p w14:paraId="3CDAA5D4" w14:textId="77777777" w:rsidR="00526FE9" w:rsidRPr="008762D1" w:rsidRDefault="00526FE9" w:rsidP="002C0F86">
            <w:pPr>
              <w:spacing w:after="0"/>
              <w:rPr>
                <w:rFonts w:ascii="ITC Avant Garde" w:hAnsi="ITC Avant Garde"/>
                <w:color w:val="000000" w:themeColor="text1"/>
                <w:sz w:val="18"/>
              </w:rPr>
            </w:pPr>
          </w:p>
        </w:tc>
        <w:tc>
          <w:tcPr>
            <w:tcW w:w="1843" w:type="dxa"/>
            <w:tcBorders>
              <w:top w:val="single" w:sz="4" w:space="0" w:color="000000"/>
              <w:left w:val="nil"/>
              <w:bottom w:val="nil"/>
              <w:right w:val="nil"/>
            </w:tcBorders>
            <w:noWrap/>
            <w:vAlign w:val="bottom"/>
            <w:hideMark/>
          </w:tcPr>
          <w:p w14:paraId="2B189A7F"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ZAMORA</w:t>
            </w:r>
          </w:p>
        </w:tc>
        <w:tc>
          <w:tcPr>
            <w:tcW w:w="1985" w:type="dxa"/>
            <w:tcBorders>
              <w:top w:val="single" w:sz="4" w:space="0" w:color="000000"/>
              <w:left w:val="single" w:sz="4" w:space="0" w:color="000000"/>
              <w:bottom w:val="nil"/>
              <w:right w:val="single" w:sz="8" w:space="0" w:color="auto"/>
            </w:tcBorders>
            <w:noWrap/>
            <w:vAlign w:val="bottom"/>
            <w:hideMark/>
          </w:tcPr>
          <w:p w14:paraId="69EBC3DD"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LA PIEDAD</w:t>
            </w:r>
          </w:p>
        </w:tc>
      </w:tr>
      <w:tr w:rsidR="008762D1" w:rsidRPr="008762D1" w14:paraId="0FC68B89" w14:textId="77777777" w:rsidTr="00526FE9">
        <w:trPr>
          <w:trHeight w:val="300"/>
          <w:jc w:val="center"/>
        </w:trPr>
        <w:tc>
          <w:tcPr>
            <w:tcW w:w="1167" w:type="dxa"/>
            <w:tcBorders>
              <w:top w:val="nil"/>
              <w:left w:val="single" w:sz="8" w:space="0" w:color="auto"/>
              <w:bottom w:val="nil"/>
              <w:right w:val="nil"/>
            </w:tcBorders>
            <w:noWrap/>
            <w:vAlign w:val="bottom"/>
          </w:tcPr>
          <w:p w14:paraId="07E09FAD"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4F5A53E3"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CIUDAD JUAREZ</w:t>
            </w:r>
          </w:p>
        </w:tc>
        <w:tc>
          <w:tcPr>
            <w:tcW w:w="2268" w:type="dxa"/>
            <w:tcBorders>
              <w:top w:val="single" w:sz="4" w:space="0" w:color="000000"/>
              <w:left w:val="single" w:sz="4" w:space="0" w:color="000000"/>
              <w:bottom w:val="nil"/>
              <w:right w:val="single" w:sz="8" w:space="0" w:color="auto"/>
            </w:tcBorders>
            <w:noWrap/>
            <w:vAlign w:val="bottom"/>
            <w:hideMark/>
          </w:tcPr>
          <w:p w14:paraId="57511377"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NUEVO CASAS GRANDES</w:t>
            </w:r>
          </w:p>
        </w:tc>
        <w:tc>
          <w:tcPr>
            <w:tcW w:w="186" w:type="dxa"/>
            <w:noWrap/>
            <w:vAlign w:val="bottom"/>
          </w:tcPr>
          <w:p w14:paraId="5C649A90"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nil"/>
              <w:left w:val="single" w:sz="8" w:space="0" w:color="auto"/>
              <w:bottom w:val="nil"/>
              <w:right w:val="single" w:sz="4" w:space="0" w:color="auto"/>
            </w:tcBorders>
            <w:noWrap/>
            <w:vAlign w:val="bottom"/>
          </w:tcPr>
          <w:p w14:paraId="1A8A7A74"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4D887C72" w14:textId="77777777" w:rsidR="00526FE9" w:rsidRPr="008762D1" w:rsidRDefault="00526FE9" w:rsidP="002C0F86">
            <w:pPr>
              <w:spacing w:after="0"/>
              <w:rPr>
                <w:rFonts w:ascii="ITC Avant Garde" w:hAnsi="ITC Avant Garde"/>
                <w:color w:val="000000" w:themeColor="text1"/>
                <w:sz w:val="18"/>
              </w:rPr>
            </w:pPr>
          </w:p>
        </w:tc>
        <w:tc>
          <w:tcPr>
            <w:tcW w:w="1985" w:type="dxa"/>
            <w:tcBorders>
              <w:top w:val="nil"/>
              <w:left w:val="single" w:sz="4" w:space="0" w:color="000000"/>
              <w:bottom w:val="nil"/>
              <w:right w:val="single" w:sz="8" w:space="0" w:color="auto"/>
            </w:tcBorders>
            <w:noWrap/>
            <w:vAlign w:val="bottom"/>
            <w:hideMark/>
          </w:tcPr>
          <w:p w14:paraId="081B061F"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LOS REYES </w:t>
            </w:r>
          </w:p>
        </w:tc>
      </w:tr>
      <w:tr w:rsidR="008762D1" w:rsidRPr="008762D1" w14:paraId="1F190651" w14:textId="77777777" w:rsidTr="00526FE9">
        <w:trPr>
          <w:trHeight w:val="300"/>
          <w:jc w:val="center"/>
        </w:trPr>
        <w:tc>
          <w:tcPr>
            <w:tcW w:w="1167" w:type="dxa"/>
            <w:tcBorders>
              <w:top w:val="nil"/>
              <w:left w:val="single" w:sz="8" w:space="0" w:color="auto"/>
              <w:bottom w:val="nil"/>
              <w:right w:val="nil"/>
            </w:tcBorders>
            <w:noWrap/>
            <w:vAlign w:val="bottom"/>
          </w:tcPr>
          <w:p w14:paraId="4EE3CA0E"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13CB5946"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CIUDAD OBREGON</w:t>
            </w:r>
          </w:p>
        </w:tc>
        <w:tc>
          <w:tcPr>
            <w:tcW w:w="2268" w:type="dxa"/>
            <w:tcBorders>
              <w:top w:val="single" w:sz="4" w:space="0" w:color="000000"/>
              <w:left w:val="single" w:sz="4" w:space="0" w:color="000000"/>
              <w:bottom w:val="nil"/>
              <w:right w:val="single" w:sz="8" w:space="0" w:color="auto"/>
            </w:tcBorders>
            <w:noWrap/>
            <w:vAlign w:val="bottom"/>
            <w:hideMark/>
          </w:tcPr>
          <w:p w14:paraId="7B2C9244"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HUATABAMPO</w:t>
            </w:r>
          </w:p>
        </w:tc>
        <w:tc>
          <w:tcPr>
            <w:tcW w:w="186" w:type="dxa"/>
            <w:noWrap/>
            <w:vAlign w:val="bottom"/>
          </w:tcPr>
          <w:p w14:paraId="77F4319C"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nil"/>
              <w:left w:val="single" w:sz="8" w:space="0" w:color="auto"/>
              <w:bottom w:val="single" w:sz="4" w:space="0" w:color="auto"/>
              <w:right w:val="single" w:sz="4" w:space="0" w:color="auto"/>
            </w:tcBorders>
            <w:noWrap/>
            <w:vAlign w:val="bottom"/>
          </w:tcPr>
          <w:p w14:paraId="6E203810" w14:textId="77777777" w:rsidR="00526FE9" w:rsidRPr="008762D1" w:rsidRDefault="00526FE9" w:rsidP="002C0F86">
            <w:pPr>
              <w:spacing w:after="0"/>
              <w:rPr>
                <w:rFonts w:ascii="ITC Avant Garde" w:hAnsi="ITC Avant Garde"/>
                <w:color w:val="000000" w:themeColor="text1"/>
                <w:sz w:val="18"/>
              </w:rPr>
            </w:pPr>
          </w:p>
        </w:tc>
        <w:tc>
          <w:tcPr>
            <w:tcW w:w="1843" w:type="dxa"/>
            <w:tcBorders>
              <w:top w:val="nil"/>
              <w:left w:val="nil"/>
              <w:bottom w:val="single" w:sz="4" w:space="0" w:color="auto"/>
              <w:right w:val="nil"/>
            </w:tcBorders>
            <w:noWrap/>
            <w:vAlign w:val="bottom"/>
          </w:tcPr>
          <w:p w14:paraId="6513AA88" w14:textId="77777777" w:rsidR="00526FE9" w:rsidRPr="008762D1" w:rsidRDefault="00526FE9" w:rsidP="002C0F86">
            <w:pPr>
              <w:spacing w:after="0"/>
              <w:rPr>
                <w:rFonts w:ascii="ITC Avant Garde" w:hAnsi="ITC Avant Garde"/>
                <w:color w:val="000000" w:themeColor="text1"/>
                <w:sz w:val="18"/>
              </w:rPr>
            </w:pPr>
          </w:p>
        </w:tc>
        <w:tc>
          <w:tcPr>
            <w:tcW w:w="1985" w:type="dxa"/>
            <w:tcBorders>
              <w:top w:val="nil"/>
              <w:left w:val="single" w:sz="4" w:space="0" w:color="000000"/>
              <w:bottom w:val="single" w:sz="4" w:space="0" w:color="auto"/>
              <w:right w:val="single" w:sz="8" w:space="0" w:color="auto"/>
            </w:tcBorders>
            <w:noWrap/>
            <w:vAlign w:val="bottom"/>
            <w:hideMark/>
          </w:tcPr>
          <w:p w14:paraId="3E8212D3"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SAHUAYO</w:t>
            </w:r>
          </w:p>
        </w:tc>
      </w:tr>
      <w:tr w:rsidR="008762D1" w:rsidRPr="008762D1" w14:paraId="0294B96E" w14:textId="77777777" w:rsidTr="00526FE9">
        <w:trPr>
          <w:trHeight w:val="300"/>
          <w:jc w:val="center"/>
        </w:trPr>
        <w:tc>
          <w:tcPr>
            <w:tcW w:w="1167" w:type="dxa"/>
            <w:tcBorders>
              <w:top w:val="nil"/>
              <w:left w:val="single" w:sz="8" w:space="0" w:color="auto"/>
              <w:bottom w:val="nil"/>
              <w:right w:val="nil"/>
            </w:tcBorders>
            <w:noWrap/>
            <w:vAlign w:val="bottom"/>
          </w:tcPr>
          <w:p w14:paraId="1E1406DA"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hideMark/>
          </w:tcPr>
          <w:p w14:paraId="0157A03B"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w:t>
            </w:r>
          </w:p>
        </w:tc>
        <w:tc>
          <w:tcPr>
            <w:tcW w:w="2268" w:type="dxa"/>
            <w:tcBorders>
              <w:top w:val="nil"/>
              <w:left w:val="single" w:sz="4" w:space="0" w:color="000000"/>
              <w:bottom w:val="nil"/>
              <w:right w:val="single" w:sz="8" w:space="0" w:color="auto"/>
            </w:tcBorders>
            <w:noWrap/>
            <w:vAlign w:val="bottom"/>
            <w:hideMark/>
          </w:tcPr>
          <w:p w14:paraId="19AAB268"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NAVOJOA</w:t>
            </w:r>
          </w:p>
        </w:tc>
        <w:tc>
          <w:tcPr>
            <w:tcW w:w="186" w:type="dxa"/>
            <w:noWrap/>
            <w:vAlign w:val="bottom"/>
          </w:tcPr>
          <w:p w14:paraId="448AF163" w14:textId="77777777" w:rsidR="00526FE9" w:rsidRPr="008762D1" w:rsidRDefault="00526FE9" w:rsidP="002C0F86">
            <w:pPr>
              <w:spacing w:after="0"/>
              <w:rPr>
                <w:rFonts w:ascii="ITC Avant Garde" w:hAnsi="ITC Avant Garde"/>
                <w:color w:val="000000" w:themeColor="text1"/>
                <w:sz w:val="18"/>
              </w:rPr>
            </w:pPr>
          </w:p>
        </w:tc>
        <w:tc>
          <w:tcPr>
            <w:tcW w:w="1167" w:type="dxa"/>
            <w:tcBorders>
              <w:top w:val="single" w:sz="4" w:space="0" w:color="auto"/>
              <w:left w:val="nil"/>
              <w:bottom w:val="nil"/>
              <w:right w:val="nil"/>
            </w:tcBorders>
            <w:noWrap/>
            <w:vAlign w:val="bottom"/>
          </w:tcPr>
          <w:p w14:paraId="215B2B63" w14:textId="77777777" w:rsidR="00526FE9" w:rsidRPr="008762D1" w:rsidRDefault="00526FE9" w:rsidP="002C0F86">
            <w:pPr>
              <w:spacing w:after="0"/>
              <w:rPr>
                <w:rFonts w:ascii="ITC Avant Garde" w:hAnsi="ITC Avant Garde"/>
                <w:color w:val="000000" w:themeColor="text1"/>
                <w:sz w:val="18"/>
              </w:rPr>
            </w:pPr>
          </w:p>
        </w:tc>
        <w:tc>
          <w:tcPr>
            <w:tcW w:w="1843" w:type="dxa"/>
            <w:tcBorders>
              <w:top w:val="single" w:sz="4" w:space="0" w:color="auto"/>
              <w:left w:val="nil"/>
              <w:bottom w:val="nil"/>
              <w:right w:val="nil"/>
            </w:tcBorders>
            <w:noWrap/>
            <w:vAlign w:val="bottom"/>
          </w:tcPr>
          <w:p w14:paraId="419C2A9D" w14:textId="77777777" w:rsidR="00526FE9" w:rsidRPr="008762D1" w:rsidRDefault="00526FE9" w:rsidP="002C0F86">
            <w:pPr>
              <w:spacing w:after="0"/>
              <w:rPr>
                <w:rFonts w:ascii="ITC Avant Garde" w:hAnsi="ITC Avant Garde"/>
                <w:color w:val="000000" w:themeColor="text1"/>
                <w:sz w:val="18"/>
              </w:rPr>
            </w:pPr>
          </w:p>
        </w:tc>
        <w:tc>
          <w:tcPr>
            <w:tcW w:w="1985" w:type="dxa"/>
            <w:tcBorders>
              <w:top w:val="single" w:sz="4" w:space="0" w:color="auto"/>
              <w:left w:val="nil"/>
              <w:bottom w:val="nil"/>
              <w:right w:val="nil"/>
            </w:tcBorders>
            <w:noWrap/>
            <w:vAlign w:val="bottom"/>
          </w:tcPr>
          <w:p w14:paraId="1F1BA4F9" w14:textId="77777777" w:rsidR="00526FE9" w:rsidRPr="008762D1" w:rsidRDefault="00526FE9" w:rsidP="002C0F86">
            <w:pPr>
              <w:spacing w:after="0"/>
              <w:rPr>
                <w:rFonts w:ascii="ITC Avant Garde" w:hAnsi="ITC Avant Garde"/>
                <w:color w:val="000000" w:themeColor="text1"/>
                <w:sz w:val="18"/>
              </w:rPr>
            </w:pPr>
          </w:p>
        </w:tc>
      </w:tr>
      <w:tr w:rsidR="008762D1" w:rsidRPr="008762D1" w14:paraId="0DA15584" w14:textId="77777777" w:rsidTr="00526FE9">
        <w:trPr>
          <w:trHeight w:val="300"/>
          <w:jc w:val="center"/>
        </w:trPr>
        <w:tc>
          <w:tcPr>
            <w:tcW w:w="1167" w:type="dxa"/>
            <w:tcBorders>
              <w:top w:val="nil"/>
              <w:left w:val="single" w:sz="8" w:space="0" w:color="auto"/>
              <w:bottom w:val="nil"/>
              <w:right w:val="nil"/>
            </w:tcBorders>
            <w:noWrap/>
            <w:vAlign w:val="bottom"/>
          </w:tcPr>
          <w:p w14:paraId="1E9A63B1"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23EF2FA8"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COLIMA</w:t>
            </w:r>
          </w:p>
        </w:tc>
        <w:tc>
          <w:tcPr>
            <w:tcW w:w="2268" w:type="dxa"/>
            <w:tcBorders>
              <w:top w:val="single" w:sz="4" w:space="0" w:color="000000"/>
              <w:left w:val="single" w:sz="4" w:space="0" w:color="000000"/>
              <w:bottom w:val="nil"/>
              <w:right w:val="single" w:sz="8" w:space="0" w:color="auto"/>
            </w:tcBorders>
            <w:noWrap/>
            <w:vAlign w:val="bottom"/>
            <w:hideMark/>
          </w:tcPr>
          <w:p w14:paraId="2A040CE9"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AUTLAN</w:t>
            </w:r>
          </w:p>
        </w:tc>
        <w:tc>
          <w:tcPr>
            <w:tcW w:w="186" w:type="dxa"/>
            <w:noWrap/>
            <w:vAlign w:val="bottom"/>
          </w:tcPr>
          <w:p w14:paraId="7870080E"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7CF1F0E0"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68B2C1E0"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2CC49BFF" w14:textId="77777777" w:rsidR="00526FE9" w:rsidRPr="008762D1" w:rsidRDefault="00526FE9" w:rsidP="002C0F86">
            <w:pPr>
              <w:spacing w:after="0"/>
              <w:rPr>
                <w:rFonts w:ascii="ITC Avant Garde" w:hAnsi="ITC Avant Garde"/>
                <w:color w:val="000000" w:themeColor="text1"/>
                <w:sz w:val="18"/>
              </w:rPr>
            </w:pPr>
          </w:p>
        </w:tc>
      </w:tr>
      <w:tr w:rsidR="008762D1" w:rsidRPr="008762D1" w14:paraId="3ED07A08" w14:textId="77777777" w:rsidTr="00526FE9">
        <w:trPr>
          <w:trHeight w:val="315"/>
          <w:jc w:val="center"/>
        </w:trPr>
        <w:tc>
          <w:tcPr>
            <w:tcW w:w="1167" w:type="dxa"/>
            <w:tcBorders>
              <w:top w:val="nil"/>
              <w:left w:val="single" w:sz="8" w:space="0" w:color="auto"/>
              <w:bottom w:val="nil"/>
              <w:right w:val="nil"/>
            </w:tcBorders>
            <w:noWrap/>
            <w:vAlign w:val="bottom"/>
          </w:tcPr>
          <w:p w14:paraId="015A4E32"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00769235"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5FD3BE04"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CIUDAD GUZMAN</w:t>
            </w:r>
          </w:p>
        </w:tc>
        <w:tc>
          <w:tcPr>
            <w:tcW w:w="186" w:type="dxa"/>
            <w:noWrap/>
            <w:vAlign w:val="bottom"/>
          </w:tcPr>
          <w:p w14:paraId="592D7EB9"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41635394"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1A8A1C7A"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3F732147" w14:textId="77777777" w:rsidR="00526FE9" w:rsidRPr="008762D1" w:rsidRDefault="00526FE9" w:rsidP="002C0F86">
            <w:pPr>
              <w:spacing w:after="0"/>
              <w:rPr>
                <w:rFonts w:ascii="ITC Avant Garde" w:hAnsi="ITC Avant Garde"/>
                <w:color w:val="000000" w:themeColor="text1"/>
                <w:sz w:val="18"/>
              </w:rPr>
            </w:pPr>
          </w:p>
        </w:tc>
      </w:tr>
      <w:tr w:rsidR="008762D1" w:rsidRPr="008762D1" w14:paraId="3C20AF32" w14:textId="77777777" w:rsidTr="00526FE9">
        <w:trPr>
          <w:trHeight w:val="300"/>
          <w:jc w:val="center"/>
        </w:trPr>
        <w:tc>
          <w:tcPr>
            <w:tcW w:w="1167" w:type="dxa"/>
            <w:tcBorders>
              <w:top w:val="nil"/>
              <w:left w:val="single" w:sz="8" w:space="0" w:color="auto"/>
              <w:bottom w:val="nil"/>
              <w:right w:val="nil"/>
            </w:tcBorders>
            <w:noWrap/>
            <w:vAlign w:val="bottom"/>
          </w:tcPr>
          <w:p w14:paraId="5EE66B8E"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48B920F2"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0131AF25"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MANZANILLO</w:t>
            </w:r>
          </w:p>
        </w:tc>
        <w:tc>
          <w:tcPr>
            <w:tcW w:w="186" w:type="dxa"/>
            <w:noWrap/>
            <w:vAlign w:val="bottom"/>
          </w:tcPr>
          <w:p w14:paraId="6A18E000"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57565DBB"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2756AC4C"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431C9F86" w14:textId="77777777" w:rsidR="00526FE9" w:rsidRPr="008762D1" w:rsidRDefault="00526FE9" w:rsidP="002C0F86">
            <w:pPr>
              <w:spacing w:after="0"/>
              <w:rPr>
                <w:rFonts w:ascii="ITC Avant Garde" w:hAnsi="ITC Avant Garde"/>
                <w:color w:val="000000" w:themeColor="text1"/>
                <w:sz w:val="18"/>
              </w:rPr>
            </w:pPr>
          </w:p>
        </w:tc>
      </w:tr>
      <w:tr w:rsidR="008762D1" w:rsidRPr="008762D1" w14:paraId="21A6373B" w14:textId="77777777" w:rsidTr="00526FE9">
        <w:trPr>
          <w:trHeight w:val="300"/>
          <w:jc w:val="center"/>
        </w:trPr>
        <w:tc>
          <w:tcPr>
            <w:tcW w:w="1167" w:type="dxa"/>
            <w:tcBorders>
              <w:top w:val="nil"/>
              <w:left w:val="single" w:sz="8" w:space="0" w:color="auto"/>
              <w:bottom w:val="nil"/>
              <w:right w:val="nil"/>
            </w:tcBorders>
            <w:noWrap/>
            <w:vAlign w:val="bottom"/>
          </w:tcPr>
          <w:p w14:paraId="4CEDF0FF"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5F434CB0"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33E1E4EA"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TECOMAN</w:t>
            </w:r>
          </w:p>
        </w:tc>
        <w:tc>
          <w:tcPr>
            <w:tcW w:w="186" w:type="dxa"/>
            <w:noWrap/>
            <w:vAlign w:val="bottom"/>
          </w:tcPr>
          <w:p w14:paraId="7C17AAD6"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3301DF09"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69D62985"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5803B792" w14:textId="77777777" w:rsidR="00526FE9" w:rsidRPr="008762D1" w:rsidRDefault="00526FE9" w:rsidP="002C0F86">
            <w:pPr>
              <w:spacing w:after="0"/>
              <w:rPr>
                <w:rFonts w:ascii="ITC Avant Garde" w:hAnsi="ITC Avant Garde"/>
                <w:color w:val="000000" w:themeColor="text1"/>
                <w:sz w:val="18"/>
              </w:rPr>
            </w:pPr>
          </w:p>
        </w:tc>
      </w:tr>
      <w:tr w:rsidR="008762D1" w:rsidRPr="008762D1" w14:paraId="7BEA5EBE" w14:textId="77777777" w:rsidTr="00526FE9">
        <w:trPr>
          <w:trHeight w:val="300"/>
          <w:jc w:val="center"/>
        </w:trPr>
        <w:tc>
          <w:tcPr>
            <w:tcW w:w="1167" w:type="dxa"/>
            <w:tcBorders>
              <w:top w:val="nil"/>
              <w:left w:val="single" w:sz="8" w:space="0" w:color="auto"/>
              <w:bottom w:val="nil"/>
              <w:right w:val="nil"/>
            </w:tcBorders>
            <w:noWrap/>
            <w:vAlign w:val="bottom"/>
          </w:tcPr>
          <w:p w14:paraId="00A18816"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4FEE6991"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CULIACAN</w:t>
            </w:r>
          </w:p>
        </w:tc>
        <w:tc>
          <w:tcPr>
            <w:tcW w:w="2268" w:type="dxa"/>
            <w:tcBorders>
              <w:top w:val="single" w:sz="4" w:space="0" w:color="000000"/>
              <w:left w:val="single" w:sz="4" w:space="0" w:color="000000"/>
              <w:bottom w:val="nil"/>
              <w:right w:val="single" w:sz="8" w:space="0" w:color="auto"/>
            </w:tcBorders>
            <w:noWrap/>
            <w:vAlign w:val="bottom"/>
            <w:hideMark/>
          </w:tcPr>
          <w:p w14:paraId="0854B4A6"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GUAMUCHIL</w:t>
            </w:r>
          </w:p>
        </w:tc>
        <w:tc>
          <w:tcPr>
            <w:tcW w:w="186" w:type="dxa"/>
            <w:noWrap/>
            <w:vAlign w:val="bottom"/>
          </w:tcPr>
          <w:p w14:paraId="34A3027F"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6CA392D5"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5A44E745"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20691F81" w14:textId="77777777" w:rsidR="00526FE9" w:rsidRPr="008762D1" w:rsidRDefault="00526FE9" w:rsidP="002C0F86">
            <w:pPr>
              <w:spacing w:after="0"/>
              <w:rPr>
                <w:rFonts w:ascii="ITC Avant Garde" w:hAnsi="ITC Avant Garde"/>
                <w:color w:val="000000" w:themeColor="text1"/>
                <w:sz w:val="18"/>
              </w:rPr>
            </w:pPr>
          </w:p>
        </w:tc>
      </w:tr>
      <w:tr w:rsidR="008762D1" w:rsidRPr="008762D1" w14:paraId="43D29FB6" w14:textId="77777777" w:rsidTr="00526FE9">
        <w:trPr>
          <w:trHeight w:val="300"/>
          <w:jc w:val="center"/>
        </w:trPr>
        <w:tc>
          <w:tcPr>
            <w:tcW w:w="1167" w:type="dxa"/>
            <w:tcBorders>
              <w:top w:val="nil"/>
              <w:left w:val="single" w:sz="8" w:space="0" w:color="auto"/>
              <w:bottom w:val="nil"/>
              <w:right w:val="nil"/>
            </w:tcBorders>
            <w:noWrap/>
            <w:vAlign w:val="bottom"/>
          </w:tcPr>
          <w:p w14:paraId="694198C8"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148F10F1"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4F89B0B0"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NAVOLATO</w:t>
            </w:r>
          </w:p>
        </w:tc>
        <w:tc>
          <w:tcPr>
            <w:tcW w:w="186" w:type="dxa"/>
            <w:noWrap/>
            <w:vAlign w:val="bottom"/>
          </w:tcPr>
          <w:p w14:paraId="704C202F"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337B9985"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27BD5344"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25302A47" w14:textId="77777777" w:rsidR="00526FE9" w:rsidRPr="008762D1" w:rsidRDefault="00526FE9" w:rsidP="002C0F86">
            <w:pPr>
              <w:spacing w:after="0"/>
              <w:rPr>
                <w:rFonts w:ascii="ITC Avant Garde" w:hAnsi="ITC Avant Garde"/>
                <w:color w:val="000000" w:themeColor="text1"/>
                <w:sz w:val="18"/>
              </w:rPr>
            </w:pPr>
          </w:p>
        </w:tc>
      </w:tr>
      <w:tr w:rsidR="008762D1" w:rsidRPr="008762D1" w14:paraId="0CE3D9B8" w14:textId="77777777" w:rsidTr="00526FE9">
        <w:trPr>
          <w:trHeight w:val="300"/>
          <w:jc w:val="center"/>
        </w:trPr>
        <w:tc>
          <w:tcPr>
            <w:tcW w:w="1167" w:type="dxa"/>
            <w:tcBorders>
              <w:top w:val="nil"/>
              <w:left w:val="single" w:sz="8" w:space="0" w:color="auto"/>
              <w:bottom w:val="nil"/>
              <w:right w:val="nil"/>
            </w:tcBorders>
            <w:noWrap/>
            <w:vAlign w:val="bottom"/>
          </w:tcPr>
          <w:p w14:paraId="0245F29F"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507967A5"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HERMOSILLO</w:t>
            </w:r>
          </w:p>
        </w:tc>
        <w:tc>
          <w:tcPr>
            <w:tcW w:w="2268" w:type="dxa"/>
            <w:tcBorders>
              <w:top w:val="single" w:sz="4" w:space="0" w:color="000000"/>
              <w:left w:val="single" w:sz="4" w:space="0" w:color="000000"/>
              <w:bottom w:val="nil"/>
              <w:right w:val="single" w:sz="8" w:space="0" w:color="auto"/>
            </w:tcBorders>
            <w:noWrap/>
            <w:vAlign w:val="bottom"/>
            <w:hideMark/>
          </w:tcPr>
          <w:p w14:paraId="5C8A1363"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GUAYMAS</w:t>
            </w:r>
          </w:p>
        </w:tc>
        <w:tc>
          <w:tcPr>
            <w:tcW w:w="186" w:type="dxa"/>
            <w:noWrap/>
            <w:vAlign w:val="bottom"/>
          </w:tcPr>
          <w:p w14:paraId="3816A3C4"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57957822"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1C2E99B4"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42CB50B4" w14:textId="77777777" w:rsidR="00526FE9" w:rsidRPr="008762D1" w:rsidRDefault="00526FE9" w:rsidP="002C0F86">
            <w:pPr>
              <w:spacing w:after="0"/>
              <w:rPr>
                <w:rFonts w:ascii="ITC Avant Garde" w:hAnsi="ITC Avant Garde"/>
                <w:color w:val="000000" w:themeColor="text1"/>
                <w:sz w:val="18"/>
              </w:rPr>
            </w:pPr>
          </w:p>
        </w:tc>
      </w:tr>
      <w:tr w:rsidR="008762D1" w:rsidRPr="008762D1" w14:paraId="5F837434" w14:textId="77777777" w:rsidTr="00526FE9">
        <w:trPr>
          <w:trHeight w:val="300"/>
          <w:jc w:val="center"/>
        </w:trPr>
        <w:tc>
          <w:tcPr>
            <w:tcW w:w="1167" w:type="dxa"/>
            <w:tcBorders>
              <w:top w:val="nil"/>
              <w:left w:val="single" w:sz="8" w:space="0" w:color="auto"/>
              <w:bottom w:val="nil"/>
              <w:right w:val="nil"/>
            </w:tcBorders>
            <w:noWrap/>
            <w:vAlign w:val="bottom"/>
          </w:tcPr>
          <w:p w14:paraId="1C241088"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2E9AFD16"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GUADALAJARA</w:t>
            </w:r>
          </w:p>
        </w:tc>
        <w:tc>
          <w:tcPr>
            <w:tcW w:w="2268" w:type="dxa"/>
            <w:tcBorders>
              <w:top w:val="single" w:sz="4" w:space="0" w:color="000000"/>
              <w:left w:val="single" w:sz="4" w:space="0" w:color="000000"/>
              <w:bottom w:val="nil"/>
              <w:right w:val="single" w:sz="8" w:space="0" w:color="auto"/>
            </w:tcBorders>
            <w:noWrap/>
            <w:vAlign w:val="bottom"/>
            <w:hideMark/>
          </w:tcPr>
          <w:p w14:paraId="0AEBFA01"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EL SALTO</w:t>
            </w:r>
          </w:p>
        </w:tc>
        <w:tc>
          <w:tcPr>
            <w:tcW w:w="186" w:type="dxa"/>
            <w:noWrap/>
            <w:vAlign w:val="bottom"/>
          </w:tcPr>
          <w:p w14:paraId="19E2B702"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29937582"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190FD565"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0F7A3D04" w14:textId="77777777" w:rsidR="00526FE9" w:rsidRPr="008762D1" w:rsidRDefault="00526FE9" w:rsidP="002C0F86">
            <w:pPr>
              <w:spacing w:after="0"/>
              <w:rPr>
                <w:rFonts w:ascii="ITC Avant Garde" w:hAnsi="ITC Avant Garde"/>
                <w:color w:val="000000" w:themeColor="text1"/>
                <w:sz w:val="18"/>
              </w:rPr>
            </w:pPr>
          </w:p>
        </w:tc>
      </w:tr>
      <w:tr w:rsidR="008762D1" w:rsidRPr="008762D1" w14:paraId="7AE483A4" w14:textId="77777777" w:rsidTr="00526FE9">
        <w:trPr>
          <w:trHeight w:val="300"/>
          <w:jc w:val="center"/>
        </w:trPr>
        <w:tc>
          <w:tcPr>
            <w:tcW w:w="1167" w:type="dxa"/>
            <w:tcBorders>
              <w:top w:val="nil"/>
              <w:left w:val="single" w:sz="8" w:space="0" w:color="auto"/>
              <w:bottom w:val="nil"/>
              <w:right w:val="nil"/>
            </w:tcBorders>
            <w:noWrap/>
            <w:vAlign w:val="bottom"/>
          </w:tcPr>
          <w:p w14:paraId="510DE01B"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1C5B5742"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772F4495"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AMECA</w:t>
            </w:r>
          </w:p>
        </w:tc>
        <w:tc>
          <w:tcPr>
            <w:tcW w:w="186" w:type="dxa"/>
            <w:noWrap/>
            <w:vAlign w:val="bottom"/>
          </w:tcPr>
          <w:p w14:paraId="6B66FE83"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693EE77E"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2D43A903"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17B7A292" w14:textId="77777777" w:rsidR="00526FE9" w:rsidRPr="008762D1" w:rsidRDefault="00526FE9" w:rsidP="002C0F86">
            <w:pPr>
              <w:spacing w:after="0"/>
              <w:rPr>
                <w:rFonts w:ascii="ITC Avant Garde" w:hAnsi="ITC Avant Garde"/>
                <w:color w:val="000000" w:themeColor="text1"/>
                <w:sz w:val="18"/>
              </w:rPr>
            </w:pPr>
          </w:p>
        </w:tc>
      </w:tr>
      <w:tr w:rsidR="008762D1" w:rsidRPr="008762D1" w14:paraId="406E772A" w14:textId="77777777" w:rsidTr="00526FE9">
        <w:trPr>
          <w:trHeight w:val="300"/>
          <w:jc w:val="center"/>
        </w:trPr>
        <w:tc>
          <w:tcPr>
            <w:tcW w:w="1167" w:type="dxa"/>
            <w:tcBorders>
              <w:top w:val="nil"/>
              <w:left w:val="single" w:sz="8" w:space="0" w:color="auto"/>
              <w:bottom w:val="nil"/>
              <w:right w:val="nil"/>
            </w:tcBorders>
            <w:noWrap/>
            <w:vAlign w:val="bottom"/>
          </w:tcPr>
          <w:p w14:paraId="2B9B2B28"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7AD36BAE"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1BD6DD5C"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CHAPALA</w:t>
            </w:r>
          </w:p>
        </w:tc>
        <w:tc>
          <w:tcPr>
            <w:tcW w:w="186" w:type="dxa"/>
            <w:noWrap/>
            <w:vAlign w:val="bottom"/>
          </w:tcPr>
          <w:p w14:paraId="1CF6E2AC"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4662A891"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51E99279"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08A516F5" w14:textId="77777777" w:rsidR="00526FE9" w:rsidRPr="008762D1" w:rsidRDefault="00526FE9" w:rsidP="002C0F86">
            <w:pPr>
              <w:spacing w:after="0"/>
              <w:rPr>
                <w:rFonts w:ascii="ITC Avant Garde" w:hAnsi="ITC Avant Garde"/>
                <w:color w:val="000000" w:themeColor="text1"/>
                <w:sz w:val="18"/>
              </w:rPr>
            </w:pPr>
          </w:p>
        </w:tc>
      </w:tr>
      <w:tr w:rsidR="008762D1" w:rsidRPr="008762D1" w14:paraId="7A853227" w14:textId="77777777" w:rsidTr="00526FE9">
        <w:trPr>
          <w:trHeight w:val="300"/>
          <w:jc w:val="center"/>
        </w:trPr>
        <w:tc>
          <w:tcPr>
            <w:tcW w:w="1167" w:type="dxa"/>
            <w:tcBorders>
              <w:top w:val="nil"/>
              <w:left w:val="single" w:sz="8" w:space="0" w:color="auto"/>
              <w:bottom w:val="nil"/>
              <w:right w:val="nil"/>
            </w:tcBorders>
            <w:noWrap/>
            <w:vAlign w:val="bottom"/>
          </w:tcPr>
          <w:p w14:paraId="68DE6F01"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38557705"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41C3C5BF"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LAGOS DE MORENO</w:t>
            </w:r>
          </w:p>
        </w:tc>
        <w:tc>
          <w:tcPr>
            <w:tcW w:w="186" w:type="dxa"/>
            <w:noWrap/>
            <w:vAlign w:val="bottom"/>
          </w:tcPr>
          <w:p w14:paraId="0E85FC71"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45323C8A"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33494A88"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1DBD196D" w14:textId="77777777" w:rsidR="00526FE9" w:rsidRPr="008762D1" w:rsidRDefault="00526FE9" w:rsidP="002C0F86">
            <w:pPr>
              <w:spacing w:after="0"/>
              <w:rPr>
                <w:rFonts w:ascii="ITC Avant Garde" w:hAnsi="ITC Avant Garde"/>
                <w:color w:val="000000" w:themeColor="text1"/>
                <w:sz w:val="18"/>
              </w:rPr>
            </w:pPr>
          </w:p>
        </w:tc>
      </w:tr>
      <w:tr w:rsidR="008762D1" w:rsidRPr="008762D1" w14:paraId="0627C8A7" w14:textId="77777777" w:rsidTr="00526FE9">
        <w:trPr>
          <w:trHeight w:val="300"/>
          <w:jc w:val="center"/>
        </w:trPr>
        <w:tc>
          <w:tcPr>
            <w:tcW w:w="1167" w:type="dxa"/>
            <w:tcBorders>
              <w:top w:val="nil"/>
              <w:left w:val="single" w:sz="8" w:space="0" w:color="auto"/>
              <w:bottom w:val="nil"/>
              <w:right w:val="nil"/>
            </w:tcBorders>
            <w:noWrap/>
            <w:vAlign w:val="bottom"/>
          </w:tcPr>
          <w:p w14:paraId="62E1EDEA"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10710BA5"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5BD8600D"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OCOTLAN</w:t>
            </w:r>
          </w:p>
        </w:tc>
        <w:tc>
          <w:tcPr>
            <w:tcW w:w="186" w:type="dxa"/>
            <w:noWrap/>
            <w:vAlign w:val="bottom"/>
          </w:tcPr>
          <w:p w14:paraId="16E9CBE2"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223F6BEE"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761C403B"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34D90F2C" w14:textId="77777777" w:rsidR="00526FE9" w:rsidRPr="008762D1" w:rsidRDefault="00526FE9" w:rsidP="002C0F86">
            <w:pPr>
              <w:spacing w:after="0"/>
              <w:rPr>
                <w:rFonts w:ascii="ITC Avant Garde" w:hAnsi="ITC Avant Garde"/>
                <w:color w:val="000000" w:themeColor="text1"/>
                <w:sz w:val="18"/>
              </w:rPr>
            </w:pPr>
          </w:p>
        </w:tc>
      </w:tr>
      <w:tr w:rsidR="008762D1" w:rsidRPr="008762D1" w14:paraId="205E3632" w14:textId="77777777" w:rsidTr="00526FE9">
        <w:trPr>
          <w:trHeight w:val="300"/>
          <w:jc w:val="center"/>
        </w:trPr>
        <w:tc>
          <w:tcPr>
            <w:tcW w:w="1167" w:type="dxa"/>
            <w:tcBorders>
              <w:top w:val="nil"/>
              <w:left w:val="single" w:sz="8" w:space="0" w:color="auto"/>
              <w:bottom w:val="nil"/>
              <w:right w:val="nil"/>
            </w:tcBorders>
            <w:noWrap/>
            <w:vAlign w:val="bottom"/>
          </w:tcPr>
          <w:p w14:paraId="3F4974F3"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001876A8"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458CBF7B"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SAN JUAN DE LOS LAGOS</w:t>
            </w:r>
          </w:p>
        </w:tc>
        <w:tc>
          <w:tcPr>
            <w:tcW w:w="186" w:type="dxa"/>
            <w:noWrap/>
            <w:vAlign w:val="bottom"/>
          </w:tcPr>
          <w:p w14:paraId="439AB138"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208D8929"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70D3BF3C"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065C5CBB" w14:textId="77777777" w:rsidR="00526FE9" w:rsidRPr="008762D1" w:rsidRDefault="00526FE9" w:rsidP="002C0F86">
            <w:pPr>
              <w:spacing w:after="0"/>
              <w:rPr>
                <w:rFonts w:ascii="ITC Avant Garde" w:hAnsi="ITC Avant Garde"/>
                <w:color w:val="000000" w:themeColor="text1"/>
                <w:sz w:val="18"/>
              </w:rPr>
            </w:pPr>
          </w:p>
        </w:tc>
      </w:tr>
      <w:tr w:rsidR="008762D1" w:rsidRPr="008762D1" w14:paraId="1F27C9F5" w14:textId="77777777" w:rsidTr="00526FE9">
        <w:trPr>
          <w:trHeight w:val="300"/>
          <w:jc w:val="center"/>
        </w:trPr>
        <w:tc>
          <w:tcPr>
            <w:tcW w:w="1167" w:type="dxa"/>
            <w:tcBorders>
              <w:top w:val="nil"/>
              <w:left w:val="single" w:sz="8" w:space="0" w:color="auto"/>
              <w:bottom w:val="nil"/>
              <w:right w:val="nil"/>
            </w:tcBorders>
            <w:noWrap/>
            <w:vAlign w:val="bottom"/>
          </w:tcPr>
          <w:p w14:paraId="5951E1D9"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355218D3"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298F2C13"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TEPATITLAN</w:t>
            </w:r>
          </w:p>
        </w:tc>
        <w:tc>
          <w:tcPr>
            <w:tcW w:w="186" w:type="dxa"/>
            <w:noWrap/>
            <w:vAlign w:val="bottom"/>
          </w:tcPr>
          <w:p w14:paraId="749A8B13"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67D63E41"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211F2240"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4271B489" w14:textId="77777777" w:rsidR="00526FE9" w:rsidRPr="008762D1" w:rsidRDefault="00526FE9" w:rsidP="002C0F86">
            <w:pPr>
              <w:spacing w:after="0"/>
              <w:rPr>
                <w:rFonts w:ascii="ITC Avant Garde" w:hAnsi="ITC Avant Garde"/>
                <w:color w:val="000000" w:themeColor="text1"/>
                <w:sz w:val="18"/>
              </w:rPr>
            </w:pPr>
          </w:p>
        </w:tc>
      </w:tr>
      <w:tr w:rsidR="008762D1" w:rsidRPr="008762D1" w14:paraId="345E0C03" w14:textId="77777777" w:rsidTr="00526FE9">
        <w:trPr>
          <w:trHeight w:val="300"/>
          <w:jc w:val="center"/>
        </w:trPr>
        <w:tc>
          <w:tcPr>
            <w:tcW w:w="1167" w:type="dxa"/>
            <w:tcBorders>
              <w:top w:val="nil"/>
              <w:left w:val="single" w:sz="8" w:space="0" w:color="auto"/>
              <w:bottom w:val="nil"/>
              <w:right w:val="nil"/>
            </w:tcBorders>
            <w:noWrap/>
            <w:vAlign w:val="bottom"/>
          </w:tcPr>
          <w:p w14:paraId="547B7BD8"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204ADE05"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LA PAZ</w:t>
            </w:r>
          </w:p>
        </w:tc>
        <w:tc>
          <w:tcPr>
            <w:tcW w:w="2268" w:type="dxa"/>
            <w:tcBorders>
              <w:top w:val="single" w:sz="4" w:space="0" w:color="000000"/>
              <w:left w:val="single" w:sz="4" w:space="0" w:color="000000"/>
              <w:bottom w:val="nil"/>
              <w:right w:val="single" w:sz="8" w:space="0" w:color="auto"/>
            </w:tcBorders>
            <w:noWrap/>
            <w:vAlign w:val="bottom"/>
            <w:hideMark/>
          </w:tcPr>
          <w:p w14:paraId="73342368"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CIUDAD CONSTITUCION</w:t>
            </w:r>
          </w:p>
        </w:tc>
        <w:tc>
          <w:tcPr>
            <w:tcW w:w="186" w:type="dxa"/>
            <w:noWrap/>
            <w:vAlign w:val="bottom"/>
          </w:tcPr>
          <w:p w14:paraId="323F3276"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3D7F9F13"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64067D4F"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68021EA2" w14:textId="77777777" w:rsidR="00526FE9" w:rsidRPr="008762D1" w:rsidRDefault="00526FE9" w:rsidP="002C0F86">
            <w:pPr>
              <w:spacing w:after="0"/>
              <w:rPr>
                <w:rFonts w:ascii="ITC Avant Garde" w:hAnsi="ITC Avant Garde"/>
                <w:color w:val="000000" w:themeColor="text1"/>
                <w:sz w:val="18"/>
              </w:rPr>
            </w:pPr>
          </w:p>
        </w:tc>
      </w:tr>
      <w:tr w:rsidR="008762D1" w:rsidRPr="008762D1" w14:paraId="371F0D63" w14:textId="77777777" w:rsidTr="00526FE9">
        <w:trPr>
          <w:trHeight w:val="300"/>
          <w:jc w:val="center"/>
        </w:trPr>
        <w:tc>
          <w:tcPr>
            <w:tcW w:w="1167" w:type="dxa"/>
            <w:tcBorders>
              <w:top w:val="nil"/>
              <w:left w:val="single" w:sz="8" w:space="0" w:color="auto"/>
              <w:bottom w:val="nil"/>
              <w:right w:val="nil"/>
            </w:tcBorders>
            <w:noWrap/>
            <w:vAlign w:val="bottom"/>
          </w:tcPr>
          <w:p w14:paraId="16FF9CCB"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672ED915"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0B4AE375"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SAN JOSE DEL CABO</w:t>
            </w:r>
          </w:p>
        </w:tc>
        <w:tc>
          <w:tcPr>
            <w:tcW w:w="186" w:type="dxa"/>
            <w:noWrap/>
            <w:vAlign w:val="bottom"/>
          </w:tcPr>
          <w:p w14:paraId="5304B766"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76FCB139"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5727CA7F"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2C904E78" w14:textId="77777777" w:rsidR="00526FE9" w:rsidRPr="008762D1" w:rsidRDefault="00526FE9" w:rsidP="002C0F86">
            <w:pPr>
              <w:spacing w:after="0"/>
              <w:rPr>
                <w:rFonts w:ascii="ITC Avant Garde" w:hAnsi="ITC Avant Garde"/>
                <w:color w:val="000000" w:themeColor="text1"/>
                <w:sz w:val="18"/>
              </w:rPr>
            </w:pPr>
          </w:p>
        </w:tc>
      </w:tr>
      <w:tr w:rsidR="008762D1" w:rsidRPr="008762D1" w14:paraId="4CFE9FAC" w14:textId="77777777" w:rsidTr="00526FE9">
        <w:trPr>
          <w:trHeight w:val="300"/>
          <w:jc w:val="center"/>
        </w:trPr>
        <w:tc>
          <w:tcPr>
            <w:tcW w:w="1167" w:type="dxa"/>
            <w:tcBorders>
              <w:top w:val="nil"/>
              <w:left w:val="single" w:sz="8" w:space="0" w:color="auto"/>
              <w:bottom w:val="nil"/>
              <w:right w:val="nil"/>
            </w:tcBorders>
            <w:noWrap/>
            <w:vAlign w:val="bottom"/>
          </w:tcPr>
          <w:p w14:paraId="3D5166DB"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76E3BBDE"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19AB2B76"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SANTA ROSALIA</w:t>
            </w:r>
          </w:p>
        </w:tc>
        <w:tc>
          <w:tcPr>
            <w:tcW w:w="186" w:type="dxa"/>
            <w:noWrap/>
            <w:vAlign w:val="bottom"/>
          </w:tcPr>
          <w:p w14:paraId="56AF126D"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1562C128"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0898E20B"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6C24708C" w14:textId="77777777" w:rsidR="00526FE9" w:rsidRPr="008762D1" w:rsidRDefault="00526FE9" w:rsidP="002C0F86">
            <w:pPr>
              <w:spacing w:after="0"/>
              <w:rPr>
                <w:rFonts w:ascii="ITC Avant Garde" w:hAnsi="ITC Avant Garde"/>
                <w:color w:val="000000" w:themeColor="text1"/>
                <w:sz w:val="18"/>
              </w:rPr>
            </w:pPr>
          </w:p>
        </w:tc>
      </w:tr>
      <w:tr w:rsidR="008762D1" w:rsidRPr="008762D1" w14:paraId="65477F2E" w14:textId="77777777" w:rsidTr="00526FE9">
        <w:trPr>
          <w:trHeight w:val="300"/>
          <w:jc w:val="center"/>
        </w:trPr>
        <w:tc>
          <w:tcPr>
            <w:tcW w:w="1167" w:type="dxa"/>
            <w:tcBorders>
              <w:top w:val="nil"/>
              <w:left w:val="single" w:sz="8" w:space="0" w:color="auto"/>
              <w:bottom w:val="nil"/>
              <w:right w:val="nil"/>
            </w:tcBorders>
            <w:noWrap/>
            <w:vAlign w:val="bottom"/>
          </w:tcPr>
          <w:p w14:paraId="5F406A37"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4537ACED"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LOS MOCHIS</w:t>
            </w:r>
          </w:p>
        </w:tc>
        <w:tc>
          <w:tcPr>
            <w:tcW w:w="2268" w:type="dxa"/>
            <w:tcBorders>
              <w:top w:val="single" w:sz="4" w:space="0" w:color="000000"/>
              <w:left w:val="single" w:sz="4" w:space="0" w:color="000000"/>
              <w:bottom w:val="nil"/>
              <w:right w:val="single" w:sz="8" w:space="0" w:color="auto"/>
            </w:tcBorders>
            <w:noWrap/>
            <w:vAlign w:val="bottom"/>
            <w:hideMark/>
          </w:tcPr>
          <w:p w14:paraId="03F1DDFD"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GUASAVE</w:t>
            </w:r>
          </w:p>
        </w:tc>
        <w:tc>
          <w:tcPr>
            <w:tcW w:w="186" w:type="dxa"/>
            <w:noWrap/>
            <w:vAlign w:val="bottom"/>
          </w:tcPr>
          <w:p w14:paraId="70DDD6E0"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09893069"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6F12E84F"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4367196F" w14:textId="77777777" w:rsidR="00526FE9" w:rsidRPr="008762D1" w:rsidRDefault="00526FE9" w:rsidP="002C0F86">
            <w:pPr>
              <w:spacing w:after="0"/>
              <w:rPr>
                <w:rFonts w:ascii="ITC Avant Garde" w:hAnsi="ITC Avant Garde"/>
                <w:color w:val="000000" w:themeColor="text1"/>
                <w:sz w:val="18"/>
              </w:rPr>
            </w:pPr>
          </w:p>
        </w:tc>
      </w:tr>
      <w:tr w:rsidR="008762D1" w:rsidRPr="008762D1" w14:paraId="328E2E03" w14:textId="77777777" w:rsidTr="00526FE9">
        <w:trPr>
          <w:trHeight w:val="300"/>
          <w:jc w:val="center"/>
        </w:trPr>
        <w:tc>
          <w:tcPr>
            <w:tcW w:w="1167" w:type="dxa"/>
            <w:tcBorders>
              <w:top w:val="nil"/>
              <w:left w:val="single" w:sz="8" w:space="0" w:color="auto"/>
              <w:bottom w:val="nil"/>
              <w:right w:val="nil"/>
            </w:tcBorders>
            <w:noWrap/>
            <w:vAlign w:val="bottom"/>
          </w:tcPr>
          <w:p w14:paraId="02E6E8F9"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single" w:sz="4" w:space="0" w:color="000000"/>
              <w:left w:val="single" w:sz="4" w:space="0" w:color="000000"/>
              <w:bottom w:val="nil"/>
              <w:right w:val="nil"/>
            </w:tcBorders>
            <w:noWrap/>
            <w:vAlign w:val="bottom"/>
            <w:hideMark/>
          </w:tcPr>
          <w:p w14:paraId="6F844317"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MORELIA</w:t>
            </w:r>
          </w:p>
        </w:tc>
        <w:tc>
          <w:tcPr>
            <w:tcW w:w="2268" w:type="dxa"/>
            <w:tcBorders>
              <w:top w:val="single" w:sz="4" w:space="0" w:color="000000"/>
              <w:left w:val="single" w:sz="4" w:space="0" w:color="000000"/>
              <w:bottom w:val="nil"/>
              <w:right w:val="single" w:sz="8" w:space="0" w:color="auto"/>
            </w:tcBorders>
            <w:noWrap/>
            <w:vAlign w:val="bottom"/>
            <w:hideMark/>
          </w:tcPr>
          <w:p w14:paraId="400EB0C2"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APATZINGAN</w:t>
            </w:r>
          </w:p>
        </w:tc>
        <w:tc>
          <w:tcPr>
            <w:tcW w:w="186" w:type="dxa"/>
            <w:noWrap/>
            <w:vAlign w:val="bottom"/>
          </w:tcPr>
          <w:p w14:paraId="0E9FE682"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275ACF83"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61D7969A"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26B96CC3" w14:textId="77777777" w:rsidR="00526FE9" w:rsidRPr="008762D1" w:rsidRDefault="00526FE9" w:rsidP="002C0F86">
            <w:pPr>
              <w:spacing w:after="0"/>
              <w:rPr>
                <w:rFonts w:ascii="ITC Avant Garde" w:hAnsi="ITC Avant Garde"/>
                <w:color w:val="000000" w:themeColor="text1"/>
                <w:sz w:val="18"/>
              </w:rPr>
            </w:pPr>
          </w:p>
        </w:tc>
      </w:tr>
      <w:tr w:rsidR="008762D1" w:rsidRPr="008762D1" w14:paraId="3A33B000" w14:textId="77777777" w:rsidTr="00526FE9">
        <w:trPr>
          <w:trHeight w:val="300"/>
          <w:jc w:val="center"/>
        </w:trPr>
        <w:tc>
          <w:tcPr>
            <w:tcW w:w="1167" w:type="dxa"/>
            <w:tcBorders>
              <w:top w:val="nil"/>
              <w:left w:val="single" w:sz="8" w:space="0" w:color="auto"/>
              <w:bottom w:val="nil"/>
              <w:right w:val="nil"/>
            </w:tcBorders>
            <w:noWrap/>
            <w:vAlign w:val="bottom"/>
          </w:tcPr>
          <w:p w14:paraId="1387F346"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618C7129"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63DE1C97"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CIUDAD HIDALGO</w:t>
            </w:r>
          </w:p>
        </w:tc>
        <w:tc>
          <w:tcPr>
            <w:tcW w:w="186" w:type="dxa"/>
            <w:noWrap/>
            <w:vAlign w:val="bottom"/>
          </w:tcPr>
          <w:p w14:paraId="5AFBBFDE"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06FCA0E3"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24B4D3E5"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4831D135" w14:textId="77777777" w:rsidR="00526FE9" w:rsidRPr="008762D1" w:rsidRDefault="00526FE9" w:rsidP="002C0F86">
            <w:pPr>
              <w:spacing w:after="0"/>
              <w:rPr>
                <w:rFonts w:ascii="ITC Avant Garde" w:hAnsi="ITC Avant Garde"/>
                <w:color w:val="000000" w:themeColor="text1"/>
                <w:sz w:val="18"/>
              </w:rPr>
            </w:pPr>
          </w:p>
        </w:tc>
      </w:tr>
      <w:tr w:rsidR="008762D1" w:rsidRPr="008762D1" w14:paraId="03B98627" w14:textId="77777777" w:rsidTr="00526FE9">
        <w:trPr>
          <w:trHeight w:val="300"/>
          <w:jc w:val="center"/>
        </w:trPr>
        <w:tc>
          <w:tcPr>
            <w:tcW w:w="1167" w:type="dxa"/>
            <w:tcBorders>
              <w:top w:val="nil"/>
              <w:left w:val="single" w:sz="8" w:space="0" w:color="auto"/>
              <w:bottom w:val="nil"/>
              <w:right w:val="nil"/>
            </w:tcBorders>
            <w:noWrap/>
            <w:vAlign w:val="bottom"/>
          </w:tcPr>
          <w:p w14:paraId="6BF3D05B"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038D2388"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5898BE3E"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CIUDAD LAZARO CARDENAS</w:t>
            </w:r>
          </w:p>
        </w:tc>
        <w:tc>
          <w:tcPr>
            <w:tcW w:w="186" w:type="dxa"/>
            <w:noWrap/>
            <w:vAlign w:val="bottom"/>
          </w:tcPr>
          <w:p w14:paraId="76C7464F"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55E13338"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3B76C230"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560472EB" w14:textId="77777777" w:rsidR="00526FE9" w:rsidRPr="008762D1" w:rsidRDefault="00526FE9" w:rsidP="002C0F86">
            <w:pPr>
              <w:spacing w:after="0"/>
              <w:rPr>
                <w:rFonts w:ascii="ITC Avant Garde" w:hAnsi="ITC Avant Garde"/>
                <w:color w:val="000000" w:themeColor="text1"/>
                <w:sz w:val="18"/>
              </w:rPr>
            </w:pPr>
          </w:p>
        </w:tc>
      </w:tr>
      <w:tr w:rsidR="008762D1" w:rsidRPr="008762D1" w14:paraId="52CE22D9" w14:textId="77777777" w:rsidTr="00526FE9">
        <w:trPr>
          <w:trHeight w:val="300"/>
          <w:jc w:val="center"/>
        </w:trPr>
        <w:tc>
          <w:tcPr>
            <w:tcW w:w="1167" w:type="dxa"/>
            <w:tcBorders>
              <w:top w:val="nil"/>
              <w:left w:val="single" w:sz="8" w:space="0" w:color="auto"/>
              <w:bottom w:val="nil"/>
              <w:right w:val="nil"/>
            </w:tcBorders>
            <w:noWrap/>
            <w:vAlign w:val="bottom"/>
          </w:tcPr>
          <w:p w14:paraId="7F5C4567"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11DF8C50"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48169155"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PATZCUARO</w:t>
            </w:r>
          </w:p>
        </w:tc>
        <w:tc>
          <w:tcPr>
            <w:tcW w:w="186" w:type="dxa"/>
            <w:noWrap/>
            <w:vAlign w:val="bottom"/>
          </w:tcPr>
          <w:p w14:paraId="24D25388"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33DB403B"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7D3BD745"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7BBE68F9" w14:textId="77777777" w:rsidR="00526FE9" w:rsidRPr="008762D1" w:rsidRDefault="00526FE9" w:rsidP="002C0F86">
            <w:pPr>
              <w:spacing w:after="0"/>
              <w:rPr>
                <w:rFonts w:ascii="ITC Avant Garde" w:hAnsi="ITC Avant Garde"/>
                <w:color w:val="000000" w:themeColor="text1"/>
                <w:sz w:val="18"/>
              </w:rPr>
            </w:pPr>
          </w:p>
        </w:tc>
      </w:tr>
      <w:tr w:rsidR="008762D1" w:rsidRPr="008762D1" w14:paraId="1AE80A08" w14:textId="77777777" w:rsidTr="00526FE9">
        <w:trPr>
          <w:trHeight w:val="300"/>
          <w:jc w:val="center"/>
        </w:trPr>
        <w:tc>
          <w:tcPr>
            <w:tcW w:w="1167" w:type="dxa"/>
            <w:tcBorders>
              <w:top w:val="nil"/>
              <w:left w:val="single" w:sz="8" w:space="0" w:color="auto"/>
              <w:bottom w:val="nil"/>
              <w:right w:val="nil"/>
            </w:tcBorders>
            <w:noWrap/>
            <w:vAlign w:val="bottom"/>
          </w:tcPr>
          <w:p w14:paraId="491BCB8E"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4A5CCF91"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6593C45E"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PURUANDIRO</w:t>
            </w:r>
          </w:p>
        </w:tc>
        <w:tc>
          <w:tcPr>
            <w:tcW w:w="186" w:type="dxa"/>
            <w:noWrap/>
            <w:vAlign w:val="bottom"/>
          </w:tcPr>
          <w:p w14:paraId="70E12A0E"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0917481C"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5D3618BC"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7F5FD7D5" w14:textId="77777777" w:rsidR="00526FE9" w:rsidRPr="008762D1" w:rsidRDefault="00526FE9" w:rsidP="002C0F86">
            <w:pPr>
              <w:spacing w:after="0"/>
              <w:rPr>
                <w:rFonts w:ascii="ITC Avant Garde" w:hAnsi="ITC Avant Garde"/>
                <w:color w:val="000000" w:themeColor="text1"/>
                <w:sz w:val="18"/>
              </w:rPr>
            </w:pPr>
          </w:p>
        </w:tc>
      </w:tr>
      <w:tr w:rsidR="008762D1" w:rsidRPr="008762D1" w14:paraId="2012AEC3" w14:textId="77777777" w:rsidTr="00526FE9">
        <w:trPr>
          <w:trHeight w:val="300"/>
          <w:jc w:val="center"/>
        </w:trPr>
        <w:tc>
          <w:tcPr>
            <w:tcW w:w="1167" w:type="dxa"/>
            <w:tcBorders>
              <w:top w:val="nil"/>
              <w:left w:val="single" w:sz="8" w:space="0" w:color="auto"/>
              <w:bottom w:val="nil"/>
              <w:right w:val="nil"/>
            </w:tcBorders>
            <w:noWrap/>
            <w:vAlign w:val="bottom"/>
          </w:tcPr>
          <w:p w14:paraId="52D58DED"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65B29FB4"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10A597BB"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URUAPAN</w:t>
            </w:r>
          </w:p>
        </w:tc>
        <w:tc>
          <w:tcPr>
            <w:tcW w:w="186" w:type="dxa"/>
            <w:noWrap/>
            <w:vAlign w:val="bottom"/>
          </w:tcPr>
          <w:p w14:paraId="3BBAA485"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02465604"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5F5E86CE"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4866853F" w14:textId="77777777" w:rsidR="00526FE9" w:rsidRPr="008762D1" w:rsidRDefault="00526FE9" w:rsidP="002C0F86">
            <w:pPr>
              <w:spacing w:after="0"/>
              <w:rPr>
                <w:rFonts w:ascii="ITC Avant Garde" w:hAnsi="ITC Avant Garde"/>
                <w:color w:val="000000" w:themeColor="text1"/>
                <w:sz w:val="18"/>
              </w:rPr>
            </w:pPr>
          </w:p>
        </w:tc>
      </w:tr>
      <w:tr w:rsidR="008762D1" w:rsidRPr="008762D1" w14:paraId="303B53CA" w14:textId="77777777" w:rsidTr="00526FE9">
        <w:trPr>
          <w:trHeight w:val="300"/>
          <w:jc w:val="center"/>
        </w:trPr>
        <w:tc>
          <w:tcPr>
            <w:tcW w:w="1167" w:type="dxa"/>
            <w:tcBorders>
              <w:top w:val="nil"/>
              <w:left w:val="single" w:sz="8" w:space="0" w:color="auto"/>
              <w:bottom w:val="nil"/>
              <w:right w:val="nil"/>
            </w:tcBorders>
            <w:noWrap/>
            <w:vAlign w:val="bottom"/>
          </w:tcPr>
          <w:p w14:paraId="07C71F66"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nil"/>
              <w:right w:val="nil"/>
            </w:tcBorders>
            <w:noWrap/>
            <w:vAlign w:val="bottom"/>
          </w:tcPr>
          <w:p w14:paraId="7D0C3423"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nil"/>
              <w:right w:val="single" w:sz="8" w:space="0" w:color="auto"/>
            </w:tcBorders>
            <w:noWrap/>
            <w:vAlign w:val="bottom"/>
            <w:hideMark/>
          </w:tcPr>
          <w:p w14:paraId="583929BC"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ZACAPU</w:t>
            </w:r>
          </w:p>
        </w:tc>
        <w:tc>
          <w:tcPr>
            <w:tcW w:w="186" w:type="dxa"/>
            <w:noWrap/>
            <w:vAlign w:val="bottom"/>
          </w:tcPr>
          <w:p w14:paraId="2402F76D"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20DADA2E"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06F0D86D"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60AB8C89" w14:textId="77777777" w:rsidR="00526FE9" w:rsidRPr="008762D1" w:rsidRDefault="00526FE9" w:rsidP="002C0F86">
            <w:pPr>
              <w:spacing w:after="0"/>
              <w:rPr>
                <w:rFonts w:ascii="ITC Avant Garde" w:hAnsi="ITC Avant Garde"/>
                <w:color w:val="000000" w:themeColor="text1"/>
                <w:sz w:val="18"/>
              </w:rPr>
            </w:pPr>
          </w:p>
        </w:tc>
      </w:tr>
      <w:tr w:rsidR="00526FE9" w:rsidRPr="008762D1" w14:paraId="0C41422C" w14:textId="77777777" w:rsidTr="00526FE9">
        <w:trPr>
          <w:trHeight w:val="315"/>
          <w:jc w:val="center"/>
        </w:trPr>
        <w:tc>
          <w:tcPr>
            <w:tcW w:w="1167" w:type="dxa"/>
            <w:tcBorders>
              <w:top w:val="nil"/>
              <w:left w:val="single" w:sz="8" w:space="0" w:color="auto"/>
              <w:bottom w:val="single" w:sz="8" w:space="0" w:color="auto"/>
              <w:right w:val="nil"/>
            </w:tcBorders>
            <w:noWrap/>
            <w:vAlign w:val="bottom"/>
          </w:tcPr>
          <w:p w14:paraId="6F0A3510" w14:textId="77777777" w:rsidR="00526FE9" w:rsidRPr="008762D1" w:rsidRDefault="00526FE9" w:rsidP="002C0F86">
            <w:pPr>
              <w:spacing w:after="0"/>
              <w:rPr>
                <w:rFonts w:ascii="ITC Avant Garde" w:hAnsi="ITC Avant Garde"/>
                <w:color w:val="000000" w:themeColor="text1"/>
                <w:sz w:val="18"/>
              </w:rPr>
            </w:pPr>
          </w:p>
        </w:tc>
        <w:tc>
          <w:tcPr>
            <w:tcW w:w="2128" w:type="dxa"/>
            <w:tcBorders>
              <w:top w:val="nil"/>
              <w:left w:val="single" w:sz="4" w:space="0" w:color="000000"/>
              <w:bottom w:val="single" w:sz="8" w:space="0" w:color="auto"/>
              <w:right w:val="nil"/>
            </w:tcBorders>
            <w:noWrap/>
            <w:vAlign w:val="bottom"/>
          </w:tcPr>
          <w:p w14:paraId="75A287FE" w14:textId="77777777" w:rsidR="00526FE9" w:rsidRPr="008762D1" w:rsidRDefault="00526FE9" w:rsidP="002C0F86">
            <w:pPr>
              <w:spacing w:after="0"/>
              <w:rPr>
                <w:rFonts w:ascii="ITC Avant Garde" w:hAnsi="ITC Avant Garde"/>
                <w:color w:val="000000" w:themeColor="text1"/>
                <w:sz w:val="18"/>
              </w:rPr>
            </w:pPr>
          </w:p>
        </w:tc>
        <w:tc>
          <w:tcPr>
            <w:tcW w:w="2268" w:type="dxa"/>
            <w:tcBorders>
              <w:top w:val="nil"/>
              <w:left w:val="single" w:sz="4" w:space="0" w:color="000000"/>
              <w:bottom w:val="single" w:sz="8" w:space="0" w:color="auto"/>
              <w:right w:val="single" w:sz="8" w:space="0" w:color="auto"/>
            </w:tcBorders>
            <w:noWrap/>
            <w:vAlign w:val="bottom"/>
            <w:hideMark/>
          </w:tcPr>
          <w:p w14:paraId="77480BBD" w14:textId="77777777" w:rsidR="00526FE9" w:rsidRPr="008762D1" w:rsidRDefault="00526FE9" w:rsidP="002C0F86">
            <w:pPr>
              <w:spacing w:after="0"/>
              <w:rPr>
                <w:rFonts w:ascii="ITC Avant Garde" w:hAnsi="ITC Avant Garde"/>
                <w:color w:val="000000" w:themeColor="text1"/>
                <w:sz w:val="18"/>
              </w:rPr>
            </w:pPr>
            <w:r w:rsidRPr="008762D1">
              <w:rPr>
                <w:rFonts w:ascii="ITC Avant Garde" w:hAnsi="ITC Avant Garde"/>
                <w:color w:val="000000" w:themeColor="text1"/>
                <w:sz w:val="18"/>
              </w:rPr>
              <w:t xml:space="preserve"> ZITACUARO</w:t>
            </w:r>
          </w:p>
        </w:tc>
        <w:tc>
          <w:tcPr>
            <w:tcW w:w="186" w:type="dxa"/>
            <w:noWrap/>
            <w:vAlign w:val="bottom"/>
          </w:tcPr>
          <w:p w14:paraId="21F7443A" w14:textId="77777777" w:rsidR="00526FE9" w:rsidRPr="008762D1" w:rsidRDefault="00526FE9" w:rsidP="002C0F86">
            <w:pPr>
              <w:spacing w:after="0"/>
              <w:rPr>
                <w:rFonts w:ascii="ITC Avant Garde" w:hAnsi="ITC Avant Garde"/>
                <w:color w:val="000000" w:themeColor="text1"/>
                <w:sz w:val="18"/>
              </w:rPr>
            </w:pPr>
          </w:p>
        </w:tc>
        <w:tc>
          <w:tcPr>
            <w:tcW w:w="1167" w:type="dxa"/>
            <w:noWrap/>
            <w:vAlign w:val="bottom"/>
          </w:tcPr>
          <w:p w14:paraId="26013492" w14:textId="77777777" w:rsidR="00526FE9" w:rsidRPr="008762D1" w:rsidRDefault="00526FE9" w:rsidP="002C0F86">
            <w:pPr>
              <w:spacing w:after="0"/>
              <w:rPr>
                <w:rFonts w:ascii="ITC Avant Garde" w:hAnsi="ITC Avant Garde"/>
                <w:color w:val="000000" w:themeColor="text1"/>
                <w:sz w:val="18"/>
              </w:rPr>
            </w:pPr>
          </w:p>
        </w:tc>
        <w:tc>
          <w:tcPr>
            <w:tcW w:w="1843" w:type="dxa"/>
            <w:noWrap/>
            <w:vAlign w:val="bottom"/>
          </w:tcPr>
          <w:p w14:paraId="174A942B" w14:textId="77777777" w:rsidR="00526FE9" w:rsidRPr="008762D1" w:rsidRDefault="00526FE9" w:rsidP="002C0F86">
            <w:pPr>
              <w:spacing w:after="0"/>
              <w:rPr>
                <w:rFonts w:ascii="ITC Avant Garde" w:hAnsi="ITC Avant Garde"/>
                <w:color w:val="000000" w:themeColor="text1"/>
                <w:sz w:val="18"/>
              </w:rPr>
            </w:pPr>
          </w:p>
        </w:tc>
        <w:tc>
          <w:tcPr>
            <w:tcW w:w="1985" w:type="dxa"/>
            <w:noWrap/>
            <w:vAlign w:val="bottom"/>
          </w:tcPr>
          <w:p w14:paraId="2322E1E8" w14:textId="77777777" w:rsidR="00526FE9" w:rsidRPr="008762D1" w:rsidRDefault="00526FE9" w:rsidP="002C0F86">
            <w:pPr>
              <w:spacing w:after="0"/>
              <w:rPr>
                <w:rFonts w:ascii="ITC Avant Garde" w:hAnsi="ITC Avant Garde"/>
                <w:color w:val="000000" w:themeColor="text1"/>
                <w:sz w:val="18"/>
              </w:rPr>
            </w:pPr>
          </w:p>
        </w:tc>
      </w:tr>
    </w:tbl>
    <w:p w14:paraId="485CC7FA" w14:textId="77777777" w:rsidR="000F0B9F" w:rsidRPr="008762D1" w:rsidRDefault="000F0B9F" w:rsidP="002C0F86">
      <w:pPr>
        <w:spacing w:before="240"/>
        <w:rPr>
          <w:rFonts w:ascii="ITC Avant Garde" w:hAnsi="ITC Avant Garde"/>
          <w:color w:val="000000" w:themeColor="text1"/>
          <w:sz w:val="2"/>
          <w:lang w:val="es-ES" w:eastAsia="es-ES"/>
        </w:rPr>
      </w:pPr>
    </w:p>
    <w:p w14:paraId="571FE995" w14:textId="77777777" w:rsidR="00F67F46" w:rsidRPr="008762D1" w:rsidRDefault="00F67F46" w:rsidP="002C0F86">
      <w:pPr>
        <w:rPr>
          <w:rFonts w:ascii="Arial" w:eastAsia="Times New Roman" w:hAnsi="Arial" w:cs="Arial"/>
          <w:b/>
          <w:color w:val="000000" w:themeColor="text1"/>
          <w:szCs w:val="20"/>
          <w:lang w:eastAsia="es-ES"/>
        </w:rPr>
      </w:pPr>
      <w:r w:rsidRPr="008762D1">
        <w:rPr>
          <w:rFonts w:cs="Arial"/>
          <w:color w:val="000000" w:themeColor="text1"/>
        </w:rPr>
        <w:br w:type="page"/>
      </w:r>
    </w:p>
    <w:p w14:paraId="66ECE7AF" w14:textId="4132DB9D" w:rsidR="00526FE9" w:rsidRPr="008762D1" w:rsidRDefault="00526FE9" w:rsidP="002C0F86">
      <w:pPr>
        <w:jc w:val="center"/>
        <w:rPr>
          <w:rFonts w:ascii="ITC Avant Garde" w:hAnsi="ITC Avant Garde"/>
          <w:color w:val="000000" w:themeColor="text1"/>
        </w:rPr>
      </w:pPr>
      <w:r w:rsidRPr="008762D1">
        <w:rPr>
          <w:rFonts w:ascii="ITC Avant Garde" w:hAnsi="ITC Avant Garde"/>
          <w:color w:val="000000" w:themeColor="text1"/>
        </w:rPr>
        <w:lastRenderedPageBreak/>
        <w:t>Zona Norte</w:t>
      </w:r>
    </w:p>
    <w:p w14:paraId="29810622" w14:textId="77777777" w:rsidR="00526FE9" w:rsidRPr="008762D1" w:rsidRDefault="00526FE9" w:rsidP="000F0B9F">
      <w:pPr>
        <w:spacing w:before="240"/>
        <w:rPr>
          <w:rFonts w:ascii="Times New Roman" w:hAnsi="Times New Roman" w:cs="Times New Roman"/>
          <w:color w:val="000000" w:themeColor="text1"/>
        </w:rPr>
      </w:pPr>
    </w:p>
    <w:tbl>
      <w:tblPr>
        <w:tblStyle w:val="Cuadrculadetablaclara"/>
        <w:tblW w:w="4441" w:type="dxa"/>
        <w:jc w:val="center"/>
        <w:tblLook w:val="04A0" w:firstRow="1" w:lastRow="0" w:firstColumn="1" w:lastColumn="0" w:noHBand="0" w:noVBand="1"/>
        <w:tblCaption w:val="Tabla"/>
        <w:tblDescription w:val="Tiempos de Traslado para Atención a Fallas &#10;Zona Norte&#10;"/>
      </w:tblPr>
      <w:tblGrid>
        <w:gridCol w:w="1323"/>
        <w:gridCol w:w="3118"/>
      </w:tblGrid>
      <w:tr w:rsidR="008762D1" w:rsidRPr="008762D1" w14:paraId="6987488E" w14:textId="77777777" w:rsidTr="000703A0">
        <w:trPr>
          <w:trHeight w:val="690"/>
          <w:tblHeader/>
          <w:jc w:val="center"/>
        </w:trPr>
        <w:tc>
          <w:tcPr>
            <w:tcW w:w="1323" w:type="dxa"/>
            <w:shd w:val="clear" w:color="auto" w:fill="9CC2E5" w:themeFill="accent1" w:themeFillTint="99"/>
            <w:noWrap/>
            <w:hideMark/>
          </w:tcPr>
          <w:p w14:paraId="55D50CDC" w14:textId="77777777" w:rsidR="00526FE9" w:rsidRPr="008762D1" w:rsidRDefault="00526FE9" w:rsidP="00F67F46">
            <w:pPr>
              <w:jc w:val="center"/>
              <w:rPr>
                <w:rFonts w:ascii="Calibri" w:hAnsi="Calibri"/>
                <w:b/>
                <w:bCs/>
                <w:color w:val="000000" w:themeColor="text1"/>
                <w:lang w:eastAsia="es-MX"/>
              </w:rPr>
            </w:pPr>
            <w:r w:rsidRPr="008762D1">
              <w:rPr>
                <w:rFonts w:ascii="Calibri" w:hAnsi="Calibri"/>
                <w:b/>
                <w:bCs/>
                <w:color w:val="000000" w:themeColor="text1"/>
                <w:lang w:eastAsia="es-MX"/>
              </w:rPr>
              <w:t>División</w:t>
            </w:r>
          </w:p>
        </w:tc>
        <w:tc>
          <w:tcPr>
            <w:tcW w:w="3118" w:type="dxa"/>
            <w:shd w:val="clear" w:color="auto" w:fill="9CC2E5" w:themeFill="accent1" w:themeFillTint="99"/>
            <w:hideMark/>
          </w:tcPr>
          <w:p w14:paraId="695B2AD6" w14:textId="77777777" w:rsidR="00526FE9" w:rsidRPr="008762D1" w:rsidRDefault="00526FE9" w:rsidP="00F67F46">
            <w:pPr>
              <w:jc w:val="center"/>
              <w:rPr>
                <w:rFonts w:ascii="Calibri" w:hAnsi="Calibri"/>
                <w:b/>
                <w:bCs/>
                <w:color w:val="000000" w:themeColor="text1"/>
                <w:lang w:eastAsia="es-MX"/>
              </w:rPr>
            </w:pPr>
            <w:r w:rsidRPr="008762D1">
              <w:rPr>
                <w:rFonts w:ascii="Calibri" w:hAnsi="Calibri"/>
                <w:b/>
                <w:bCs/>
                <w:color w:val="000000" w:themeColor="text1"/>
                <w:lang w:eastAsia="es-MX"/>
              </w:rPr>
              <w:t xml:space="preserve">Área urbana </w:t>
            </w:r>
            <w:r w:rsidRPr="008762D1">
              <w:rPr>
                <w:rFonts w:ascii="Calibri" w:hAnsi="Calibri"/>
                <w:b/>
                <w:bCs/>
                <w:color w:val="000000" w:themeColor="text1"/>
                <w:lang w:eastAsia="es-MX"/>
              </w:rPr>
              <w:br/>
              <w:t>(1 hora de traslado)</w:t>
            </w:r>
          </w:p>
        </w:tc>
      </w:tr>
      <w:tr w:rsidR="008762D1" w:rsidRPr="008762D1" w14:paraId="328D5082" w14:textId="77777777" w:rsidTr="000703A0">
        <w:trPr>
          <w:trHeight w:val="397"/>
          <w:jc w:val="center"/>
        </w:trPr>
        <w:tc>
          <w:tcPr>
            <w:tcW w:w="1323" w:type="dxa"/>
            <w:noWrap/>
            <w:hideMark/>
          </w:tcPr>
          <w:p w14:paraId="05F7503F" w14:textId="77777777" w:rsidR="00526FE9" w:rsidRPr="008762D1" w:rsidRDefault="00526FE9" w:rsidP="00F67F46">
            <w:pPr>
              <w:rPr>
                <w:rFonts w:ascii="Calibri" w:hAnsi="Calibri"/>
                <w:color w:val="000000" w:themeColor="text1"/>
                <w:lang w:eastAsia="es-MX"/>
              </w:rPr>
            </w:pPr>
            <w:r w:rsidRPr="008762D1">
              <w:rPr>
                <w:rFonts w:ascii="Calibri" w:hAnsi="Calibri"/>
                <w:color w:val="000000" w:themeColor="text1"/>
                <w:lang w:eastAsia="es-MX"/>
              </w:rPr>
              <w:t>Norte</w:t>
            </w:r>
          </w:p>
        </w:tc>
        <w:tc>
          <w:tcPr>
            <w:tcW w:w="3118" w:type="dxa"/>
            <w:noWrap/>
            <w:hideMark/>
          </w:tcPr>
          <w:p w14:paraId="7BCE407F"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AGUASCALIENTES</w:t>
            </w:r>
          </w:p>
        </w:tc>
      </w:tr>
      <w:tr w:rsidR="008762D1" w:rsidRPr="008762D1" w14:paraId="4EA6C38D" w14:textId="77777777" w:rsidTr="000703A0">
        <w:trPr>
          <w:trHeight w:val="397"/>
          <w:jc w:val="center"/>
        </w:trPr>
        <w:tc>
          <w:tcPr>
            <w:tcW w:w="1323" w:type="dxa"/>
            <w:noWrap/>
          </w:tcPr>
          <w:p w14:paraId="7256552E"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750EAA43"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CELAYA</w:t>
            </w:r>
          </w:p>
        </w:tc>
      </w:tr>
      <w:tr w:rsidR="008762D1" w:rsidRPr="008762D1" w14:paraId="2C4DA406" w14:textId="77777777" w:rsidTr="000703A0">
        <w:trPr>
          <w:trHeight w:val="397"/>
          <w:jc w:val="center"/>
        </w:trPr>
        <w:tc>
          <w:tcPr>
            <w:tcW w:w="1323" w:type="dxa"/>
            <w:noWrap/>
          </w:tcPr>
          <w:p w14:paraId="6EA8D1C2"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5D840200"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CIUDAD VICTORIA</w:t>
            </w:r>
          </w:p>
        </w:tc>
      </w:tr>
      <w:tr w:rsidR="008762D1" w:rsidRPr="008762D1" w14:paraId="05C9C29A" w14:textId="77777777" w:rsidTr="000703A0">
        <w:trPr>
          <w:trHeight w:val="397"/>
          <w:jc w:val="center"/>
        </w:trPr>
        <w:tc>
          <w:tcPr>
            <w:tcW w:w="1323" w:type="dxa"/>
            <w:noWrap/>
          </w:tcPr>
          <w:p w14:paraId="399A54D8"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70B5B410"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IRAPUATO</w:t>
            </w:r>
          </w:p>
        </w:tc>
      </w:tr>
      <w:tr w:rsidR="008762D1" w:rsidRPr="008762D1" w14:paraId="03BA499C" w14:textId="77777777" w:rsidTr="000703A0">
        <w:trPr>
          <w:trHeight w:val="397"/>
          <w:jc w:val="center"/>
        </w:trPr>
        <w:tc>
          <w:tcPr>
            <w:tcW w:w="1323" w:type="dxa"/>
            <w:noWrap/>
          </w:tcPr>
          <w:p w14:paraId="283B39EE"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032A2AD8"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LEON</w:t>
            </w:r>
          </w:p>
        </w:tc>
      </w:tr>
      <w:tr w:rsidR="008762D1" w:rsidRPr="008762D1" w14:paraId="3F2ACFAB" w14:textId="77777777" w:rsidTr="000703A0">
        <w:trPr>
          <w:trHeight w:val="397"/>
          <w:jc w:val="center"/>
        </w:trPr>
        <w:tc>
          <w:tcPr>
            <w:tcW w:w="1323" w:type="dxa"/>
            <w:noWrap/>
          </w:tcPr>
          <w:p w14:paraId="1CA68E70"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3CB321F7"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MATAMOROS</w:t>
            </w:r>
          </w:p>
        </w:tc>
      </w:tr>
      <w:tr w:rsidR="008762D1" w:rsidRPr="008762D1" w14:paraId="3418C601" w14:textId="77777777" w:rsidTr="000703A0">
        <w:trPr>
          <w:trHeight w:val="397"/>
          <w:jc w:val="center"/>
        </w:trPr>
        <w:tc>
          <w:tcPr>
            <w:tcW w:w="1323" w:type="dxa"/>
            <w:noWrap/>
          </w:tcPr>
          <w:p w14:paraId="686DA77D"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51BF547B"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MONTERREY</w:t>
            </w:r>
          </w:p>
        </w:tc>
      </w:tr>
      <w:tr w:rsidR="008762D1" w:rsidRPr="008762D1" w14:paraId="75F4A893" w14:textId="77777777" w:rsidTr="000703A0">
        <w:trPr>
          <w:trHeight w:val="397"/>
          <w:jc w:val="center"/>
        </w:trPr>
        <w:tc>
          <w:tcPr>
            <w:tcW w:w="1323" w:type="dxa"/>
            <w:noWrap/>
          </w:tcPr>
          <w:p w14:paraId="3570ED9B"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48581399"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NUEVO LAREDO</w:t>
            </w:r>
          </w:p>
        </w:tc>
      </w:tr>
      <w:tr w:rsidR="008762D1" w:rsidRPr="008762D1" w14:paraId="1DFC93E5" w14:textId="77777777" w:rsidTr="000703A0">
        <w:trPr>
          <w:trHeight w:val="397"/>
          <w:jc w:val="center"/>
        </w:trPr>
        <w:tc>
          <w:tcPr>
            <w:tcW w:w="1323" w:type="dxa"/>
            <w:noWrap/>
          </w:tcPr>
          <w:p w14:paraId="45F400FE"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3CD6F833"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QUERETARO</w:t>
            </w:r>
          </w:p>
        </w:tc>
      </w:tr>
      <w:tr w:rsidR="008762D1" w:rsidRPr="008762D1" w14:paraId="2C3944BF" w14:textId="77777777" w:rsidTr="000703A0">
        <w:trPr>
          <w:trHeight w:val="397"/>
          <w:jc w:val="center"/>
        </w:trPr>
        <w:tc>
          <w:tcPr>
            <w:tcW w:w="1323" w:type="dxa"/>
            <w:noWrap/>
          </w:tcPr>
          <w:p w14:paraId="7DC28A16"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2B385C4A"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REYNOSA</w:t>
            </w:r>
          </w:p>
        </w:tc>
      </w:tr>
      <w:tr w:rsidR="008762D1" w:rsidRPr="008762D1" w14:paraId="7CD35253" w14:textId="77777777" w:rsidTr="000703A0">
        <w:trPr>
          <w:trHeight w:val="397"/>
          <w:jc w:val="center"/>
        </w:trPr>
        <w:tc>
          <w:tcPr>
            <w:tcW w:w="1323" w:type="dxa"/>
            <w:noWrap/>
          </w:tcPr>
          <w:p w14:paraId="2C0F2044"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5B55921D"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SABINAS</w:t>
            </w:r>
          </w:p>
        </w:tc>
      </w:tr>
      <w:tr w:rsidR="008762D1" w:rsidRPr="008762D1" w14:paraId="56F314C1" w14:textId="77777777" w:rsidTr="000703A0">
        <w:trPr>
          <w:trHeight w:val="397"/>
          <w:jc w:val="center"/>
        </w:trPr>
        <w:tc>
          <w:tcPr>
            <w:tcW w:w="1323" w:type="dxa"/>
            <w:noWrap/>
          </w:tcPr>
          <w:p w14:paraId="520A3AA7"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6D790649"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SALTILLO</w:t>
            </w:r>
          </w:p>
        </w:tc>
      </w:tr>
      <w:tr w:rsidR="008762D1" w:rsidRPr="008762D1" w14:paraId="1D4F8607" w14:textId="77777777" w:rsidTr="000703A0">
        <w:trPr>
          <w:trHeight w:val="397"/>
          <w:jc w:val="center"/>
        </w:trPr>
        <w:tc>
          <w:tcPr>
            <w:tcW w:w="1323" w:type="dxa"/>
            <w:noWrap/>
          </w:tcPr>
          <w:p w14:paraId="4670223B"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56DDFD69"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SAN LUIS POTOSI</w:t>
            </w:r>
          </w:p>
        </w:tc>
      </w:tr>
      <w:tr w:rsidR="008762D1" w:rsidRPr="008762D1" w14:paraId="33A90995" w14:textId="77777777" w:rsidTr="000703A0">
        <w:trPr>
          <w:trHeight w:val="397"/>
          <w:jc w:val="center"/>
        </w:trPr>
        <w:tc>
          <w:tcPr>
            <w:tcW w:w="1323" w:type="dxa"/>
            <w:noWrap/>
          </w:tcPr>
          <w:p w14:paraId="0ED58F11"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31DE2E75"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TAMPICO</w:t>
            </w:r>
          </w:p>
        </w:tc>
      </w:tr>
      <w:tr w:rsidR="008762D1" w:rsidRPr="008762D1" w14:paraId="1A4DBD60" w14:textId="77777777" w:rsidTr="000703A0">
        <w:trPr>
          <w:trHeight w:val="397"/>
          <w:jc w:val="center"/>
        </w:trPr>
        <w:tc>
          <w:tcPr>
            <w:tcW w:w="1323" w:type="dxa"/>
            <w:noWrap/>
          </w:tcPr>
          <w:p w14:paraId="76E1731D"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420A2582"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TORREON</w:t>
            </w:r>
          </w:p>
        </w:tc>
      </w:tr>
      <w:tr w:rsidR="00526FE9" w:rsidRPr="008762D1" w14:paraId="29DE0A6A" w14:textId="77777777" w:rsidTr="000703A0">
        <w:trPr>
          <w:trHeight w:val="397"/>
          <w:jc w:val="center"/>
        </w:trPr>
        <w:tc>
          <w:tcPr>
            <w:tcW w:w="1323" w:type="dxa"/>
            <w:noWrap/>
          </w:tcPr>
          <w:p w14:paraId="3366DADA" w14:textId="77777777" w:rsidR="00526FE9" w:rsidRPr="008762D1" w:rsidRDefault="00526FE9" w:rsidP="00F67F46">
            <w:pPr>
              <w:rPr>
                <w:rFonts w:ascii="Calibri" w:hAnsi="Calibri"/>
                <w:color w:val="000000" w:themeColor="text1"/>
                <w:sz w:val="24"/>
                <w:szCs w:val="24"/>
                <w:lang w:eastAsia="es-MX"/>
              </w:rPr>
            </w:pPr>
          </w:p>
        </w:tc>
        <w:tc>
          <w:tcPr>
            <w:tcW w:w="3118" w:type="dxa"/>
            <w:noWrap/>
            <w:hideMark/>
          </w:tcPr>
          <w:p w14:paraId="0BE6A1E8" w14:textId="77777777" w:rsidR="00526FE9" w:rsidRPr="008762D1" w:rsidRDefault="00526FE9" w:rsidP="00F67F46">
            <w:pPr>
              <w:rPr>
                <w:rFonts w:ascii="Calibri" w:hAnsi="Calibri"/>
                <w:color w:val="000000" w:themeColor="text1"/>
                <w:lang w:val="es-ES" w:eastAsia="es-ES"/>
              </w:rPr>
            </w:pPr>
            <w:r w:rsidRPr="008762D1">
              <w:rPr>
                <w:rFonts w:ascii="Calibri" w:hAnsi="Calibri"/>
                <w:color w:val="000000" w:themeColor="text1"/>
              </w:rPr>
              <w:t>ZACATECAS</w:t>
            </w:r>
          </w:p>
        </w:tc>
      </w:tr>
    </w:tbl>
    <w:p w14:paraId="400F6416" w14:textId="77777777" w:rsidR="000F0B9F" w:rsidRPr="008762D1" w:rsidRDefault="000F0B9F" w:rsidP="000F0B9F">
      <w:pPr>
        <w:spacing w:before="240"/>
        <w:rPr>
          <w:rFonts w:ascii="Times New Roman" w:hAnsi="Times New Roman"/>
          <w:color w:val="000000" w:themeColor="text1"/>
          <w:sz w:val="24"/>
          <w:szCs w:val="24"/>
          <w:lang w:val="es-ES" w:eastAsia="es-ES"/>
        </w:rPr>
      </w:pPr>
    </w:p>
    <w:p w14:paraId="29D3D01A" w14:textId="77777777" w:rsidR="00A74B03" w:rsidRPr="008762D1" w:rsidRDefault="00A74B03" w:rsidP="000F0B9F">
      <w:pPr>
        <w:spacing w:before="240" w:after="0" w:line="240" w:lineRule="auto"/>
        <w:ind w:right="49"/>
        <w:jc w:val="both"/>
        <w:rPr>
          <w:rFonts w:ascii="ITC Avant Garde" w:hAnsi="ITC Avant Garde" w:cs="Arial"/>
          <w:snapToGrid w:val="0"/>
          <w:color w:val="000000" w:themeColor="text1"/>
          <w:sz w:val="16"/>
        </w:rPr>
      </w:pPr>
    </w:p>
    <w:sectPr w:rsidR="00A74B03" w:rsidRPr="008762D1" w:rsidSect="00D11C78">
      <w:pgSz w:w="12240" w:h="15840"/>
      <w:pgMar w:top="1985" w:right="1752"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A2349" w14:textId="77777777" w:rsidR="00D26C61" w:rsidRDefault="00D26C61" w:rsidP="00FE25DD">
      <w:pPr>
        <w:spacing w:after="0" w:line="240" w:lineRule="auto"/>
      </w:pPr>
      <w:r>
        <w:separator/>
      </w:r>
    </w:p>
  </w:endnote>
  <w:endnote w:type="continuationSeparator" w:id="0">
    <w:p w14:paraId="3B379D74" w14:textId="77777777" w:rsidR="00D26C61" w:rsidRDefault="00D26C61" w:rsidP="00FE25DD">
      <w:pPr>
        <w:spacing w:after="0" w:line="240" w:lineRule="auto"/>
      </w:pPr>
      <w:r>
        <w:continuationSeparator/>
      </w:r>
    </w:p>
  </w:endnote>
  <w:endnote w:type="continuationNotice" w:id="1">
    <w:p w14:paraId="21B42C2B" w14:textId="77777777" w:rsidR="00D26C61" w:rsidRDefault="00D26C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altName w:val="Century Gothic"/>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50402020203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438022"/>
      <w:docPartObj>
        <w:docPartGallery w:val="Page Numbers (Bottom of Page)"/>
        <w:docPartUnique/>
      </w:docPartObj>
    </w:sdtPr>
    <w:sdtContent>
      <w:sdt>
        <w:sdtPr>
          <w:id w:val="1728636285"/>
          <w:docPartObj>
            <w:docPartGallery w:val="Page Numbers (Top of Page)"/>
            <w:docPartUnique/>
          </w:docPartObj>
        </w:sdtPr>
        <w:sdtContent>
          <w:p w14:paraId="4846623B" w14:textId="5E51F656" w:rsidR="00AE2337" w:rsidRDefault="00AE2337" w:rsidP="008762D1">
            <w:pPr>
              <w:pStyle w:val="Piedepgina"/>
              <w:jc w:val="right"/>
            </w:pPr>
            <w:r w:rsidRPr="00261F4B">
              <w:rPr>
                <w:bCs/>
              </w:rPr>
              <w:fldChar w:fldCharType="begin"/>
            </w:r>
            <w:r w:rsidRPr="00261F4B">
              <w:rPr>
                <w:bCs/>
              </w:rPr>
              <w:instrText>PAGE</w:instrText>
            </w:r>
            <w:r w:rsidRPr="00261F4B">
              <w:rPr>
                <w:bCs/>
              </w:rPr>
              <w:fldChar w:fldCharType="separate"/>
            </w:r>
            <w:r w:rsidR="003A2CD2">
              <w:rPr>
                <w:bCs/>
                <w:noProof/>
              </w:rPr>
              <w:t>2</w:t>
            </w:r>
            <w:r w:rsidRPr="00261F4B">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0B26F" w14:textId="77777777" w:rsidR="00D26C61" w:rsidRDefault="00D26C61" w:rsidP="00FE25DD">
      <w:pPr>
        <w:spacing w:after="0" w:line="240" w:lineRule="auto"/>
      </w:pPr>
      <w:r>
        <w:separator/>
      </w:r>
    </w:p>
  </w:footnote>
  <w:footnote w:type="continuationSeparator" w:id="0">
    <w:p w14:paraId="5A792F36" w14:textId="77777777" w:rsidR="00D26C61" w:rsidRDefault="00D26C61" w:rsidP="00FE25DD">
      <w:pPr>
        <w:spacing w:after="0" w:line="240" w:lineRule="auto"/>
      </w:pPr>
      <w:r>
        <w:continuationSeparator/>
      </w:r>
    </w:p>
  </w:footnote>
  <w:footnote w:type="continuationNotice" w:id="1">
    <w:p w14:paraId="23695F5D" w14:textId="77777777" w:rsidR="00D26C61" w:rsidRDefault="00D26C61">
      <w:pPr>
        <w:spacing w:after="0" w:line="240" w:lineRule="auto"/>
      </w:pPr>
    </w:p>
  </w:footnote>
  <w:footnote w:id="2">
    <w:p w14:paraId="1C2731EE" w14:textId="77777777" w:rsidR="00AE2337" w:rsidRPr="007D2BFA" w:rsidRDefault="00AE2337" w:rsidP="007D2BFA">
      <w:pPr>
        <w:pStyle w:val="Textonotapie"/>
        <w:jc w:val="both"/>
      </w:pPr>
      <w:r>
        <w:rPr>
          <w:rStyle w:val="Refdenotaalpie"/>
        </w:rPr>
        <w:footnoteRef/>
      </w:r>
      <w:r>
        <w:t xml:space="preserve"> </w:t>
      </w:r>
      <w:r w:rsidRPr="007D2BFA">
        <w:rPr>
          <w:rFonts w:ascii="ITC Avant Garde" w:hAnsi="ITC Avant Garde"/>
          <w:sz w:val="18"/>
          <w:szCs w:val="18"/>
        </w:rPr>
        <w:t>ACUERDO mediante el cual el Pleno del Instituto Federal de Telecomunicaciones emite la metodología para el cálculo de costos de interconexión de conformidad con la Ley Federal de Tel</w:t>
      </w:r>
      <w:r>
        <w:rPr>
          <w:rFonts w:ascii="ITC Avant Garde" w:hAnsi="ITC Avant Garde"/>
          <w:sz w:val="18"/>
          <w:szCs w:val="18"/>
        </w:rPr>
        <w:t>ecomunicaciones y Radiodifusión</w:t>
      </w:r>
      <w:r w:rsidRPr="007D2BFA">
        <w:rPr>
          <w:rFonts w:ascii="ITC Avant Garde" w:hAnsi="ITC Avant Garde"/>
          <w:sz w:val="18"/>
          <w:szCs w:val="18"/>
        </w:rPr>
        <w:t>, publicado en el DOF el 18 de diciembre de 2014</w:t>
      </w:r>
      <w:r>
        <w:rPr>
          <w:rFonts w:ascii="ITC Avant Garde" w:hAnsi="ITC Avant Garde"/>
          <w:sz w:val="18"/>
          <w:szCs w:val="18"/>
        </w:rPr>
        <w:t>.</w:t>
      </w:r>
    </w:p>
  </w:footnote>
  <w:footnote w:id="3">
    <w:p w14:paraId="26B34204" w14:textId="77777777" w:rsidR="00AE2337" w:rsidRPr="00D207F6" w:rsidRDefault="00AE2337" w:rsidP="00AB44C6">
      <w:pPr>
        <w:pStyle w:val="Textonotapie"/>
        <w:jc w:val="both"/>
        <w:rPr>
          <w:rFonts w:ascii="ITC Avant Garde" w:hAnsi="ITC Avant Garde"/>
          <w:sz w:val="16"/>
          <w:szCs w:val="16"/>
        </w:rPr>
      </w:pPr>
      <w:r w:rsidRPr="00D207F6">
        <w:rPr>
          <w:rStyle w:val="Refdenotaalpie"/>
          <w:rFonts w:ascii="ITC Avant Garde" w:hAnsi="ITC Avant Garde"/>
          <w:sz w:val="16"/>
          <w:szCs w:val="16"/>
        </w:rPr>
        <w:footnoteRef/>
      </w:r>
      <w:r w:rsidRPr="00D207F6">
        <w:rPr>
          <w:rFonts w:ascii="ITC Avant Garde" w:hAnsi="ITC Avant Garde"/>
          <w:sz w:val="16"/>
          <w:szCs w:val="16"/>
        </w:rPr>
        <w:t xml:space="preserve"> ACUERDO General 22/2013 del Pleno del Consejo de la Judicatura Federal, relativo a la conclusión de funciones de los Juzgados Cuarto y Quinto de Distrito del Centro Auxiliar de la Primera Región, y su transformación como Juzgados Primero y Segundo de Distrito en Materia Administrativa Especializados en Competencia Económica, Radiodifusión y Telecomunicaciones, con residencia en el Distrito Federal, y jurisdicción territorial en toda la República. A la conclusión de funciones de los Tribunales Colegiados Segundo y Tercero de Circuito del Centro Auxiliar de la Primera Región y su transformación como Primer y Segundo Tribunales Colegiados de Circuito en Materia Administrativa Especializados en Competencia Económica, Radiodifusión y Telecomunicaciones, con residencia en el Distrito Federal y jurisdicción territorial en toda la República. Así como su domicilio, fecha de inicio de funcionamiento y a las reglas de turno, sistema de recepción y distribución de asuntos entre los Órganos Jurisdiccionales indicados. Y al cambio de denominación de la oficina de correspondencia común del Centro Auxiliar de la Primera Región.</w:t>
      </w:r>
    </w:p>
  </w:footnote>
  <w:footnote w:id="4">
    <w:p w14:paraId="45F86307" w14:textId="71FE31B4" w:rsidR="00AE2337" w:rsidRPr="00912F7A" w:rsidRDefault="00AE2337">
      <w:pPr>
        <w:pStyle w:val="Textonotapie"/>
        <w:rPr>
          <w:rFonts w:ascii="ITC Avant Garde" w:hAnsi="ITC Avant Garde"/>
          <w:sz w:val="18"/>
          <w:szCs w:val="18"/>
        </w:rPr>
      </w:pPr>
      <w:r w:rsidRPr="00517155">
        <w:rPr>
          <w:rStyle w:val="Refdenotaalpie"/>
          <w:rFonts w:ascii="ITC Avant Garde" w:hAnsi="ITC Avant Garde"/>
          <w:sz w:val="18"/>
          <w:szCs w:val="18"/>
        </w:rPr>
        <w:footnoteRef/>
      </w:r>
      <w:r w:rsidRPr="00517155">
        <w:rPr>
          <w:rFonts w:ascii="ITC Avant Garde" w:hAnsi="ITC Avant Garde"/>
          <w:sz w:val="18"/>
          <w:szCs w:val="18"/>
        </w:rPr>
        <w:t xml:space="preserve"> </w:t>
      </w:r>
      <w:r w:rsidRPr="000F0B9F">
        <w:rPr>
          <w:rFonts w:ascii="ITC Avant Garde" w:hAnsi="ITC Avant Garde"/>
          <w:sz w:val="18"/>
          <w:szCs w:val="18"/>
        </w:rPr>
        <w:t>https://tools.ietf.org/html/rfc7261</w:t>
      </w:r>
    </w:p>
  </w:footnote>
  <w:footnote w:id="5">
    <w:p w14:paraId="64FBD9A2" w14:textId="77777777" w:rsidR="00AE2337" w:rsidRDefault="00AE2337">
      <w:pPr>
        <w:pStyle w:val="Textonotapie"/>
        <w:rPr>
          <w:rFonts w:ascii="ITC Avant Garde" w:hAnsi="ITC Avant Garde"/>
          <w:sz w:val="18"/>
          <w:szCs w:val="18"/>
        </w:rPr>
      </w:pPr>
      <w:r w:rsidRPr="002067CF">
        <w:rPr>
          <w:rStyle w:val="Refdenotaalpie"/>
          <w:rFonts w:ascii="ITC Avant Garde" w:hAnsi="ITC Avant Garde"/>
          <w:sz w:val="18"/>
          <w:szCs w:val="18"/>
        </w:rPr>
        <w:footnoteRef/>
      </w:r>
      <w:r w:rsidRPr="002067CF">
        <w:rPr>
          <w:rFonts w:ascii="ITC Avant Garde" w:hAnsi="ITC Avant Garde"/>
          <w:sz w:val="18"/>
          <w:szCs w:val="18"/>
        </w:rPr>
        <w:t xml:space="preserve"> Traducción propia del texto en inglés</w:t>
      </w:r>
      <w:r>
        <w:rPr>
          <w:rFonts w:ascii="ITC Avant Garde" w:hAnsi="ITC Avant Garde"/>
          <w:sz w:val="18"/>
          <w:szCs w:val="18"/>
        </w:rPr>
        <w:t>:</w:t>
      </w:r>
    </w:p>
    <w:p w14:paraId="2CD910BE" w14:textId="77777777" w:rsidR="00AE2337" w:rsidRPr="00EB7D64" w:rsidRDefault="00AE2337" w:rsidP="00912F7A">
      <w:pPr>
        <w:autoSpaceDE w:val="0"/>
        <w:autoSpaceDN w:val="0"/>
        <w:adjustRightInd w:val="0"/>
        <w:spacing w:after="0" w:line="276" w:lineRule="auto"/>
        <w:ind w:left="567" w:right="567"/>
        <w:jc w:val="both"/>
        <w:rPr>
          <w:rFonts w:ascii="ITC Avant Garde" w:hAnsi="ITC Avant Garde"/>
          <w:i/>
          <w:sz w:val="18"/>
          <w:szCs w:val="18"/>
          <w:lang w:val="en-US"/>
        </w:rPr>
      </w:pPr>
      <w:r>
        <w:rPr>
          <w:rFonts w:ascii="ITC Avant Garde" w:hAnsi="ITC Avant Garde"/>
          <w:i/>
          <w:sz w:val="18"/>
          <w:szCs w:val="18"/>
          <w:lang w:val="en-US"/>
        </w:rPr>
        <w:t xml:space="preserve">“3.3 </w:t>
      </w:r>
      <w:r w:rsidRPr="00EB7D64">
        <w:rPr>
          <w:rFonts w:ascii="ITC Avant Garde" w:hAnsi="ITC Avant Garde"/>
          <w:i/>
          <w:sz w:val="18"/>
          <w:szCs w:val="18"/>
          <w:lang w:val="en-US"/>
        </w:rPr>
        <w:t>Offer/Answer Considerations for G729 Annex B, G729D Annex B, and G729E Annex B</w:t>
      </w:r>
    </w:p>
    <w:p w14:paraId="1E640A4A" w14:textId="77777777" w:rsidR="00AE2337" w:rsidRPr="00EB7D64" w:rsidRDefault="00AE2337" w:rsidP="002067CF">
      <w:pPr>
        <w:autoSpaceDE w:val="0"/>
        <w:autoSpaceDN w:val="0"/>
        <w:adjustRightInd w:val="0"/>
        <w:spacing w:after="0" w:line="276" w:lineRule="auto"/>
        <w:ind w:left="567" w:right="567"/>
        <w:jc w:val="both"/>
        <w:rPr>
          <w:rFonts w:ascii="ITC Avant Garde" w:hAnsi="ITC Avant Garde"/>
          <w:i/>
          <w:sz w:val="18"/>
          <w:szCs w:val="18"/>
          <w:lang w:val="en-US"/>
        </w:rPr>
      </w:pPr>
      <w:r w:rsidRPr="00EB7D64">
        <w:rPr>
          <w:rFonts w:ascii="ITC Avant Garde" w:hAnsi="ITC Avant Garde"/>
          <w:i/>
          <w:sz w:val="18"/>
          <w:szCs w:val="18"/>
          <w:lang w:val="en-US"/>
        </w:rPr>
        <w:t>In this section, G729 represents any of G729 or G729D or G729E.</w:t>
      </w:r>
    </w:p>
    <w:p w14:paraId="7EEB745F" w14:textId="77777777" w:rsidR="00AE2337" w:rsidRPr="002C2E28" w:rsidRDefault="00AE2337" w:rsidP="002067CF">
      <w:pPr>
        <w:pStyle w:val="Textonotapie"/>
        <w:ind w:left="567"/>
        <w:jc w:val="both"/>
        <w:rPr>
          <w:lang w:val="en-US"/>
        </w:rPr>
      </w:pPr>
      <w:r w:rsidRPr="00EB7D64">
        <w:rPr>
          <w:rFonts w:ascii="ITC Avant Garde" w:hAnsi="ITC Avant Garde"/>
          <w:i/>
          <w:sz w:val="18"/>
          <w:szCs w:val="18"/>
          <w:lang w:val="en-US"/>
        </w:rPr>
        <w:t xml:space="preserve">When the offer or answer has G729 and the </w:t>
      </w:r>
      <w:proofErr w:type="spellStart"/>
      <w:r w:rsidRPr="00EB7D64">
        <w:rPr>
          <w:rFonts w:ascii="ITC Avant Garde" w:hAnsi="ITC Avant Garde"/>
          <w:i/>
          <w:sz w:val="18"/>
          <w:szCs w:val="18"/>
          <w:lang w:val="en-US"/>
        </w:rPr>
        <w:t>annexb</w:t>
      </w:r>
      <w:proofErr w:type="spellEnd"/>
      <w:r w:rsidRPr="00EB7D64">
        <w:rPr>
          <w:rFonts w:ascii="ITC Avant Garde" w:hAnsi="ITC Avant Garde"/>
          <w:i/>
          <w:sz w:val="18"/>
          <w:szCs w:val="18"/>
          <w:lang w:val="en-US"/>
        </w:rPr>
        <w:t xml:space="preserve"> parameter is absent</w:t>
      </w:r>
      <w:proofErr w:type="gramStart"/>
      <w:r w:rsidRPr="00EB7D64">
        <w:rPr>
          <w:rFonts w:ascii="ITC Avant Garde" w:hAnsi="ITC Avant Garde"/>
          <w:i/>
          <w:sz w:val="18"/>
          <w:szCs w:val="18"/>
          <w:lang w:val="en-US"/>
        </w:rPr>
        <w:t>,  the</w:t>
      </w:r>
      <w:proofErr w:type="gramEnd"/>
      <w:r w:rsidRPr="00EB7D64">
        <w:rPr>
          <w:rFonts w:ascii="ITC Avant Garde" w:hAnsi="ITC Avant Garde"/>
          <w:i/>
          <w:sz w:val="18"/>
          <w:szCs w:val="18"/>
          <w:lang w:val="en-US"/>
        </w:rPr>
        <w:t xml:space="preserve"> </w:t>
      </w:r>
      <w:proofErr w:type="spellStart"/>
      <w:r w:rsidRPr="00EB7D64">
        <w:rPr>
          <w:rFonts w:ascii="ITC Avant Garde" w:hAnsi="ITC Avant Garde"/>
          <w:i/>
          <w:sz w:val="18"/>
          <w:szCs w:val="18"/>
          <w:lang w:val="en-US"/>
        </w:rPr>
        <w:t>offerer</w:t>
      </w:r>
      <w:proofErr w:type="spellEnd"/>
      <w:r w:rsidRPr="00EB7D64">
        <w:rPr>
          <w:rFonts w:ascii="ITC Avant Garde" w:hAnsi="ITC Avant Garde"/>
          <w:i/>
          <w:sz w:val="18"/>
          <w:szCs w:val="18"/>
          <w:lang w:val="en-US"/>
        </w:rPr>
        <w:t xml:space="preserve"> or answerer knows that it has implied the default   "</w:t>
      </w:r>
      <w:proofErr w:type="spellStart"/>
      <w:r w:rsidRPr="00EB7D64">
        <w:rPr>
          <w:rFonts w:ascii="ITC Avant Garde" w:hAnsi="ITC Avant Garde"/>
          <w:i/>
          <w:sz w:val="18"/>
          <w:szCs w:val="18"/>
          <w:lang w:val="en-US"/>
        </w:rPr>
        <w:t>annexb</w:t>
      </w:r>
      <w:proofErr w:type="spellEnd"/>
      <w:r w:rsidRPr="00EB7D64">
        <w:rPr>
          <w:rFonts w:ascii="ITC Avant Garde" w:hAnsi="ITC Avant Garde"/>
          <w:i/>
          <w:sz w:val="18"/>
          <w:szCs w:val="18"/>
          <w:lang w:val="en-US"/>
        </w:rPr>
        <w:t xml:space="preserve">=yes".  This is because the </w:t>
      </w:r>
      <w:proofErr w:type="spellStart"/>
      <w:r w:rsidRPr="00EB7D64">
        <w:rPr>
          <w:rFonts w:ascii="ITC Avant Garde" w:hAnsi="ITC Avant Garde"/>
          <w:i/>
          <w:sz w:val="18"/>
          <w:szCs w:val="18"/>
          <w:lang w:val="en-US"/>
        </w:rPr>
        <w:t>annexb</w:t>
      </w:r>
      <w:proofErr w:type="spellEnd"/>
      <w:r w:rsidRPr="00EB7D64">
        <w:rPr>
          <w:rFonts w:ascii="ITC Avant Garde" w:hAnsi="ITC Avant Garde"/>
          <w:i/>
          <w:sz w:val="18"/>
          <w:szCs w:val="18"/>
          <w:lang w:val="en-US"/>
        </w:rPr>
        <w:t xml:space="preserve"> attribute is part of the original registration of audio/G729 [RFC4856].  All </w:t>
      </w:r>
      <w:proofErr w:type="gramStart"/>
      <w:r w:rsidRPr="00EB7D64">
        <w:rPr>
          <w:rFonts w:ascii="ITC Avant Garde" w:hAnsi="ITC Avant Garde"/>
          <w:i/>
          <w:sz w:val="18"/>
          <w:szCs w:val="18"/>
          <w:lang w:val="en-US"/>
        </w:rPr>
        <w:t>implementations  that</w:t>
      </w:r>
      <w:proofErr w:type="gramEnd"/>
      <w:r w:rsidRPr="00EB7D64">
        <w:rPr>
          <w:rFonts w:ascii="ITC Avant Garde" w:hAnsi="ITC Avant Garde"/>
          <w:i/>
          <w:sz w:val="18"/>
          <w:szCs w:val="18"/>
          <w:lang w:val="en-US"/>
        </w:rPr>
        <w:t xml:space="preserve"> support G729 understand the </w:t>
      </w:r>
      <w:proofErr w:type="spellStart"/>
      <w:r w:rsidRPr="00EB7D64">
        <w:rPr>
          <w:rFonts w:ascii="ITC Avant Garde" w:hAnsi="ITC Avant Garde"/>
          <w:i/>
          <w:sz w:val="18"/>
          <w:szCs w:val="18"/>
          <w:lang w:val="en-US"/>
        </w:rPr>
        <w:t>annexb</w:t>
      </w:r>
      <w:proofErr w:type="spellEnd"/>
      <w:r w:rsidRPr="00EB7D64">
        <w:rPr>
          <w:rFonts w:ascii="ITC Avant Garde" w:hAnsi="ITC Avant Garde"/>
          <w:i/>
          <w:sz w:val="18"/>
          <w:szCs w:val="18"/>
          <w:lang w:val="en-US"/>
        </w:rPr>
        <w:t xml:space="preserve"> attribute.  Hence, this case   MUST be considered as if the offer or answer has G729 with </w:t>
      </w:r>
      <w:proofErr w:type="spellStart"/>
      <w:r w:rsidRPr="00EB7D64">
        <w:rPr>
          <w:rFonts w:ascii="ITC Avant Garde" w:hAnsi="ITC Avant Garde"/>
          <w:i/>
          <w:sz w:val="18"/>
          <w:szCs w:val="18"/>
          <w:lang w:val="en-US"/>
        </w:rPr>
        <w:t>annexb</w:t>
      </w:r>
      <w:proofErr w:type="spellEnd"/>
      <w:r w:rsidRPr="00EB7D64">
        <w:rPr>
          <w:rFonts w:ascii="ITC Avant Garde" w:hAnsi="ITC Avant Garde"/>
          <w:i/>
          <w:sz w:val="18"/>
          <w:szCs w:val="18"/>
          <w:lang w:val="en-US"/>
        </w:rPr>
        <w:t>=yes.</w:t>
      </w:r>
      <w:r>
        <w:rPr>
          <w:rFonts w:ascii="ITC Avant Garde" w:hAnsi="ITC Avant Garde"/>
          <w:i/>
          <w:sz w:val="18"/>
          <w:szCs w:val="18"/>
          <w:lang w:val="en-US"/>
        </w:rPr>
        <w:t>”</w:t>
      </w:r>
    </w:p>
  </w:footnote>
  <w:footnote w:id="6">
    <w:p w14:paraId="29DC6942" w14:textId="77777777" w:rsidR="00AE2337" w:rsidRPr="002067CF" w:rsidRDefault="00AE2337" w:rsidP="002067CF">
      <w:pPr>
        <w:pStyle w:val="Textonotapie"/>
        <w:jc w:val="both"/>
        <w:rPr>
          <w:rFonts w:ascii="ITC Avant Garde" w:hAnsi="ITC Avant Garde"/>
          <w:i/>
          <w:sz w:val="18"/>
          <w:szCs w:val="18"/>
        </w:rPr>
      </w:pPr>
      <w:r w:rsidRPr="002067CF">
        <w:rPr>
          <w:rStyle w:val="Refdenotaalpie"/>
          <w:rFonts w:ascii="ITC Avant Garde" w:hAnsi="ITC Avant Garde"/>
          <w:sz w:val="18"/>
          <w:szCs w:val="18"/>
        </w:rPr>
        <w:footnoteRef/>
      </w:r>
      <w:r w:rsidRPr="002067CF">
        <w:rPr>
          <w:rFonts w:ascii="ITC Avant Garde" w:hAnsi="ITC Avant Garde"/>
          <w:i/>
          <w:sz w:val="18"/>
          <w:szCs w:val="18"/>
        </w:rPr>
        <w:t xml:space="preserve"> </w:t>
      </w:r>
      <w:r w:rsidRPr="00073707">
        <w:rPr>
          <w:rFonts w:ascii="ITC Avant Garde" w:hAnsi="ITC Avant Garde"/>
          <w:sz w:val="18"/>
          <w:szCs w:val="18"/>
        </w:rPr>
        <w:t>“ACUERDO mediante el cual el Pleno del Instituto Federal de Telecomunicaciones emite las Reglas de Portabilidad Numérica y modifica el Plan Técnico Fundamental de Numeración, el Plan Técnico Fundamental de Señalización y las especificaciones operativas para la implantación de portabilidad de números geográficos y no geográficos publicado en el DOF el 12 de noviembre de 2014.</w:t>
      </w:r>
    </w:p>
  </w:footnote>
  <w:footnote w:id="7">
    <w:p w14:paraId="07BECF7D" w14:textId="77777777" w:rsidR="00AE2337" w:rsidRPr="00DA4848" w:rsidRDefault="00AE2337" w:rsidP="00C64F8E">
      <w:pPr>
        <w:pStyle w:val="Textonotapie"/>
        <w:jc w:val="both"/>
        <w:rPr>
          <w:rFonts w:ascii="ITC Avant Garde" w:hAnsi="ITC Avant Garde"/>
          <w:sz w:val="18"/>
          <w:szCs w:val="18"/>
        </w:rPr>
      </w:pPr>
      <w:r w:rsidRPr="00DA4848">
        <w:rPr>
          <w:rStyle w:val="Refdenotaalpie"/>
          <w:rFonts w:ascii="ITC Avant Garde" w:hAnsi="ITC Avant Garde"/>
          <w:sz w:val="18"/>
          <w:szCs w:val="18"/>
        </w:rPr>
        <w:footnoteRef/>
      </w:r>
      <w:r w:rsidRPr="00DA4848">
        <w:rPr>
          <w:rFonts w:ascii="ITC Avant Garde" w:hAnsi="ITC Avant Garde"/>
          <w:sz w:val="18"/>
          <w:szCs w:val="18"/>
        </w:rPr>
        <w:t xml:space="preserve"> </w:t>
      </w:r>
      <w:r w:rsidRPr="00DA4848">
        <w:rPr>
          <w:rFonts w:ascii="ITC Avant Garde" w:hAnsi="ITC Avant Garde" w:cs="Arial"/>
          <w:sz w:val="18"/>
          <w:szCs w:val="18"/>
        </w:rPr>
        <w:t xml:space="preserve">Resolución mediante la cual el Pleno del Instituto Federal de Telecomunicaciones formaliza y resuelve las condiciones mediante las cuales se implementará el </w:t>
      </w:r>
      <w:proofErr w:type="spellStart"/>
      <w:r w:rsidRPr="00DA4848">
        <w:rPr>
          <w:rFonts w:ascii="ITC Avant Garde" w:hAnsi="ITC Avant Garde" w:cs="Arial"/>
          <w:sz w:val="18"/>
          <w:szCs w:val="18"/>
        </w:rPr>
        <w:t>Apéndica</w:t>
      </w:r>
      <w:proofErr w:type="spellEnd"/>
      <w:r w:rsidRPr="00DA4848">
        <w:rPr>
          <w:rFonts w:ascii="ITC Avant Garde" w:hAnsi="ITC Avant Garde" w:cs="Arial"/>
          <w:sz w:val="18"/>
          <w:szCs w:val="18"/>
        </w:rPr>
        <w:t xml:space="preserve"> A Interconexión Diseño Funcional y Técnico del Sistema Electrónico de Gestión de Servicios de Telecomunicaciones fijos del Agente Económico Preponderante, aprobada mediante Acuerdo P/IFT/090316/77</w:t>
      </w:r>
      <w:r>
        <w:rPr>
          <w:rFonts w:ascii="ITC Avant Garde" w:hAnsi="ITC Avant Garde" w:cs="Arial"/>
          <w:sz w:val="18"/>
          <w:szCs w:val="18"/>
        </w:rPr>
        <w:t>.</w:t>
      </w:r>
    </w:p>
  </w:footnote>
  <w:footnote w:id="8">
    <w:p w14:paraId="1BC71DFE" w14:textId="77777777" w:rsidR="00AE2337" w:rsidRDefault="00AE2337" w:rsidP="00526FE9">
      <w:pPr>
        <w:pStyle w:val="Textonotapie"/>
        <w:rPr>
          <w:rFonts w:ascii="ITC Avant Garde" w:hAnsi="ITC Avant Garde"/>
        </w:rPr>
      </w:pPr>
      <w:r>
        <w:rPr>
          <w:rStyle w:val="Refdenotaalpie"/>
          <w:rFonts w:ascii="ITC Avant Garde" w:hAnsi="ITC Avant Garde"/>
        </w:rPr>
        <w:footnoteRef/>
      </w:r>
      <w:r>
        <w:rPr>
          <w:rFonts w:ascii="ITC Avant Garde" w:hAnsi="ITC Avant Garde"/>
        </w:rPr>
        <w:t xml:space="preserve"> SLC es el Código de Enlace de Señalización, por sus siglas en inglés.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start w:val="1"/>
      <w:numFmt w:val="bullet"/>
      <w:lvlText w:val="o"/>
      <w:lvlJc w:val="left"/>
      <w:pPr>
        <w:ind w:left="1490" w:hanging="360"/>
      </w:pPr>
      <w:rPr>
        <w:rFonts w:ascii="Courier New" w:hAnsi="Courier New" w:cs="Courier New" w:hint="default"/>
      </w:rPr>
    </w:lvl>
    <w:lvl w:ilvl="2" w:tplc="0C0A0005">
      <w:start w:val="1"/>
      <w:numFmt w:val="bullet"/>
      <w:lvlText w:val=""/>
      <w:lvlJc w:val="left"/>
      <w:pPr>
        <w:ind w:left="2210" w:hanging="360"/>
      </w:pPr>
      <w:rPr>
        <w:rFonts w:ascii="Wingdings" w:hAnsi="Wingdings" w:hint="default"/>
      </w:rPr>
    </w:lvl>
    <w:lvl w:ilvl="3" w:tplc="0C0A0001">
      <w:start w:val="1"/>
      <w:numFmt w:val="bullet"/>
      <w:lvlText w:val=""/>
      <w:lvlJc w:val="left"/>
      <w:pPr>
        <w:ind w:left="2930" w:hanging="360"/>
      </w:pPr>
      <w:rPr>
        <w:rFonts w:ascii="Symbol" w:hAnsi="Symbol" w:hint="default"/>
      </w:rPr>
    </w:lvl>
    <w:lvl w:ilvl="4" w:tplc="0C0A0003">
      <w:start w:val="1"/>
      <w:numFmt w:val="bullet"/>
      <w:lvlText w:val="o"/>
      <w:lvlJc w:val="left"/>
      <w:pPr>
        <w:ind w:left="3650" w:hanging="360"/>
      </w:pPr>
      <w:rPr>
        <w:rFonts w:ascii="Courier New" w:hAnsi="Courier New" w:cs="Courier New" w:hint="default"/>
      </w:rPr>
    </w:lvl>
    <w:lvl w:ilvl="5" w:tplc="0C0A0005">
      <w:start w:val="1"/>
      <w:numFmt w:val="bullet"/>
      <w:lvlText w:val=""/>
      <w:lvlJc w:val="left"/>
      <w:pPr>
        <w:ind w:left="4370" w:hanging="360"/>
      </w:pPr>
      <w:rPr>
        <w:rFonts w:ascii="Wingdings" w:hAnsi="Wingdings" w:hint="default"/>
      </w:rPr>
    </w:lvl>
    <w:lvl w:ilvl="6" w:tplc="0C0A0001">
      <w:start w:val="1"/>
      <w:numFmt w:val="bullet"/>
      <w:lvlText w:val=""/>
      <w:lvlJc w:val="left"/>
      <w:pPr>
        <w:ind w:left="5090" w:hanging="360"/>
      </w:pPr>
      <w:rPr>
        <w:rFonts w:ascii="Symbol" w:hAnsi="Symbol" w:hint="default"/>
      </w:rPr>
    </w:lvl>
    <w:lvl w:ilvl="7" w:tplc="0C0A0003">
      <w:start w:val="1"/>
      <w:numFmt w:val="bullet"/>
      <w:lvlText w:val="o"/>
      <w:lvlJc w:val="left"/>
      <w:pPr>
        <w:ind w:left="5810" w:hanging="360"/>
      </w:pPr>
      <w:rPr>
        <w:rFonts w:ascii="Courier New" w:hAnsi="Courier New" w:cs="Courier New" w:hint="default"/>
      </w:rPr>
    </w:lvl>
    <w:lvl w:ilvl="8" w:tplc="0C0A0005">
      <w:start w:val="1"/>
      <w:numFmt w:val="bullet"/>
      <w:lvlText w:val=""/>
      <w:lvlJc w:val="left"/>
      <w:pPr>
        <w:ind w:left="6530" w:hanging="360"/>
      </w:pPr>
      <w:rPr>
        <w:rFonts w:ascii="Wingdings" w:hAnsi="Wingdings" w:hint="default"/>
      </w:rPr>
    </w:lvl>
  </w:abstractNum>
  <w:abstractNum w:abstractNumId="2" w15:restartNumberingAfterBreak="0">
    <w:nsid w:val="00852DA9"/>
    <w:multiLevelType w:val="hybridMultilevel"/>
    <w:tmpl w:val="BB74F1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16D5847"/>
    <w:multiLevelType w:val="hybridMultilevel"/>
    <w:tmpl w:val="7B92F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5" w15:restartNumberingAfterBreak="0">
    <w:nsid w:val="026873E1"/>
    <w:multiLevelType w:val="hybridMultilevel"/>
    <w:tmpl w:val="9F4ED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8"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07A91FEB"/>
    <w:multiLevelType w:val="hybridMultilevel"/>
    <w:tmpl w:val="2B6C545C"/>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cs="Times New Roman" w:hint="default"/>
      </w:rPr>
    </w:lvl>
    <w:lvl w:ilvl="2" w:tplc="12D49CB6">
      <w:numFmt w:val="bullet"/>
      <w:lvlText w:val="-"/>
      <w:lvlJc w:val="left"/>
      <w:pPr>
        <w:ind w:left="2160" w:hanging="360"/>
      </w:pPr>
      <w:rPr>
        <w:rFonts w:ascii="Arial" w:eastAsia="Times New Roman" w:hAnsi="Arial" w:cs="Times New Roman"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0802660F"/>
    <w:multiLevelType w:val="hybridMultilevel"/>
    <w:tmpl w:val="27DEBF2C"/>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b/>
        <w:i w:val="0"/>
      </w:rPr>
    </w:lvl>
  </w:abstractNum>
  <w:abstractNum w:abstractNumId="12"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start w:val="1"/>
      <w:numFmt w:val="bullet"/>
      <w:lvlText w:val="o"/>
      <w:lvlJc w:val="left"/>
      <w:pPr>
        <w:tabs>
          <w:tab w:val="num" w:pos="1043"/>
        </w:tabs>
        <w:ind w:left="1043" w:hanging="360"/>
      </w:pPr>
      <w:rPr>
        <w:rFonts w:ascii="Courier New" w:hAnsi="Courier New" w:cs="Times New Roman" w:hint="default"/>
      </w:rPr>
    </w:lvl>
    <w:lvl w:ilvl="2" w:tplc="0C0A0005">
      <w:start w:val="1"/>
      <w:numFmt w:val="bullet"/>
      <w:lvlText w:val=""/>
      <w:lvlJc w:val="left"/>
      <w:pPr>
        <w:tabs>
          <w:tab w:val="num" w:pos="1763"/>
        </w:tabs>
        <w:ind w:left="1763" w:hanging="360"/>
      </w:pPr>
      <w:rPr>
        <w:rFonts w:ascii="Tahoma" w:hAnsi="Tahoma" w:cs="Times New Roman" w:hint="default"/>
      </w:rPr>
    </w:lvl>
    <w:lvl w:ilvl="3" w:tplc="0C0A0001">
      <w:start w:val="1"/>
      <w:numFmt w:val="bullet"/>
      <w:lvlText w:val=""/>
      <w:lvlJc w:val="left"/>
      <w:pPr>
        <w:tabs>
          <w:tab w:val="num" w:pos="2483"/>
        </w:tabs>
        <w:ind w:left="2483" w:hanging="360"/>
      </w:pPr>
      <w:rPr>
        <w:rFonts w:ascii="Symbol" w:hAnsi="Symbol" w:hint="default"/>
      </w:rPr>
    </w:lvl>
    <w:lvl w:ilvl="4" w:tplc="0C0A0003">
      <w:start w:val="1"/>
      <w:numFmt w:val="bullet"/>
      <w:lvlText w:val="o"/>
      <w:lvlJc w:val="left"/>
      <w:pPr>
        <w:tabs>
          <w:tab w:val="num" w:pos="3203"/>
        </w:tabs>
        <w:ind w:left="3203" w:hanging="360"/>
      </w:pPr>
      <w:rPr>
        <w:rFonts w:ascii="Courier New" w:hAnsi="Courier New" w:cs="Times New Roman" w:hint="default"/>
      </w:rPr>
    </w:lvl>
    <w:lvl w:ilvl="5" w:tplc="0C0A0005">
      <w:start w:val="1"/>
      <w:numFmt w:val="bullet"/>
      <w:lvlText w:val=""/>
      <w:lvlJc w:val="left"/>
      <w:pPr>
        <w:tabs>
          <w:tab w:val="num" w:pos="3923"/>
        </w:tabs>
        <w:ind w:left="3923" w:hanging="360"/>
      </w:pPr>
      <w:rPr>
        <w:rFonts w:ascii="Tahoma" w:hAnsi="Tahoma" w:cs="Times New Roman" w:hint="default"/>
      </w:rPr>
    </w:lvl>
    <w:lvl w:ilvl="6" w:tplc="0C0A0001">
      <w:start w:val="1"/>
      <w:numFmt w:val="bullet"/>
      <w:lvlText w:val=""/>
      <w:lvlJc w:val="left"/>
      <w:pPr>
        <w:tabs>
          <w:tab w:val="num" w:pos="4643"/>
        </w:tabs>
        <w:ind w:left="4643" w:hanging="360"/>
      </w:pPr>
      <w:rPr>
        <w:rFonts w:ascii="Symbol" w:hAnsi="Symbol" w:hint="default"/>
      </w:rPr>
    </w:lvl>
    <w:lvl w:ilvl="7" w:tplc="0C0A0003">
      <w:start w:val="1"/>
      <w:numFmt w:val="bullet"/>
      <w:lvlText w:val="o"/>
      <w:lvlJc w:val="left"/>
      <w:pPr>
        <w:tabs>
          <w:tab w:val="num" w:pos="5363"/>
        </w:tabs>
        <w:ind w:left="5363" w:hanging="360"/>
      </w:pPr>
      <w:rPr>
        <w:rFonts w:ascii="Courier New" w:hAnsi="Courier New" w:cs="Times New Roman" w:hint="default"/>
      </w:rPr>
    </w:lvl>
    <w:lvl w:ilvl="8" w:tplc="0C0A0005">
      <w:start w:val="1"/>
      <w:numFmt w:val="bullet"/>
      <w:lvlText w:val=""/>
      <w:lvlJc w:val="left"/>
      <w:pPr>
        <w:tabs>
          <w:tab w:val="num" w:pos="6083"/>
        </w:tabs>
        <w:ind w:left="6083" w:hanging="360"/>
      </w:pPr>
      <w:rPr>
        <w:rFonts w:ascii="Tahoma" w:hAnsi="Tahoma" w:cs="Times New Roman" w:hint="default"/>
      </w:rPr>
    </w:lvl>
  </w:abstractNum>
  <w:abstractNum w:abstractNumId="13" w15:restartNumberingAfterBreak="0">
    <w:nsid w:val="0BB3108D"/>
    <w:multiLevelType w:val="hybridMultilevel"/>
    <w:tmpl w:val="557C00CE"/>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15:restartNumberingAfterBreak="0">
    <w:nsid w:val="0C6E0DBE"/>
    <w:multiLevelType w:val="multilevel"/>
    <w:tmpl w:val="7832BCF6"/>
    <w:lvl w:ilvl="0">
      <w:start w:val="7"/>
      <w:numFmt w:val="decimal"/>
      <w:lvlText w:val="%1"/>
      <w:lvlJc w:val="left"/>
      <w:pPr>
        <w:tabs>
          <w:tab w:val="num" w:pos="360"/>
        </w:tabs>
        <w:ind w:left="360" w:hanging="360"/>
      </w:pPr>
      <w:rPr>
        <w:rFonts w:cs="Times New Roman"/>
        <w:u w:val="single"/>
      </w:rPr>
    </w:lvl>
    <w:lvl w:ilvl="1">
      <w:start w:val="1"/>
      <w:numFmt w:val="none"/>
      <w:lvlText w:val="6.1"/>
      <w:lvlJc w:val="left"/>
      <w:pPr>
        <w:tabs>
          <w:tab w:val="num" w:pos="1800"/>
        </w:tabs>
        <w:ind w:left="1800" w:hanging="360"/>
      </w:pPr>
      <w:rPr>
        <w:rFonts w:cs="Times New Roman"/>
        <w:b/>
        <w:strike w:val="0"/>
        <w:dstrike w:val="0"/>
        <w:u w:val="none"/>
        <w:effect w:val="none"/>
      </w:rPr>
    </w:lvl>
    <w:lvl w:ilvl="2">
      <w:start w:val="1"/>
      <w:numFmt w:val="decimal"/>
      <w:lvlText w:val="%1.%2.%3"/>
      <w:lvlJc w:val="left"/>
      <w:pPr>
        <w:tabs>
          <w:tab w:val="num" w:pos="3600"/>
        </w:tabs>
        <w:ind w:left="3600" w:hanging="720"/>
      </w:pPr>
      <w:rPr>
        <w:rFonts w:cs="Times New Roman"/>
        <w:u w:val="single"/>
      </w:rPr>
    </w:lvl>
    <w:lvl w:ilvl="3">
      <w:start w:val="1"/>
      <w:numFmt w:val="decimal"/>
      <w:lvlText w:val="%1.%2.%3.%4"/>
      <w:lvlJc w:val="left"/>
      <w:pPr>
        <w:tabs>
          <w:tab w:val="num" w:pos="5400"/>
        </w:tabs>
        <w:ind w:left="5400" w:hanging="1080"/>
      </w:pPr>
      <w:rPr>
        <w:rFonts w:cs="Times New Roman"/>
        <w:u w:val="single"/>
      </w:rPr>
    </w:lvl>
    <w:lvl w:ilvl="4">
      <w:start w:val="1"/>
      <w:numFmt w:val="decimal"/>
      <w:lvlText w:val="%1.%2.%3.%4.%5"/>
      <w:lvlJc w:val="left"/>
      <w:pPr>
        <w:tabs>
          <w:tab w:val="num" w:pos="6840"/>
        </w:tabs>
        <w:ind w:left="6840" w:hanging="1080"/>
      </w:pPr>
      <w:rPr>
        <w:rFonts w:cs="Times New Roman"/>
        <w:u w:val="single"/>
      </w:rPr>
    </w:lvl>
    <w:lvl w:ilvl="5">
      <w:start w:val="1"/>
      <w:numFmt w:val="decimal"/>
      <w:lvlText w:val="%1.%2.%3.%4.%5.%6"/>
      <w:lvlJc w:val="left"/>
      <w:pPr>
        <w:tabs>
          <w:tab w:val="num" w:pos="8640"/>
        </w:tabs>
        <w:ind w:left="8640" w:hanging="1440"/>
      </w:pPr>
      <w:rPr>
        <w:rFonts w:cs="Times New Roman"/>
        <w:u w:val="single"/>
      </w:rPr>
    </w:lvl>
    <w:lvl w:ilvl="6">
      <w:start w:val="1"/>
      <w:numFmt w:val="decimal"/>
      <w:lvlText w:val="%1.%2.%3.%4.%5.%6.%7"/>
      <w:lvlJc w:val="left"/>
      <w:pPr>
        <w:tabs>
          <w:tab w:val="num" w:pos="10080"/>
        </w:tabs>
        <w:ind w:left="10080" w:hanging="1440"/>
      </w:pPr>
      <w:rPr>
        <w:rFonts w:cs="Times New Roman"/>
        <w:u w:val="single"/>
      </w:rPr>
    </w:lvl>
    <w:lvl w:ilvl="7">
      <w:start w:val="1"/>
      <w:numFmt w:val="decimal"/>
      <w:lvlText w:val="%1.%2.%3.%4.%5.%6.%7.%8"/>
      <w:lvlJc w:val="left"/>
      <w:pPr>
        <w:tabs>
          <w:tab w:val="num" w:pos="11880"/>
        </w:tabs>
        <w:ind w:left="11880" w:hanging="1800"/>
      </w:pPr>
      <w:rPr>
        <w:rFonts w:cs="Times New Roman"/>
        <w:u w:val="single"/>
      </w:rPr>
    </w:lvl>
    <w:lvl w:ilvl="8">
      <w:start w:val="1"/>
      <w:numFmt w:val="decimal"/>
      <w:lvlText w:val="%1.%2.%3.%4.%5.%6.%7.%8.%9"/>
      <w:lvlJc w:val="left"/>
      <w:pPr>
        <w:tabs>
          <w:tab w:val="num" w:pos="13320"/>
        </w:tabs>
        <w:ind w:left="13320" w:hanging="1800"/>
      </w:pPr>
      <w:rPr>
        <w:rFonts w:cs="Times New Roman"/>
        <w:u w:val="single"/>
      </w:rPr>
    </w:lvl>
  </w:abstractNum>
  <w:abstractNum w:abstractNumId="15" w15:restartNumberingAfterBreak="0">
    <w:nsid w:val="119231A8"/>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16" w15:restartNumberingAfterBreak="0">
    <w:nsid w:val="132D568B"/>
    <w:multiLevelType w:val="hybridMultilevel"/>
    <w:tmpl w:val="7A7430F4"/>
    <w:lvl w:ilvl="0" w:tplc="2ACE80F4">
      <w:start w:val="1"/>
      <w:numFmt w:val="lowerRoman"/>
      <w:lvlText w:val="%1)"/>
      <w:lvlJc w:val="left"/>
      <w:pPr>
        <w:tabs>
          <w:tab w:val="num" w:pos="1080"/>
        </w:tabs>
        <w:ind w:left="1080" w:hanging="72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 w15:restartNumberingAfterBreak="0">
    <w:nsid w:val="13D34257"/>
    <w:multiLevelType w:val="hybridMultilevel"/>
    <w:tmpl w:val="AB5205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Tahoma" w:hAnsi="Tahoma" w:cs="Times New Roman"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Tahoma" w:hAnsi="Tahoma" w:cs="Times New Roman"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Tahoma" w:hAnsi="Tahoma" w:cs="Times New Roman" w:hint="default"/>
      </w:rPr>
    </w:lvl>
  </w:abstractNum>
  <w:abstractNum w:abstractNumId="18" w15:restartNumberingAfterBreak="0">
    <w:nsid w:val="170C6842"/>
    <w:multiLevelType w:val="hybridMultilevel"/>
    <w:tmpl w:val="FCBC4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7363661"/>
    <w:multiLevelType w:val="hybridMultilevel"/>
    <w:tmpl w:val="BB46E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8676BB1"/>
    <w:multiLevelType w:val="hybridMultilevel"/>
    <w:tmpl w:val="771E2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90B6B02"/>
    <w:multiLevelType w:val="hybridMultilevel"/>
    <w:tmpl w:val="F06271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19CA1058"/>
    <w:multiLevelType w:val="hybridMultilevel"/>
    <w:tmpl w:val="35F0BF0C"/>
    <w:lvl w:ilvl="0" w:tplc="DC88EA12">
      <w:start w:val="1"/>
      <w:numFmt w:val="lowerRoman"/>
      <w:lvlText w:val="(%1)"/>
      <w:lvlJc w:val="left"/>
      <w:pPr>
        <w:ind w:left="1080" w:hanging="72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3" w15:restartNumberingAfterBreak="0">
    <w:nsid w:val="1A475805"/>
    <w:multiLevelType w:val="hybridMultilevel"/>
    <w:tmpl w:val="559C9CE6"/>
    <w:lvl w:ilvl="0" w:tplc="080A0017">
      <w:start w:val="1"/>
      <w:numFmt w:val="lowerLetter"/>
      <w:lvlText w:val="%1)"/>
      <w:lvlJc w:val="left"/>
      <w:pPr>
        <w:ind w:left="2483" w:hanging="360"/>
      </w:pPr>
    </w:lvl>
    <w:lvl w:ilvl="1" w:tplc="080A0019" w:tentative="1">
      <w:start w:val="1"/>
      <w:numFmt w:val="lowerLetter"/>
      <w:lvlText w:val="%2."/>
      <w:lvlJc w:val="left"/>
      <w:pPr>
        <w:ind w:left="3203" w:hanging="360"/>
      </w:pPr>
    </w:lvl>
    <w:lvl w:ilvl="2" w:tplc="080A001B" w:tentative="1">
      <w:start w:val="1"/>
      <w:numFmt w:val="lowerRoman"/>
      <w:lvlText w:val="%3."/>
      <w:lvlJc w:val="right"/>
      <w:pPr>
        <w:ind w:left="3923" w:hanging="180"/>
      </w:pPr>
    </w:lvl>
    <w:lvl w:ilvl="3" w:tplc="080A000F" w:tentative="1">
      <w:start w:val="1"/>
      <w:numFmt w:val="decimal"/>
      <w:lvlText w:val="%4."/>
      <w:lvlJc w:val="left"/>
      <w:pPr>
        <w:ind w:left="4643" w:hanging="360"/>
      </w:pPr>
    </w:lvl>
    <w:lvl w:ilvl="4" w:tplc="080A0019" w:tentative="1">
      <w:start w:val="1"/>
      <w:numFmt w:val="lowerLetter"/>
      <w:lvlText w:val="%5."/>
      <w:lvlJc w:val="left"/>
      <w:pPr>
        <w:ind w:left="5363" w:hanging="360"/>
      </w:pPr>
    </w:lvl>
    <w:lvl w:ilvl="5" w:tplc="080A001B" w:tentative="1">
      <w:start w:val="1"/>
      <w:numFmt w:val="lowerRoman"/>
      <w:lvlText w:val="%6."/>
      <w:lvlJc w:val="right"/>
      <w:pPr>
        <w:ind w:left="6083" w:hanging="180"/>
      </w:pPr>
    </w:lvl>
    <w:lvl w:ilvl="6" w:tplc="080A000F" w:tentative="1">
      <w:start w:val="1"/>
      <w:numFmt w:val="decimal"/>
      <w:lvlText w:val="%7."/>
      <w:lvlJc w:val="left"/>
      <w:pPr>
        <w:ind w:left="6803" w:hanging="360"/>
      </w:pPr>
    </w:lvl>
    <w:lvl w:ilvl="7" w:tplc="080A0019" w:tentative="1">
      <w:start w:val="1"/>
      <w:numFmt w:val="lowerLetter"/>
      <w:lvlText w:val="%8."/>
      <w:lvlJc w:val="left"/>
      <w:pPr>
        <w:ind w:left="7523" w:hanging="360"/>
      </w:pPr>
    </w:lvl>
    <w:lvl w:ilvl="8" w:tplc="080A001B" w:tentative="1">
      <w:start w:val="1"/>
      <w:numFmt w:val="lowerRoman"/>
      <w:lvlText w:val="%9."/>
      <w:lvlJc w:val="right"/>
      <w:pPr>
        <w:ind w:left="8243" w:hanging="180"/>
      </w:pPr>
    </w:lvl>
  </w:abstractNum>
  <w:abstractNum w:abstractNumId="24"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Tahoma" w:hAnsi="Tahoma"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Tahoma" w:hAnsi="Tahoma" w:cs="Times New Roman"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Tahoma" w:hAnsi="Tahoma" w:cs="Times New Roman" w:hint="default"/>
      </w:rPr>
    </w:lvl>
  </w:abstractNum>
  <w:abstractNum w:abstractNumId="25"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sz w:val="21"/>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Tahoma" w:hAnsi="Tahoma"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Tahoma" w:hAnsi="Tahoma" w:cs="Times New Roman"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Tahoma" w:hAnsi="Tahoma" w:cs="Times New Roman" w:hint="default"/>
      </w:rPr>
    </w:lvl>
  </w:abstractNum>
  <w:abstractNum w:abstractNumId="28"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9" w15:restartNumberingAfterBreak="0">
    <w:nsid w:val="26316F89"/>
    <w:multiLevelType w:val="hybridMultilevel"/>
    <w:tmpl w:val="559C9CE6"/>
    <w:lvl w:ilvl="0" w:tplc="080A0017">
      <w:start w:val="1"/>
      <w:numFmt w:val="lowerLetter"/>
      <w:lvlText w:val="%1)"/>
      <w:lvlJc w:val="left"/>
      <w:pPr>
        <w:ind w:left="2483" w:hanging="360"/>
      </w:pPr>
    </w:lvl>
    <w:lvl w:ilvl="1" w:tplc="080A0019" w:tentative="1">
      <w:start w:val="1"/>
      <w:numFmt w:val="lowerLetter"/>
      <w:lvlText w:val="%2."/>
      <w:lvlJc w:val="left"/>
      <w:pPr>
        <w:ind w:left="3203" w:hanging="360"/>
      </w:pPr>
    </w:lvl>
    <w:lvl w:ilvl="2" w:tplc="080A001B" w:tentative="1">
      <w:start w:val="1"/>
      <w:numFmt w:val="lowerRoman"/>
      <w:lvlText w:val="%3."/>
      <w:lvlJc w:val="right"/>
      <w:pPr>
        <w:ind w:left="3923" w:hanging="180"/>
      </w:pPr>
    </w:lvl>
    <w:lvl w:ilvl="3" w:tplc="080A000F" w:tentative="1">
      <w:start w:val="1"/>
      <w:numFmt w:val="decimal"/>
      <w:lvlText w:val="%4."/>
      <w:lvlJc w:val="left"/>
      <w:pPr>
        <w:ind w:left="4643" w:hanging="360"/>
      </w:pPr>
    </w:lvl>
    <w:lvl w:ilvl="4" w:tplc="080A0019" w:tentative="1">
      <w:start w:val="1"/>
      <w:numFmt w:val="lowerLetter"/>
      <w:lvlText w:val="%5."/>
      <w:lvlJc w:val="left"/>
      <w:pPr>
        <w:ind w:left="5363" w:hanging="360"/>
      </w:pPr>
    </w:lvl>
    <w:lvl w:ilvl="5" w:tplc="080A001B" w:tentative="1">
      <w:start w:val="1"/>
      <w:numFmt w:val="lowerRoman"/>
      <w:lvlText w:val="%6."/>
      <w:lvlJc w:val="right"/>
      <w:pPr>
        <w:ind w:left="6083" w:hanging="180"/>
      </w:pPr>
    </w:lvl>
    <w:lvl w:ilvl="6" w:tplc="080A000F" w:tentative="1">
      <w:start w:val="1"/>
      <w:numFmt w:val="decimal"/>
      <w:lvlText w:val="%7."/>
      <w:lvlJc w:val="left"/>
      <w:pPr>
        <w:ind w:left="6803" w:hanging="360"/>
      </w:pPr>
    </w:lvl>
    <w:lvl w:ilvl="7" w:tplc="080A0019" w:tentative="1">
      <w:start w:val="1"/>
      <w:numFmt w:val="lowerLetter"/>
      <w:lvlText w:val="%8."/>
      <w:lvlJc w:val="left"/>
      <w:pPr>
        <w:ind w:left="7523" w:hanging="360"/>
      </w:pPr>
    </w:lvl>
    <w:lvl w:ilvl="8" w:tplc="080A001B" w:tentative="1">
      <w:start w:val="1"/>
      <w:numFmt w:val="lowerRoman"/>
      <w:lvlText w:val="%9."/>
      <w:lvlJc w:val="right"/>
      <w:pPr>
        <w:ind w:left="8243" w:hanging="180"/>
      </w:pPr>
    </w:lvl>
  </w:abstractNum>
  <w:abstractNum w:abstractNumId="30"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start w:val="1"/>
      <w:numFmt w:val="bullet"/>
      <w:lvlText w:val="o"/>
      <w:lvlJc w:val="left"/>
      <w:pPr>
        <w:ind w:left="2858" w:hanging="360"/>
      </w:pPr>
      <w:rPr>
        <w:rFonts w:ascii="Courier New" w:hAnsi="Courier New" w:cs="Courier New" w:hint="default"/>
      </w:rPr>
    </w:lvl>
    <w:lvl w:ilvl="2" w:tplc="080A0005">
      <w:start w:val="1"/>
      <w:numFmt w:val="bullet"/>
      <w:lvlText w:val=""/>
      <w:lvlJc w:val="left"/>
      <w:pPr>
        <w:ind w:left="3578" w:hanging="360"/>
      </w:pPr>
      <w:rPr>
        <w:rFonts w:ascii="Wingdings" w:hAnsi="Wingdings" w:hint="default"/>
      </w:rPr>
    </w:lvl>
    <w:lvl w:ilvl="3" w:tplc="080A0001">
      <w:start w:val="1"/>
      <w:numFmt w:val="bullet"/>
      <w:lvlText w:val=""/>
      <w:lvlJc w:val="left"/>
      <w:pPr>
        <w:ind w:left="4298" w:hanging="360"/>
      </w:pPr>
      <w:rPr>
        <w:rFonts w:ascii="Symbol" w:hAnsi="Symbol" w:hint="default"/>
      </w:rPr>
    </w:lvl>
    <w:lvl w:ilvl="4" w:tplc="080A0003">
      <w:start w:val="1"/>
      <w:numFmt w:val="bullet"/>
      <w:lvlText w:val="o"/>
      <w:lvlJc w:val="left"/>
      <w:pPr>
        <w:ind w:left="5018" w:hanging="360"/>
      </w:pPr>
      <w:rPr>
        <w:rFonts w:ascii="Courier New" w:hAnsi="Courier New" w:cs="Courier New" w:hint="default"/>
      </w:rPr>
    </w:lvl>
    <w:lvl w:ilvl="5" w:tplc="080A0005">
      <w:start w:val="1"/>
      <w:numFmt w:val="bullet"/>
      <w:lvlText w:val=""/>
      <w:lvlJc w:val="left"/>
      <w:pPr>
        <w:ind w:left="5738" w:hanging="360"/>
      </w:pPr>
      <w:rPr>
        <w:rFonts w:ascii="Wingdings" w:hAnsi="Wingdings" w:hint="default"/>
      </w:rPr>
    </w:lvl>
    <w:lvl w:ilvl="6" w:tplc="080A0001">
      <w:start w:val="1"/>
      <w:numFmt w:val="bullet"/>
      <w:lvlText w:val=""/>
      <w:lvlJc w:val="left"/>
      <w:pPr>
        <w:ind w:left="6458" w:hanging="360"/>
      </w:pPr>
      <w:rPr>
        <w:rFonts w:ascii="Symbol" w:hAnsi="Symbol" w:hint="default"/>
      </w:rPr>
    </w:lvl>
    <w:lvl w:ilvl="7" w:tplc="080A0003">
      <w:start w:val="1"/>
      <w:numFmt w:val="bullet"/>
      <w:lvlText w:val="o"/>
      <w:lvlJc w:val="left"/>
      <w:pPr>
        <w:ind w:left="7178" w:hanging="360"/>
      </w:pPr>
      <w:rPr>
        <w:rFonts w:ascii="Courier New" w:hAnsi="Courier New" w:cs="Courier New" w:hint="default"/>
      </w:rPr>
    </w:lvl>
    <w:lvl w:ilvl="8" w:tplc="080A0005">
      <w:start w:val="1"/>
      <w:numFmt w:val="bullet"/>
      <w:lvlText w:val=""/>
      <w:lvlJc w:val="left"/>
      <w:pPr>
        <w:ind w:left="7898" w:hanging="360"/>
      </w:pPr>
      <w:rPr>
        <w:rFonts w:ascii="Wingdings" w:hAnsi="Wingdings" w:hint="default"/>
      </w:rPr>
    </w:lvl>
  </w:abstractNum>
  <w:abstractNum w:abstractNumId="31" w15:restartNumberingAfterBreak="0">
    <w:nsid w:val="2914216F"/>
    <w:multiLevelType w:val="multilevel"/>
    <w:tmpl w:val="8EA49E58"/>
    <w:lvl w:ilvl="0">
      <w:start w:val="5"/>
      <w:numFmt w:val="decimal"/>
      <w:lvlText w:val="%1"/>
      <w:lvlJc w:val="left"/>
      <w:pPr>
        <w:tabs>
          <w:tab w:val="num" w:pos="720"/>
        </w:tabs>
        <w:ind w:left="720" w:hanging="720"/>
      </w:pPr>
      <w:rPr>
        <w:rFonts w:cs="Times New Roman"/>
      </w:rPr>
    </w:lvl>
    <w:lvl w:ilvl="1">
      <w:start w:val="1"/>
      <w:numFmt w:val="decimal"/>
      <w:lvlText w:val="%1.%2"/>
      <w:lvlJc w:val="left"/>
      <w:pPr>
        <w:tabs>
          <w:tab w:val="num" w:pos="1200"/>
        </w:tabs>
        <w:ind w:left="1200" w:hanging="720"/>
      </w:pPr>
      <w:rPr>
        <w:rFonts w:cs="Times New Roman"/>
      </w:rPr>
    </w:lvl>
    <w:lvl w:ilvl="2">
      <w:start w:val="1"/>
      <w:numFmt w:val="decimal"/>
      <w:lvlText w:val="%1.%2.%3"/>
      <w:lvlJc w:val="left"/>
      <w:pPr>
        <w:tabs>
          <w:tab w:val="num" w:pos="1680"/>
        </w:tabs>
        <w:ind w:left="1680" w:hanging="720"/>
      </w:pPr>
      <w:rPr>
        <w:rFonts w:cs="Times New Roman"/>
      </w:rPr>
    </w:lvl>
    <w:lvl w:ilvl="3">
      <w:start w:val="2"/>
      <w:numFmt w:val="decimal"/>
      <w:lvlText w:val="%1.%2.%3.%4"/>
      <w:lvlJc w:val="left"/>
      <w:pPr>
        <w:tabs>
          <w:tab w:val="num" w:pos="2520"/>
        </w:tabs>
        <w:ind w:left="2520" w:hanging="1080"/>
      </w:pPr>
      <w:rPr>
        <w:rFonts w:cs="Times New Roman"/>
        <w:b w:val="0"/>
      </w:rPr>
    </w:lvl>
    <w:lvl w:ilvl="4">
      <w:start w:val="1"/>
      <w:numFmt w:val="decimal"/>
      <w:lvlText w:val="%1.%2.%3.%4.%5"/>
      <w:lvlJc w:val="left"/>
      <w:pPr>
        <w:tabs>
          <w:tab w:val="num" w:pos="3000"/>
        </w:tabs>
        <w:ind w:left="3000" w:hanging="1080"/>
      </w:pPr>
      <w:rPr>
        <w:rFonts w:cs="Times New Roman"/>
      </w:rPr>
    </w:lvl>
    <w:lvl w:ilvl="5">
      <w:start w:val="1"/>
      <w:numFmt w:val="decimal"/>
      <w:lvlText w:val="%1.%2.%3.%4.%5.%6"/>
      <w:lvlJc w:val="left"/>
      <w:pPr>
        <w:tabs>
          <w:tab w:val="num" w:pos="3840"/>
        </w:tabs>
        <w:ind w:left="3840" w:hanging="1440"/>
      </w:pPr>
      <w:rPr>
        <w:rFonts w:cs="Times New Roman"/>
      </w:rPr>
    </w:lvl>
    <w:lvl w:ilvl="6">
      <w:start w:val="1"/>
      <w:numFmt w:val="decimal"/>
      <w:lvlText w:val="%1.%2.%3.%4.%5.%6.%7"/>
      <w:lvlJc w:val="left"/>
      <w:pPr>
        <w:tabs>
          <w:tab w:val="num" w:pos="4320"/>
        </w:tabs>
        <w:ind w:left="4320" w:hanging="1440"/>
      </w:pPr>
      <w:rPr>
        <w:rFonts w:cs="Times New Roman"/>
      </w:rPr>
    </w:lvl>
    <w:lvl w:ilvl="7">
      <w:start w:val="1"/>
      <w:numFmt w:val="decimal"/>
      <w:lvlText w:val="%1.%2.%3.%4.%5.%6.%7.%8"/>
      <w:lvlJc w:val="left"/>
      <w:pPr>
        <w:tabs>
          <w:tab w:val="num" w:pos="5160"/>
        </w:tabs>
        <w:ind w:left="5160" w:hanging="1800"/>
      </w:pPr>
      <w:rPr>
        <w:rFonts w:cs="Times New Roman"/>
      </w:rPr>
    </w:lvl>
    <w:lvl w:ilvl="8">
      <w:start w:val="1"/>
      <w:numFmt w:val="decimal"/>
      <w:lvlText w:val="%1.%2.%3.%4.%5.%6.%7.%8.%9"/>
      <w:lvlJc w:val="left"/>
      <w:pPr>
        <w:tabs>
          <w:tab w:val="num" w:pos="5640"/>
        </w:tabs>
        <w:ind w:left="5640" w:hanging="1800"/>
      </w:pPr>
      <w:rPr>
        <w:rFonts w:cs="Times New Roman"/>
      </w:rPr>
    </w:lvl>
  </w:abstractNum>
  <w:abstractNum w:abstractNumId="32"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15:restartNumberingAfterBreak="0">
    <w:nsid w:val="2D8B7AD4"/>
    <w:multiLevelType w:val="hybridMultilevel"/>
    <w:tmpl w:val="EE248D92"/>
    <w:lvl w:ilvl="0" w:tplc="0C0A0001">
      <w:start w:val="1"/>
      <w:numFmt w:val="bullet"/>
      <w:lvlText w:val=""/>
      <w:lvlJc w:val="left"/>
      <w:pPr>
        <w:ind w:left="1494" w:hanging="360"/>
      </w:pPr>
      <w:rPr>
        <w:rFonts w:ascii="Symbol" w:hAnsi="Symbol" w:hint="default"/>
      </w:rPr>
    </w:lvl>
    <w:lvl w:ilvl="1" w:tplc="0C0A0003">
      <w:start w:val="1"/>
      <w:numFmt w:val="bullet"/>
      <w:lvlText w:val="o"/>
      <w:lvlJc w:val="left"/>
      <w:pPr>
        <w:ind w:left="2214" w:hanging="360"/>
      </w:pPr>
      <w:rPr>
        <w:rFonts w:ascii="Courier New" w:hAnsi="Courier New" w:cs="Courier New" w:hint="default"/>
      </w:rPr>
    </w:lvl>
    <w:lvl w:ilvl="2" w:tplc="0C0A0005">
      <w:start w:val="1"/>
      <w:numFmt w:val="bullet"/>
      <w:lvlText w:val=""/>
      <w:lvlJc w:val="left"/>
      <w:pPr>
        <w:ind w:left="2934" w:hanging="360"/>
      </w:pPr>
      <w:rPr>
        <w:rFonts w:ascii="Wingdings" w:hAnsi="Wingdings" w:hint="default"/>
      </w:rPr>
    </w:lvl>
    <w:lvl w:ilvl="3" w:tplc="0C0A0001">
      <w:start w:val="1"/>
      <w:numFmt w:val="bullet"/>
      <w:lvlText w:val=""/>
      <w:lvlJc w:val="left"/>
      <w:pPr>
        <w:ind w:left="3654" w:hanging="360"/>
      </w:pPr>
      <w:rPr>
        <w:rFonts w:ascii="Symbol" w:hAnsi="Symbol" w:hint="default"/>
      </w:rPr>
    </w:lvl>
    <w:lvl w:ilvl="4" w:tplc="0C0A0003">
      <w:start w:val="1"/>
      <w:numFmt w:val="bullet"/>
      <w:lvlText w:val="o"/>
      <w:lvlJc w:val="left"/>
      <w:pPr>
        <w:ind w:left="4374" w:hanging="360"/>
      </w:pPr>
      <w:rPr>
        <w:rFonts w:ascii="Courier New" w:hAnsi="Courier New" w:cs="Courier New" w:hint="default"/>
      </w:rPr>
    </w:lvl>
    <w:lvl w:ilvl="5" w:tplc="0C0A0005">
      <w:start w:val="1"/>
      <w:numFmt w:val="bullet"/>
      <w:lvlText w:val=""/>
      <w:lvlJc w:val="left"/>
      <w:pPr>
        <w:ind w:left="5094" w:hanging="360"/>
      </w:pPr>
      <w:rPr>
        <w:rFonts w:ascii="Wingdings" w:hAnsi="Wingdings" w:hint="default"/>
      </w:rPr>
    </w:lvl>
    <w:lvl w:ilvl="6" w:tplc="0C0A0001">
      <w:start w:val="1"/>
      <w:numFmt w:val="bullet"/>
      <w:lvlText w:val=""/>
      <w:lvlJc w:val="left"/>
      <w:pPr>
        <w:ind w:left="5814" w:hanging="360"/>
      </w:pPr>
      <w:rPr>
        <w:rFonts w:ascii="Symbol" w:hAnsi="Symbol" w:hint="default"/>
      </w:rPr>
    </w:lvl>
    <w:lvl w:ilvl="7" w:tplc="0C0A0003">
      <w:start w:val="1"/>
      <w:numFmt w:val="bullet"/>
      <w:lvlText w:val="o"/>
      <w:lvlJc w:val="left"/>
      <w:pPr>
        <w:ind w:left="6534" w:hanging="360"/>
      </w:pPr>
      <w:rPr>
        <w:rFonts w:ascii="Courier New" w:hAnsi="Courier New" w:cs="Courier New" w:hint="default"/>
      </w:rPr>
    </w:lvl>
    <w:lvl w:ilvl="8" w:tplc="0C0A0005">
      <w:start w:val="1"/>
      <w:numFmt w:val="bullet"/>
      <w:lvlText w:val=""/>
      <w:lvlJc w:val="left"/>
      <w:pPr>
        <w:ind w:left="7254" w:hanging="360"/>
      </w:pPr>
      <w:rPr>
        <w:rFonts w:ascii="Wingdings" w:hAnsi="Wingdings" w:hint="default"/>
      </w:rPr>
    </w:lvl>
  </w:abstractNum>
  <w:abstractNum w:abstractNumId="34"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rPr>
    </w:lvl>
    <w:lvl w:ilvl="1" w:tplc="1E4A54F2">
      <w:start w:val="1"/>
      <w:numFmt w:val="lowerRoman"/>
      <w:lvlText w:val="%2."/>
      <w:lvlJc w:val="left"/>
      <w:pPr>
        <w:tabs>
          <w:tab w:val="num" w:pos="737"/>
        </w:tabs>
        <w:ind w:left="737" w:hanging="453"/>
      </w:pPr>
      <w:rPr>
        <w:rFonts w:cs="Times New Roman"/>
      </w:rPr>
    </w:lvl>
    <w:lvl w:ilvl="2" w:tplc="534CF6C8">
      <w:start w:val="1"/>
      <w:numFmt w:val="decimal"/>
      <w:lvlText w:val="%3)"/>
      <w:lvlJc w:val="left"/>
      <w:pPr>
        <w:tabs>
          <w:tab w:val="num" w:pos="2340"/>
        </w:tabs>
        <w:ind w:left="2340" w:hanging="360"/>
      </w:pPr>
      <w:rPr>
        <w:rFonts w:cs="Times New Roman"/>
      </w:rPr>
    </w:lvl>
    <w:lvl w:ilvl="3" w:tplc="160AF696">
      <w:start w:val="1"/>
      <w:numFmt w:val="decimal"/>
      <w:lvlText w:val="%4."/>
      <w:lvlJc w:val="left"/>
      <w:pPr>
        <w:tabs>
          <w:tab w:val="num" w:pos="2700"/>
        </w:tabs>
        <w:ind w:left="2700" w:hanging="360"/>
      </w:pPr>
      <w:rPr>
        <w:rFonts w:cs="Times New Roman"/>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7"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38"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0A6603"/>
    <w:multiLevelType w:val="hybridMultilevel"/>
    <w:tmpl w:val="09902F3C"/>
    <w:lvl w:ilvl="0" w:tplc="080A0017">
      <w:start w:val="1"/>
      <w:numFmt w:val="lowerLetter"/>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start w:val="1"/>
      <w:numFmt w:val="lowerLetter"/>
      <w:lvlText w:val="%5."/>
      <w:lvlJc w:val="left"/>
      <w:pPr>
        <w:ind w:left="5760" w:hanging="360"/>
      </w:pPr>
    </w:lvl>
    <w:lvl w:ilvl="5" w:tplc="080A001B">
      <w:start w:val="1"/>
      <w:numFmt w:val="lowerRoman"/>
      <w:lvlText w:val="%6."/>
      <w:lvlJc w:val="right"/>
      <w:pPr>
        <w:ind w:left="6480" w:hanging="180"/>
      </w:pPr>
    </w:lvl>
    <w:lvl w:ilvl="6" w:tplc="080A000F">
      <w:start w:val="1"/>
      <w:numFmt w:val="decimal"/>
      <w:lvlText w:val="%7."/>
      <w:lvlJc w:val="left"/>
      <w:pPr>
        <w:ind w:left="7200" w:hanging="360"/>
      </w:pPr>
    </w:lvl>
    <w:lvl w:ilvl="7" w:tplc="080A0019">
      <w:start w:val="1"/>
      <w:numFmt w:val="lowerLetter"/>
      <w:lvlText w:val="%8."/>
      <w:lvlJc w:val="left"/>
      <w:pPr>
        <w:ind w:left="7920" w:hanging="360"/>
      </w:pPr>
    </w:lvl>
    <w:lvl w:ilvl="8" w:tplc="080A001B">
      <w:start w:val="1"/>
      <w:numFmt w:val="lowerRoman"/>
      <w:lvlText w:val="%9."/>
      <w:lvlJc w:val="right"/>
      <w:pPr>
        <w:ind w:left="8640" w:hanging="180"/>
      </w:pPr>
    </w:lvl>
  </w:abstractNum>
  <w:abstractNum w:abstractNumId="40"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1" w15:restartNumberingAfterBreak="0">
    <w:nsid w:val="3A273220"/>
    <w:multiLevelType w:val="multilevel"/>
    <w:tmpl w:val="7292E08A"/>
    <w:lvl w:ilvl="0">
      <w:start w:val="9"/>
      <w:numFmt w:val="decimal"/>
      <w:lvlText w:val="%1"/>
      <w:lvlJc w:val="left"/>
      <w:pPr>
        <w:tabs>
          <w:tab w:val="num" w:pos="735"/>
        </w:tabs>
        <w:ind w:left="735" w:hanging="735"/>
      </w:pPr>
    </w:lvl>
    <w:lvl w:ilvl="1">
      <w:start w:val="1"/>
      <w:numFmt w:val="decimal"/>
      <w:lvlText w:val="%1.%2"/>
      <w:lvlJc w:val="left"/>
      <w:pPr>
        <w:tabs>
          <w:tab w:val="num" w:pos="1215"/>
        </w:tabs>
        <w:ind w:left="1215" w:hanging="735"/>
      </w:pPr>
    </w:lvl>
    <w:lvl w:ilvl="2">
      <w:start w:val="2"/>
      <w:numFmt w:val="decimal"/>
      <w:lvlText w:val="%1.%2.%3"/>
      <w:lvlJc w:val="left"/>
      <w:pPr>
        <w:tabs>
          <w:tab w:val="num" w:pos="1695"/>
        </w:tabs>
        <w:ind w:left="1695" w:hanging="735"/>
      </w:pPr>
    </w:lvl>
    <w:lvl w:ilvl="3">
      <w:start w:val="3"/>
      <w:numFmt w:val="decimal"/>
      <w:lvlText w:val="%1.%2.%3.%4"/>
      <w:lvlJc w:val="left"/>
      <w:pPr>
        <w:tabs>
          <w:tab w:val="num" w:pos="2520"/>
        </w:tabs>
        <w:ind w:left="2520" w:hanging="1080"/>
      </w:pPr>
    </w:lvl>
    <w:lvl w:ilvl="4">
      <w:start w:val="1"/>
      <w:numFmt w:val="decimal"/>
      <w:lvlText w:val="%1.%2.%3.%4.%5"/>
      <w:lvlJc w:val="left"/>
      <w:pPr>
        <w:tabs>
          <w:tab w:val="num" w:pos="3000"/>
        </w:tabs>
        <w:ind w:left="3000" w:hanging="1080"/>
      </w:pPr>
    </w:lvl>
    <w:lvl w:ilvl="5">
      <w:start w:val="1"/>
      <w:numFmt w:val="decimal"/>
      <w:lvlText w:val="%1.%2.%3.%4.%5.%6"/>
      <w:lvlJc w:val="left"/>
      <w:pPr>
        <w:tabs>
          <w:tab w:val="num" w:pos="3840"/>
        </w:tabs>
        <w:ind w:left="3840" w:hanging="144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5160"/>
        </w:tabs>
        <w:ind w:left="5160" w:hanging="1800"/>
      </w:pPr>
    </w:lvl>
    <w:lvl w:ilvl="8">
      <w:start w:val="1"/>
      <w:numFmt w:val="decimal"/>
      <w:lvlText w:val="%1.%2.%3.%4.%5.%6.%7.%8.%9"/>
      <w:lvlJc w:val="left"/>
      <w:pPr>
        <w:tabs>
          <w:tab w:val="num" w:pos="5640"/>
        </w:tabs>
        <w:ind w:left="5640" w:hanging="1800"/>
      </w:pPr>
    </w:lvl>
  </w:abstractNum>
  <w:abstractNum w:abstractNumId="42" w15:restartNumberingAfterBreak="0">
    <w:nsid w:val="3AD77C79"/>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3"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sz w:val="21"/>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6"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161644F"/>
    <w:multiLevelType w:val="hybridMultilevel"/>
    <w:tmpl w:val="E43A3D1E"/>
    <w:lvl w:ilvl="0" w:tplc="080A0001">
      <w:start w:val="1"/>
      <w:numFmt w:val="bullet"/>
      <w:lvlText w:val=""/>
      <w:lvlJc w:val="left"/>
      <w:pPr>
        <w:ind w:left="2727" w:hanging="360"/>
      </w:pPr>
      <w:rPr>
        <w:rFonts w:ascii="Symbol" w:hAnsi="Symbol" w:hint="default"/>
      </w:rPr>
    </w:lvl>
    <w:lvl w:ilvl="1" w:tplc="080A0003">
      <w:start w:val="1"/>
      <w:numFmt w:val="bullet"/>
      <w:lvlText w:val="o"/>
      <w:lvlJc w:val="left"/>
      <w:pPr>
        <w:ind w:left="3447" w:hanging="360"/>
      </w:pPr>
      <w:rPr>
        <w:rFonts w:ascii="Courier New" w:hAnsi="Courier New" w:cs="Courier New" w:hint="default"/>
      </w:rPr>
    </w:lvl>
    <w:lvl w:ilvl="2" w:tplc="080A0005">
      <w:start w:val="1"/>
      <w:numFmt w:val="bullet"/>
      <w:lvlText w:val=""/>
      <w:lvlJc w:val="left"/>
      <w:pPr>
        <w:ind w:left="4167" w:hanging="360"/>
      </w:pPr>
      <w:rPr>
        <w:rFonts w:ascii="Wingdings" w:hAnsi="Wingdings" w:hint="default"/>
      </w:rPr>
    </w:lvl>
    <w:lvl w:ilvl="3" w:tplc="080A0001">
      <w:start w:val="1"/>
      <w:numFmt w:val="bullet"/>
      <w:lvlText w:val=""/>
      <w:lvlJc w:val="left"/>
      <w:pPr>
        <w:ind w:left="4887" w:hanging="360"/>
      </w:pPr>
      <w:rPr>
        <w:rFonts w:ascii="Symbol" w:hAnsi="Symbol" w:hint="default"/>
      </w:rPr>
    </w:lvl>
    <w:lvl w:ilvl="4" w:tplc="080A0003">
      <w:start w:val="1"/>
      <w:numFmt w:val="bullet"/>
      <w:lvlText w:val="o"/>
      <w:lvlJc w:val="left"/>
      <w:pPr>
        <w:ind w:left="5607" w:hanging="360"/>
      </w:pPr>
      <w:rPr>
        <w:rFonts w:ascii="Courier New" w:hAnsi="Courier New" w:cs="Courier New" w:hint="default"/>
      </w:rPr>
    </w:lvl>
    <w:lvl w:ilvl="5" w:tplc="080A0005">
      <w:start w:val="1"/>
      <w:numFmt w:val="bullet"/>
      <w:lvlText w:val=""/>
      <w:lvlJc w:val="left"/>
      <w:pPr>
        <w:ind w:left="6327" w:hanging="360"/>
      </w:pPr>
      <w:rPr>
        <w:rFonts w:ascii="Wingdings" w:hAnsi="Wingdings" w:hint="default"/>
      </w:rPr>
    </w:lvl>
    <w:lvl w:ilvl="6" w:tplc="080A0001">
      <w:start w:val="1"/>
      <w:numFmt w:val="bullet"/>
      <w:lvlText w:val=""/>
      <w:lvlJc w:val="left"/>
      <w:pPr>
        <w:ind w:left="7047" w:hanging="360"/>
      </w:pPr>
      <w:rPr>
        <w:rFonts w:ascii="Symbol" w:hAnsi="Symbol" w:hint="default"/>
      </w:rPr>
    </w:lvl>
    <w:lvl w:ilvl="7" w:tplc="080A0003">
      <w:start w:val="1"/>
      <w:numFmt w:val="bullet"/>
      <w:lvlText w:val="o"/>
      <w:lvlJc w:val="left"/>
      <w:pPr>
        <w:ind w:left="7767" w:hanging="360"/>
      </w:pPr>
      <w:rPr>
        <w:rFonts w:ascii="Courier New" w:hAnsi="Courier New" w:cs="Courier New" w:hint="default"/>
      </w:rPr>
    </w:lvl>
    <w:lvl w:ilvl="8" w:tplc="080A0005">
      <w:start w:val="1"/>
      <w:numFmt w:val="bullet"/>
      <w:lvlText w:val=""/>
      <w:lvlJc w:val="left"/>
      <w:pPr>
        <w:ind w:left="8487" w:hanging="360"/>
      </w:pPr>
      <w:rPr>
        <w:rFonts w:ascii="Wingdings" w:hAnsi="Wingdings" w:hint="default"/>
      </w:rPr>
    </w:lvl>
  </w:abstractNum>
  <w:abstractNum w:abstractNumId="48" w15:restartNumberingAfterBreak="0">
    <w:nsid w:val="41870A7C"/>
    <w:multiLevelType w:val="hybridMultilevel"/>
    <w:tmpl w:val="A1A0E6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437646DE"/>
    <w:multiLevelType w:val="hybridMultilevel"/>
    <w:tmpl w:val="45B4960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0"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44CF01BF"/>
    <w:multiLevelType w:val="hybridMultilevel"/>
    <w:tmpl w:val="4DC04430"/>
    <w:lvl w:ilvl="0" w:tplc="4D8C6D80">
      <w:start w:val="3"/>
      <w:numFmt w:val="decimal"/>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2" w15:restartNumberingAfterBreak="0">
    <w:nsid w:val="477A6762"/>
    <w:multiLevelType w:val="hybridMultilevel"/>
    <w:tmpl w:val="C1463284"/>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3"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54" w15:restartNumberingAfterBreak="0">
    <w:nsid w:val="478D2DE8"/>
    <w:multiLevelType w:val="hybridMultilevel"/>
    <w:tmpl w:val="559C9CE6"/>
    <w:lvl w:ilvl="0" w:tplc="080A0017">
      <w:start w:val="1"/>
      <w:numFmt w:val="lowerLetter"/>
      <w:lvlText w:val="%1)"/>
      <w:lvlJc w:val="left"/>
      <w:pPr>
        <w:ind w:left="2483" w:hanging="360"/>
      </w:pPr>
    </w:lvl>
    <w:lvl w:ilvl="1" w:tplc="080A0019" w:tentative="1">
      <w:start w:val="1"/>
      <w:numFmt w:val="lowerLetter"/>
      <w:lvlText w:val="%2."/>
      <w:lvlJc w:val="left"/>
      <w:pPr>
        <w:ind w:left="3203" w:hanging="360"/>
      </w:pPr>
    </w:lvl>
    <w:lvl w:ilvl="2" w:tplc="080A001B" w:tentative="1">
      <w:start w:val="1"/>
      <w:numFmt w:val="lowerRoman"/>
      <w:lvlText w:val="%3."/>
      <w:lvlJc w:val="right"/>
      <w:pPr>
        <w:ind w:left="3923" w:hanging="180"/>
      </w:pPr>
    </w:lvl>
    <w:lvl w:ilvl="3" w:tplc="080A000F" w:tentative="1">
      <w:start w:val="1"/>
      <w:numFmt w:val="decimal"/>
      <w:lvlText w:val="%4."/>
      <w:lvlJc w:val="left"/>
      <w:pPr>
        <w:ind w:left="4643" w:hanging="360"/>
      </w:pPr>
    </w:lvl>
    <w:lvl w:ilvl="4" w:tplc="080A0019" w:tentative="1">
      <w:start w:val="1"/>
      <w:numFmt w:val="lowerLetter"/>
      <w:lvlText w:val="%5."/>
      <w:lvlJc w:val="left"/>
      <w:pPr>
        <w:ind w:left="5363" w:hanging="360"/>
      </w:pPr>
    </w:lvl>
    <w:lvl w:ilvl="5" w:tplc="080A001B" w:tentative="1">
      <w:start w:val="1"/>
      <w:numFmt w:val="lowerRoman"/>
      <w:lvlText w:val="%6."/>
      <w:lvlJc w:val="right"/>
      <w:pPr>
        <w:ind w:left="6083" w:hanging="180"/>
      </w:pPr>
    </w:lvl>
    <w:lvl w:ilvl="6" w:tplc="080A000F" w:tentative="1">
      <w:start w:val="1"/>
      <w:numFmt w:val="decimal"/>
      <w:lvlText w:val="%7."/>
      <w:lvlJc w:val="left"/>
      <w:pPr>
        <w:ind w:left="6803" w:hanging="360"/>
      </w:pPr>
    </w:lvl>
    <w:lvl w:ilvl="7" w:tplc="080A0019" w:tentative="1">
      <w:start w:val="1"/>
      <w:numFmt w:val="lowerLetter"/>
      <w:lvlText w:val="%8."/>
      <w:lvlJc w:val="left"/>
      <w:pPr>
        <w:ind w:left="7523" w:hanging="360"/>
      </w:pPr>
    </w:lvl>
    <w:lvl w:ilvl="8" w:tplc="080A001B" w:tentative="1">
      <w:start w:val="1"/>
      <w:numFmt w:val="lowerRoman"/>
      <w:lvlText w:val="%9."/>
      <w:lvlJc w:val="right"/>
      <w:pPr>
        <w:ind w:left="8243" w:hanging="180"/>
      </w:pPr>
    </w:lvl>
  </w:abstractNum>
  <w:abstractNum w:abstractNumId="55"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7"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b/>
      </w:rPr>
    </w:lvl>
    <w:lvl w:ilvl="2">
      <w:start w:val="1"/>
      <w:numFmt w:val="decimal"/>
      <w:isLgl/>
      <w:lvlText w:val="%1.%2.%3"/>
      <w:lvlJc w:val="left"/>
      <w:pPr>
        <w:ind w:left="1368" w:hanging="720"/>
      </w:pPr>
      <w:rPr>
        <w:b/>
      </w:rPr>
    </w:lvl>
    <w:lvl w:ilvl="3">
      <w:start w:val="1"/>
      <w:numFmt w:val="decimal"/>
      <w:isLgl/>
      <w:lvlText w:val="%1.%2.%3.%4"/>
      <w:lvlJc w:val="left"/>
      <w:pPr>
        <w:ind w:left="1728" w:hanging="1080"/>
      </w:pPr>
      <w:rPr>
        <w:b/>
      </w:rPr>
    </w:lvl>
    <w:lvl w:ilvl="4">
      <w:start w:val="1"/>
      <w:numFmt w:val="decimal"/>
      <w:isLgl/>
      <w:lvlText w:val="%1.%2.%3.%4.%5"/>
      <w:lvlJc w:val="left"/>
      <w:pPr>
        <w:ind w:left="1728" w:hanging="1080"/>
      </w:pPr>
      <w:rPr>
        <w:b/>
      </w:rPr>
    </w:lvl>
    <w:lvl w:ilvl="5">
      <w:start w:val="1"/>
      <w:numFmt w:val="decimal"/>
      <w:isLgl/>
      <w:lvlText w:val="%1.%2.%3.%4.%5.%6"/>
      <w:lvlJc w:val="left"/>
      <w:pPr>
        <w:ind w:left="2088" w:hanging="1440"/>
      </w:pPr>
      <w:rPr>
        <w:b/>
      </w:rPr>
    </w:lvl>
    <w:lvl w:ilvl="6">
      <w:start w:val="1"/>
      <w:numFmt w:val="decimal"/>
      <w:isLgl/>
      <w:lvlText w:val="%1.%2.%3.%4.%5.%6.%7"/>
      <w:lvlJc w:val="left"/>
      <w:pPr>
        <w:ind w:left="2088" w:hanging="1440"/>
      </w:pPr>
      <w:rPr>
        <w:b/>
      </w:rPr>
    </w:lvl>
    <w:lvl w:ilvl="7">
      <w:start w:val="1"/>
      <w:numFmt w:val="decimal"/>
      <w:isLgl/>
      <w:lvlText w:val="%1.%2.%3.%4.%5.%6.%7.%8"/>
      <w:lvlJc w:val="left"/>
      <w:pPr>
        <w:ind w:left="2448" w:hanging="1800"/>
      </w:pPr>
      <w:rPr>
        <w:b/>
      </w:rPr>
    </w:lvl>
    <w:lvl w:ilvl="8">
      <w:start w:val="1"/>
      <w:numFmt w:val="decimal"/>
      <w:isLgl/>
      <w:lvlText w:val="%1.%2.%3.%4.%5.%6.%7.%8.%9"/>
      <w:lvlJc w:val="left"/>
      <w:pPr>
        <w:ind w:left="2448" w:hanging="1800"/>
      </w:pPr>
      <w:rPr>
        <w:b/>
      </w:rPr>
    </w:lvl>
  </w:abstractNum>
  <w:abstractNum w:abstractNumId="58" w15:restartNumberingAfterBreak="0">
    <w:nsid w:val="4B246E58"/>
    <w:multiLevelType w:val="multilevel"/>
    <w:tmpl w:val="D69C953A"/>
    <w:lvl w:ilvl="0">
      <w:start w:val="9"/>
      <w:numFmt w:val="decimal"/>
      <w:lvlText w:val="%1."/>
      <w:lvlJc w:val="left"/>
      <w:pPr>
        <w:tabs>
          <w:tab w:val="num" w:pos="1410"/>
        </w:tabs>
        <w:ind w:left="1410" w:hanging="690"/>
      </w:pPr>
      <w:rPr>
        <w:rFonts w:cs="Times New Roman"/>
        <w:b/>
      </w:rPr>
    </w:lvl>
    <w:lvl w:ilvl="1">
      <w:start w:val="1"/>
      <w:numFmt w:val="decimal"/>
      <w:isLgl/>
      <w:lvlText w:val="%1.%2"/>
      <w:lvlJc w:val="left"/>
      <w:pPr>
        <w:tabs>
          <w:tab w:val="num" w:pos="1695"/>
        </w:tabs>
        <w:ind w:left="1695" w:hanging="735"/>
      </w:pPr>
    </w:lvl>
    <w:lvl w:ilvl="2">
      <w:start w:val="1"/>
      <w:numFmt w:val="decimal"/>
      <w:isLgl/>
      <w:lvlText w:val="%1.%2.%3"/>
      <w:lvlJc w:val="left"/>
      <w:pPr>
        <w:tabs>
          <w:tab w:val="num" w:pos="1935"/>
        </w:tabs>
        <w:ind w:left="1935" w:hanging="735"/>
      </w:pPr>
    </w:lvl>
    <w:lvl w:ilvl="3">
      <w:start w:val="3"/>
      <w:numFmt w:val="decimal"/>
      <w:isLgl/>
      <w:lvlText w:val="%1.%2.%3.%4"/>
      <w:lvlJc w:val="left"/>
      <w:pPr>
        <w:tabs>
          <w:tab w:val="num" w:pos="2520"/>
        </w:tabs>
        <w:ind w:left="2520" w:hanging="1080"/>
      </w:pPr>
    </w:lvl>
    <w:lvl w:ilvl="4">
      <w:start w:val="1"/>
      <w:numFmt w:val="decimal"/>
      <w:isLgl/>
      <w:lvlText w:val="%1.%2.%3.%4.%5"/>
      <w:lvlJc w:val="left"/>
      <w:pPr>
        <w:tabs>
          <w:tab w:val="num" w:pos="2760"/>
        </w:tabs>
        <w:ind w:left="2760" w:hanging="1080"/>
      </w:pPr>
    </w:lvl>
    <w:lvl w:ilvl="5">
      <w:start w:val="1"/>
      <w:numFmt w:val="decimal"/>
      <w:isLgl/>
      <w:lvlText w:val="%1.%2.%3.%4.%5.%6"/>
      <w:lvlJc w:val="left"/>
      <w:pPr>
        <w:tabs>
          <w:tab w:val="num" w:pos="3360"/>
        </w:tabs>
        <w:ind w:left="3360" w:hanging="144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4200"/>
        </w:tabs>
        <w:ind w:left="4200" w:hanging="1800"/>
      </w:pPr>
    </w:lvl>
    <w:lvl w:ilvl="8">
      <w:start w:val="1"/>
      <w:numFmt w:val="decimal"/>
      <w:isLgl/>
      <w:lvlText w:val="%1.%2.%3.%4.%5.%6.%7.%8.%9"/>
      <w:lvlJc w:val="left"/>
      <w:pPr>
        <w:tabs>
          <w:tab w:val="num" w:pos="4440"/>
        </w:tabs>
        <w:ind w:left="4440" w:hanging="1800"/>
      </w:pPr>
    </w:lvl>
  </w:abstractNum>
  <w:abstractNum w:abstractNumId="59" w15:restartNumberingAfterBreak="0">
    <w:nsid w:val="4B6E096C"/>
    <w:multiLevelType w:val="hybridMultilevel"/>
    <w:tmpl w:val="9312C468"/>
    <w:lvl w:ilvl="0" w:tplc="6C4C0B42">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61"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2" w15:restartNumberingAfterBreak="0">
    <w:nsid w:val="523C7E59"/>
    <w:multiLevelType w:val="hybridMultilevel"/>
    <w:tmpl w:val="09902F3C"/>
    <w:lvl w:ilvl="0" w:tplc="080A0017">
      <w:start w:val="1"/>
      <w:numFmt w:val="lowerLetter"/>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start w:val="1"/>
      <w:numFmt w:val="lowerLetter"/>
      <w:lvlText w:val="%5."/>
      <w:lvlJc w:val="left"/>
      <w:pPr>
        <w:ind w:left="5760" w:hanging="360"/>
      </w:pPr>
    </w:lvl>
    <w:lvl w:ilvl="5" w:tplc="080A001B">
      <w:start w:val="1"/>
      <w:numFmt w:val="lowerRoman"/>
      <w:lvlText w:val="%6."/>
      <w:lvlJc w:val="right"/>
      <w:pPr>
        <w:ind w:left="6480" w:hanging="180"/>
      </w:pPr>
    </w:lvl>
    <w:lvl w:ilvl="6" w:tplc="080A000F">
      <w:start w:val="1"/>
      <w:numFmt w:val="decimal"/>
      <w:lvlText w:val="%7."/>
      <w:lvlJc w:val="left"/>
      <w:pPr>
        <w:ind w:left="7200" w:hanging="360"/>
      </w:pPr>
    </w:lvl>
    <w:lvl w:ilvl="7" w:tplc="080A0019">
      <w:start w:val="1"/>
      <w:numFmt w:val="lowerLetter"/>
      <w:lvlText w:val="%8."/>
      <w:lvlJc w:val="left"/>
      <w:pPr>
        <w:ind w:left="7920" w:hanging="360"/>
      </w:pPr>
    </w:lvl>
    <w:lvl w:ilvl="8" w:tplc="080A001B">
      <w:start w:val="1"/>
      <w:numFmt w:val="lowerRoman"/>
      <w:lvlText w:val="%9."/>
      <w:lvlJc w:val="right"/>
      <w:pPr>
        <w:ind w:left="8640" w:hanging="180"/>
      </w:pPr>
    </w:lvl>
  </w:abstractNum>
  <w:abstractNum w:abstractNumId="63" w15:restartNumberingAfterBreak="0">
    <w:nsid w:val="5438377E"/>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64" w15:restartNumberingAfterBreak="0">
    <w:nsid w:val="59AC518A"/>
    <w:multiLevelType w:val="hybridMultilevel"/>
    <w:tmpl w:val="84FAF35C"/>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65" w15:restartNumberingAfterBreak="0">
    <w:nsid w:val="5AFF3A4F"/>
    <w:multiLevelType w:val="hybridMultilevel"/>
    <w:tmpl w:val="70D07D28"/>
    <w:lvl w:ilvl="0" w:tplc="080A0017">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66"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67" w15:restartNumberingAfterBreak="0">
    <w:nsid w:val="5CBE2B9D"/>
    <w:multiLevelType w:val="hybridMultilevel"/>
    <w:tmpl w:val="CC3489D2"/>
    <w:lvl w:ilvl="0" w:tplc="0FA235D4">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68" w15:restartNumberingAfterBreak="0">
    <w:nsid w:val="5E0060F6"/>
    <w:multiLevelType w:val="hybridMultilevel"/>
    <w:tmpl w:val="1A0ED1B0"/>
    <w:lvl w:ilvl="0" w:tplc="3CCE0CD0">
      <w:start w:val="1"/>
      <w:numFmt w:val="bullet"/>
      <w:lvlText w:val=""/>
      <w:lvlJc w:val="left"/>
      <w:pPr>
        <w:tabs>
          <w:tab w:val="num" w:pos="1143"/>
        </w:tabs>
        <w:ind w:left="1050" w:hanging="653"/>
      </w:pPr>
      <w:rPr>
        <w:rFonts w:ascii="Symbol" w:hAnsi="Symbol" w:hint="default"/>
        <w:b/>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Tahoma" w:hAnsi="Tahoma"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Tahoma" w:hAnsi="Tahoma" w:cs="Times New Roman"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Tahoma" w:hAnsi="Tahoma" w:cs="Times New Roman" w:hint="default"/>
      </w:rPr>
    </w:lvl>
  </w:abstractNum>
  <w:abstractNum w:abstractNumId="69" w15:restartNumberingAfterBreak="0">
    <w:nsid w:val="5F5D49F0"/>
    <w:multiLevelType w:val="multilevel"/>
    <w:tmpl w:val="A1D03B94"/>
    <w:lvl w:ilvl="0">
      <w:start w:val="1"/>
      <w:numFmt w:val="decimal"/>
      <w:lvlText w:val="%1."/>
      <w:lvlJc w:val="left"/>
      <w:pPr>
        <w:ind w:left="360" w:hanging="360"/>
      </w:pPr>
      <w:rPr>
        <w:rFonts w:cs="Times New Roman"/>
      </w:rPr>
    </w:lvl>
    <w:lvl w:ilvl="1">
      <w:start w:val="1"/>
      <w:numFmt w:val="decimal"/>
      <w:lvlText w:val="%1.%2."/>
      <w:lvlJc w:val="left"/>
      <w:pPr>
        <w:ind w:left="2160" w:hanging="720"/>
      </w:pPr>
      <w:rPr>
        <w:rFonts w:cs="Times New Roman"/>
      </w:rPr>
    </w:lvl>
    <w:lvl w:ilvl="2">
      <w:start w:val="1"/>
      <w:numFmt w:val="decimal"/>
      <w:lvlText w:val="%1.%2.%3."/>
      <w:lvlJc w:val="left"/>
      <w:pPr>
        <w:ind w:left="3600" w:hanging="720"/>
      </w:pPr>
      <w:rPr>
        <w:rFonts w:cs="Times New Roman"/>
      </w:rPr>
    </w:lvl>
    <w:lvl w:ilvl="3">
      <w:start w:val="1"/>
      <w:numFmt w:val="decimal"/>
      <w:lvlText w:val="%1.%2.%3.%4."/>
      <w:lvlJc w:val="left"/>
      <w:pPr>
        <w:ind w:left="5400" w:hanging="1080"/>
      </w:pPr>
      <w:rPr>
        <w:rFonts w:cs="Times New Roman"/>
      </w:rPr>
    </w:lvl>
    <w:lvl w:ilvl="4">
      <w:start w:val="1"/>
      <w:numFmt w:val="decimal"/>
      <w:lvlText w:val="%1.%2.%3.%4.%5."/>
      <w:lvlJc w:val="left"/>
      <w:pPr>
        <w:ind w:left="6840" w:hanging="1080"/>
      </w:pPr>
      <w:rPr>
        <w:rFonts w:cs="Times New Roman"/>
      </w:rPr>
    </w:lvl>
    <w:lvl w:ilvl="5">
      <w:start w:val="1"/>
      <w:numFmt w:val="decimal"/>
      <w:lvlText w:val="%1.%2.%3.%4.%5.%6."/>
      <w:lvlJc w:val="left"/>
      <w:pPr>
        <w:ind w:left="8640" w:hanging="1440"/>
      </w:pPr>
      <w:rPr>
        <w:rFonts w:cs="Times New Roman"/>
      </w:rPr>
    </w:lvl>
    <w:lvl w:ilvl="6">
      <w:start w:val="1"/>
      <w:numFmt w:val="decimal"/>
      <w:lvlText w:val="%1.%2.%3.%4.%5.%6.%7."/>
      <w:lvlJc w:val="left"/>
      <w:pPr>
        <w:ind w:left="10080" w:hanging="1440"/>
      </w:pPr>
      <w:rPr>
        <w:rFonts w:cs="Times New Roman"/>
      </w:rPr>
    </w:lvl>
    <w:lvl w:ilvl="7">
      <w:start w:val="1"/>
      <w:numFmt w:val="decimal"/>
      <w:lvlText w:val="%1.%2.%3.%4.%5.%6.%7.%8."/>
      <w:lvlJc w:val="left"/>
      <w:pPr>
        <w:ind w:left="11880" w:hanging="1800"/>
      </w:pPr>
      <w:rPr>
        <w:rFonts w:cs="Times New Roman"/>
      </w:rPr>
    </w:lvl>
    <w:lvl w:ilvl="8">
      <w:start w:val="1"/>
      <w:numFmt w:val="decimal"/>
      <w:lvlText w:val="%1.%2.%3.%4.%5.%6.%7.%8.%9."/>
      <w:lvlJc w:val="left"/>
      <w:pPr>
        <w:ind w:left="13680" w:hanging="2160"/>
      </w:pPr>
      <w:rPr>
        <w:rFonts w:cs="Times New Roman"/>
      </w:rPr>
    </w:lvl>
  </w:abstractNum>
  <w:abstractNum w:abstractNumId="70"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2797512"/>
    <w:multiLevelType w:val="hybridMultilevel"/>
    <w:tmpl w:val="09902F3C"/>
    <w:lvl w:ilvl="0" w:tplc="080A0017">
      <w:start w:val="1"/>
      <w:numFmt w:val="lowerLetter"/>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start w:val="1"/>
      <w:numFmt w:val="lowerLetter"/>
      <w:lvlText w:val="%5."/>
      <w:lvlJc w:val="left"/>
      <w:pPr>
        <w:ind w:left="5760" w:hanging="360"/>
      </w:pPr>
    </w:lvl>
    <w:lvl w:ilvl="5" w:tplc="080A001B">
      <w:start w:val="1"/>
      <w:numFmt w:val="lowerRoman"/>
      <w:lvlText w:val="%6."/>
      <w:lvlJc w:val="right"/>
      <w:pPr>
        <w:ind w:left="6480" w:hanging="180"/>
      </w:pPr>
    </w:lvl>
    <w:lvl w:ilvl="6" w:tplc="080A000F">
      <w:start w:val="1"/>
      <w:numFmt w:val="decimal"/>
      <w:lvlText w:val="%7."/>
      <w:lvlJc w:val="left"/>
      <w:pPr>
        <w:ind w:left="7200" w:hanging="360"/>
      </w:pPr>
    </w:lvl>
    <w:lvl w:ilvl="7" w:tplc="080A0019">
      <w:start w:val="1"/>
      <w:numFmt w:val="lowerLetter"/>
      <w:lvlText w:val="%8."/>
      <w:lvlJc w:val="left"/>
      <w:pPr>
        <w:ind w:left="7920" w:hanging="360"/>
      </w:pPr>
    </w:lvl>
    <w:lvl w:ilvl="8" w:tplc="080A001B">
      <w:start w:val="1"/>
      <w:numFmt w:val="lowerRoman"/>
      <w:lvlText w:val="%9."/>
      <w:lvlJc w:val="right"/>
      <w:pPr>
        <w:ind w:left="8640" w:hanging="180"/>
      </w:pPr>
    </w:lvl>
  </w:abstractNum>
  <w:abstractNum w:abstractNumId="72" w15:restartNumberingAfterBreak="0">
    <w:nsid w:val="633544C3"/>
    <w:multiLevelType w:val="multilevel"/>
    <w:tmpl w:val="4AB8D3DE"/>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3"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cs="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66D12844"/>
    <w:multiLevelType w:val="multilevel"/>
    <w:tmpl w:val="07E8B610"/>
    <w:lvl w:ilvl="0">
      <w:start w:val="6"/>
      <w:numFmt w:val="decimal"/>
      <w:lvlText w:val="%1."/>
      <w:lvlJc w:val="left"/>
      <w:pPr>
        <w:ind w:left="720" w:hanging="360"/>
      </w:pPr>
      <w:rPr>
        <w:rFonts w:hint="default"/>
      </w:rPr>
    </w:lvl>
    <w:lvl w:ilvl="1">
      <w:start w:val="1"/>
      <w:numFmt w:val="decimal"/>
      <w:isLgl/>
      <w:lvlText w:val="5.%2"/>
      <w:lvlJc w:val="left"/>
      <w:pPr>
        <w:ind w:left="720" w:hanging="360"/>
      </w:pPr>
      <w:rPr>
        <w:rFonts w:cs="Arial" w:hint="default"/>
        <w:b/>
        <w:color w:val="auto"/>
      </w:rPr>
    </w:lvl>
    <w:lvl w:ilvl="2">
      <w:start w:val="1"/>
      <w:numFmt w:val="decimal"/>
      <w:isLgl/>
      <w:lvlText w:val="5.%2.%3"/>
      <w:lvlJc w:val="left"/>
      <w:pPr>
        <w:ind w:left="2564" w:hanging="720"/>
      </w:pPr>
      <w:rPr>
        <w:rFonts w:cs="Arial" w:hint="default"/>
        <w:b/>
        <w:i w:val="0"/>
        <w:color w:val="auto"/>
        <w:sz w:val="22"/>
        <w:szCs w:val="22"/>
      </w:rPr>
    </w:lvl>
    <w:lvl w:ilvl="3">
      <w:start w:val="1"/>
      <w:numFmt w:val="decimal"/>
      <w:isLgl/>
      <w:lvlText w:val="%1.%2.%3.%4"/>
      <w:lvlJc w:val="left"/>
      <w:pPr>
        <w:ind w:left="1080" w:hanging="720"/>
      </w:pPr>
      <w:rPr>
        <w:rFonts w:cs="Arial" w:hint="default"/>
        <w:color w:val="auto"/>
      </w:rPr>
    </w:lvl>
    <w:lvl w:ilvl="4">
      <w:start w:val="1"/>
      <w:numFmt w:val="decimal"/>
      <w:isLgl/>
      <w:lvlText w:val="%1.%2.%3.%4.%5"/>
      <w:lvlJc w:val="left"/>
      <w:pPr>
        <w:ind w:left="1440" w:hanging="1080"/>
      </w:pPr>
      <w:rPr>
        <w:rFonts w:cs="Arial" w:hint="default"/>
        <w:color w:val="auto"/>
      </w:rPr>
    </w:lvl>
    <w:lvl w:ilvl="5">
      <w:start w:val="1"/>
      <w:numFmt w:val="decimal"/>
      <w:isLgl/>
      <w:lvlText w:val="%1.%2.%3.%4.%5.%6"/>
      <w:lvlJc w:val="left"/>
      <w:pPr>
        <w:ind w:left="1440" w:hanging="1080"/>
      </w:pPr>
      <w:rPr>
        <w:rFonts w:cs="Arial" w:hint="default"/>
        <w:color w:val="auto"/>
      </w:rPr>
    </w:lvl>
    <w:lvl w:ilvl="6">
      <w:start w:val="1"/>
      <w:numFmt w:val="decimal"/>
      <w:isLgl/>
      <w:lvlText w:val="%1.%2.%3.%4.%5.%6.%7"/>
      <w:lvlJc w:val="left"/>
      <w:pPr>
        <w:ind w:left="1800" w:hanging="1440"/>
      </w:pPr>
      <w:rPr>
        <w:rFonts w:cs="Arial" w:hint="default"/>
        <w:color w:val="auto"/>
      </w:rPr>
    </w:lvl>
    <w:lvl w:ilvl="7">
      <w:start w:val="1"/>
      <w:numFmt w:val="decimal"/>
      <w:isLgl/>
      <w:lvlText w:val="%1.%2.%3.%4.%5.%6.%7.%8"/>
      <w:lvlJc w:val="left"/>
      <w:pPr>
        <w:ind w:left="1800" w:hanging="1440"/>
      </w:pPr>
      <w:rPr>
        <w:rFonts w:cs="Arial" w:hint="default"/>
        <w:color w:val="auto"/>
      </w:rPr>
    </w:lvl>
    <w:lvl w:ilvl="8">
      <w:start w:val="1"/>
      <w:numFmt w:val="decimal"/>
      <w:isLgl/>
      <w:lvlText w:val="%1.%2.%3.%4.%5.%6.%7.%8.%9"/>
      <w:lvlJc w:val="left"/>
      <w:pPr>
        <w:ind w:left="2160" w:hanging="1800"/>
      </w:pPr>
      <w:rPr>
        <w:rFonts w:cs="Arial" w:hint="default"/>
        <w:color w:val="auto"/>
      </w:rPr>
    </w:lvl>
  </w:abstractNum>
  <w:abstractNum w:abstractNumId="75" w15:restartNumberingAfterBreak="0">
    <w:nsid w:val="6A8661AE"/>
    <w:multiLevelType w:val="hybridMultilevel"/>
    <w:tmpl w:val="30BC1E6C"/>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b/>
      </w:rPr>
    </w:lvl>
    <w:lvl w:ilvl="2">
      <w:start w:val="1"/>
      <w:numFmt w:val="decimal"/>
      <w:isLgl/>
      <w:lvlText w:val="%1.%2.%3."/>
      <w:lvlJc w:val="left"/>
      <w:pPr>
        <w:ind w:left="3240" w:hanging="720"/>
      </w:pPr>
      <w:rPr>
        <w:b/>
      </w:rPr>
    </w:lvl>
    <w:lvl w:ilvl="3">
      <w:start w:val="1"/>
      <w:numFmt w:val="decimal"/>
      <w:isLgl/>
      <w:lvlText w:val="%1.%2.%3.%4."/>
      <w:lvlJc w:val="left"/>
      <w:pPr>
        <w:ind w:left="3600" w:hanging="1080"/>
      </w:pPr>
      <w:rPr>
        <w:b/>
      </w:rPr>
    </w:lvl>
    <w:lvl w:ilvl="4">
      <w:start w:val="1"/>
      <w:numFmt w:val="decimal"/>
      <w:isLgl/>
      <w:lvlText w:val="%1.%2.%3.%4.%5."/>
      <w:lvlJc w:val="left"/>
      <w:pPr>
        <w:ind w:left="3600" w:hanging="1080"/>
      </w:pPr>
      <w:rPr>
        <w:b/>
      </w:rPr>
    </w:lvl>
    <w:lvl w:ilvl="5">
      <w:start w:val="1"/>
      <w:numFmt w:val="decimal"/>
      <w:isLgl/>
      <w:lvlText w:val="%1.%2.%3.%4.%5.%6."/>
      <w:lvlJc w:val="left"/>
      <w:pPr>
        <w:ind w:left="3960" w:hanging="144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800"/>
      </w:pPr>
      <w:rPr>
        <w:b/>
      </w:rPr>
    </w:lvl>
    <w:lvl w:ilvl="8">
      <w:start w:val="1"/>
      <w:numFmt w:val="decimal"/>
      <w:isLgl/>
      <w:lvlText w:val="%1.%2.%3.%4.%5.%6.%7.%8.%9."/>
      <w:lvlJc w:val="left"/>
      <w:pPr>
        <w:ind w:left="4320" w:hanging="1800"/>
      </w:pPr>
      <w:rPr>
        <w:b/>
      </w:rPr>
    </w:lvl>
  </w:abstractNum>
  <w:abstractNum w:abstractNumId="77"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8" w15:restartNumberingAfterBreak="0">
    <w:nsid w:val="6DE941C7"/>
    <w:multiLevelType w:val="hybridMultilevel"/>
    <w:tmpl w:val="0E9E0E12"/>
    <w:lvl w:ilvl="0" w:tplc="0C22C844">
      <w:start w:val="1"/>
      <w:numFmt w:val="lowerLetter"/>
      <w:lvlText w:val="%1)"/>
      <w:lvlJc w:val="left"/>
      <w:pPr>
        <w:tabs>
          <w:tab w:val="num" w:pos="720"/>
        </w:tabs>
        <w:ind w:left="720" w:hanging="360"/>
      </w:pPr>
      <w:rPr>
        <w:rFonts w:cs="Times New Roman" w:hint="default"/>
        <w:sz w:val="18"/>
        <w:szCs w:val="18"/>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0" w15:restartNumberingAfterBreak="0">
    <w:nsid w:val="6F9B64E1"/>
    <w:multiLevelType w:val="hybridMultilevel"/>
    <w:tmpl w:val="8D5A61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15:restartNumberingAfterBreak="0">
    <w:nsid w:val="70B40107"/>
    <w:multiLevelType w:val="hybridMultilevel"/>
    <w:tmpl w:val="C4D4B35C"/>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82"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3"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221333A"/>
    <w:multiLevelType w:val="hybridMultilevel"/>
    <w:tmpl w:val="43FC6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85" w15:restartNumberingAfterBreak="0">
    <w:nsid w:val="723A788E"/>
    <w:multiLevelType w:val="multilevel"/>
    <w:tmpl w:val="E792661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6" w15:restartNumberingAfterBreak="0">
    <w:nsid w:val="74B774CC"/>
    <w:multiLevelType w:val="hybridMultilevel"/>
    <w:tmpl w:val="B12EE5E2"/>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87"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5940C68"/>
    <w:multiLevelType w:val="hybridMultilevel"/>
    <w:tmpl w:val="09902F3C"/>
    <w:lvl w:ilvl="0" w:tplc="080A0017">
      <w:start w:val="1"/>
      <w:numFmt w:val="lowerLetter"/>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start w:val="1"/>
      <w:numFmt w:val="lowerLetter"/>
      <w:lvlText w:val="%5."/>
      <w:lvlJc w:val="left"/>
      <w:pPr>
        <w:ind w:left="5760" w:hanging="360"/>
      </w:pPr>
    </w:lvl>
    <w:lvl w:ilvl="5" w:tplc="080A001B">
      <w:start w:val="1"/>
      <w:numFmt w:val="lowerRoman"/>
      <w:lvlText w:val="%6."/>
      <w:lvlJc w:val="right"/>
      <w:pPr>
        <w:ind w:left="6480" w:hanging="180"/>
      </w:pPr>
    </w:lvl>
    <w:lvl w:ilvl="6" w:tplc="080A000F">
      <w:start w:val="1"/>
      <w:numFmt w:val="decimal"/>
      <w:lvlText w:val="%7."/>
      <w:lvlJc w:val="left"/>
      <w:pPr>
        <w:ind w:left="7200" w:hanging="360"/>
      </w:pPr>
    </w:lvl>
    <w:lvl w:ilvl="7" w:tplc="080A0019">
      <w:start w:val="1"/>
      <w:numFmt w:val="lowerLetter"/>
      <w:lvlText w:val="%8."/>
      <w:lvlJc w:val="left"/>
      <w:pPr>
        <w:ind w:left="7920" w:hanging="360"/>
      </w:pPr>
    </w:lvl>
    <w:lvl w:ilvl="8" w:tplc="080A001B">
      <w:start w:val="1"/>
      <w:numFmt w:val="lowerRoman"/>
      <w:lvlText w:val="%9."/>
      <w:lvlJc w:val="right"/>
      <w:pPr>
        <w:ind w:left="8640" w:hanging="180"/>
      </w:pPr>
    </w:lvl>
  </w:abstractNum>
  <w:abstractNum w:abstractNumId="89" w15:restartNumberingAfterBreak="0">
    <w:nsid w:val="75DA0DAC"/>
    <w:multiLevelType w:val="hybridMultilevel"/>
    <w:tmpl w:val="559C9CE6"/>
    <w:lvl w:ilvl="0" w:tplc="080A0017">
      <w:start w:val="1"/>
      <w:numFmt w:val="lowerLetter"/>
      <w:lvlText w:val="%1)"/>
      <w:lvlJc w:val="left"/>
      <w:pPr>
        <w:ind w:left="2483" w:hanging="360"/>
      </w:pPr>
    </w:lvl>
    <w:lvl w:ilvl="1" w:tplc="080A0019" w:tentative="1">
      <w:start w:val="1"/>
      <w:numFmt w:val="lowerLetter"/>
      <w:lvlText w:val="%2."/>
      <w:lvlJc w:val="left"/>
      <w:pPr>
        <w:ind w:left="3203" w:hanging="360"/>
      </w:pPr>
    </w:lvl>
    <w:lvl w:ilvl="2" w:tplc="080A001B" w:tentative="1">
      <w:start w:val="1"/>
      <w:numFmt w:val="lowerRoman"/>
      <w:lvlText w:val="%3."/>
      <w:lvlJc w:val="right"/>
      <w:pPr>
        <w:ind w:left="3923" w:hanging="180"/>
      </w:pPr>
    </w:lvl>
    <w:lvl w:ilvl="3" w:tplc="080A000F" w:tentative="1">
      <w:start w:val="1"/>
      <w:numFmt w:val="decimal"/>
      <w:lvlText w:val="%4."/>
      <w:lvlJc w:val="left"/>
      <w:pPr>
        <w:ind w:left="4643" w:hanging="360"/>
      </w:pPr>
    </w:lvl>
    <w:lvl w:ilvl="4" w:tplc="080A0019" w:tentative="1">
      <w:start w:val="1"/>
      <w:numFmt w:val="lowerLetter"/>
      <w:lvlText w:val="%5."/>
      <w:lvlJc w:val="left"/>
      <w:pPr>
        <w:ind w:left="5363" w:hanging="360"/>
      </w:pPr>
    </w:lvl>
    <w:lvl w:ilvl="5" w:tplc="080A001B" w:tentative="1">
      <w:start w:val="1"/>
      <w:numFmt w:val="lowerRoman"/>
      <w:lvlText w:val="%6."/>
      <w:lvlJc w:val="right"/>
      <w:pPr>
        <w:ind w:left="6083" w:hanging="180"/>
      </w:pPr>
    </w:lvl>
    <w:lvl w:ilvl="6" w:tplc="080A000F" w:tentative="1">
      <w:start w:val="1"/>
      <w:numFmt w:val="decimal"/>
      <w:lvlText w:val="%7."/>
      <w:lvlJc w:val="left"/>
      <w:pPr>
        <w:ind w:left="6803" w:hanging="360"/>
      </w:pPr>
    </w:lvl>
    <w:lvl w:ilvl="7" w:tplc="080A0019" w:tentative="1">
      <w:start w:val="1"/>
      <w:numFmt w:val="lowerLetter"/>
      <w:lvlText w:val="%8."/>
      <w:lvlJc w:val="left"/>
      <w:pPr>
        <w:ind w:left="7523" w:hanging="360"/>
      </w:pPr>
    </w:lvl>
    <w:lvl w:ilvl="8" w:tplc="080A001B" w:tentative="1">
      <w:start w:val="1"/>
      <w:numFmt w:val="lowerRoman"/>
      <w:lvlText w:val="%9."/>
      <w:lvlJc w:val="right"/>
      <w:pPr>
        <w:ind w:left="8243" w:hanging="180"/>
      </w:pPr>
    </w:lvl>
  </w:abstractNum>
  <w:abstractNum w:abstractNumId="90"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A8F0F76"/>
    <w:multiLevelType w:val="hybridMultilevel"/>
    <w:tmpl w:val="C53282B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Times New Roman"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Times New Roman"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Times New Roman" w:hint="default"/>
      </w:rPr>
    </w:lvl>
    <w:lvl w:ilvl="8" w:tplc="080A0005">
      <w:start w:val="1"/>
      <w:numFmt w:val="bullet"/>
      <w:lvlText w:val=""/>
      <w:lvlJc w:val="left"/>
      <w:pPr>
        <w:ind w:left="6840" w:hanging="360"/>
      </w:pPr>
      <w:rPr>
        <w:rFonts w:ascii="Wingdings" w:hAnsi="Wingdings" w:hint="default"/>
      </w:rPr>
    </w:lvl>
  </w:abstractNum>
  <w:abstractNum w:abstractNumId="93"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4" w15:restartNumberingAfterBreak="0">
    <w:nsid w:val="7CC034FE"/>
    <w:multiLevelType w:val="hybridMultilevel"/>
    <w:tmpl w:val="29CAB858"/>
    <w:lvl w:ilvl="0" w:tplc="7A2EAAAC">
      <w:start w:val="5"/>
      <w:numFmt w:val="bullet"/>
      <w:lvlText w:val="-"/>
      <w:lvlJc w:val="left"/>
      <w:pPr>
        <w:ind w:left="720" w:hanging="360"/>
      </w:pPr>
      <w:rPr>
        <w:rFonts w:ascii="ITC Avant Garde" w:eastAsiaTheme="minorHAns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7CF16BBF"/>
    <w:multiLevelType w:val="hybridMultilevel"/>
    <w:tmpl w:val="DBAA91C4"/>
    <w:lvl w:ilvl="0" w:tplc="96C0C36E">
      <w:start w:val="1"/>
      <w:numFmt w:val="lowerLetter"/>
      <w:lvlText w:val="%1)"/>
      <w:lvlJc w:val="left"/>
      <w:pPr>
        <w:ind w:left="735" w:hanging="375"/>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96"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start w:val="1"/>
      <w:numFmt w:val="lowerLetter"/>
      <w:lvlText w:val="%2."/>
      <w:lvlJc w:val="left"/>
      <w:pPr>
        <w:ind w:left="1728" w:hanging="360"/>
      </w:pPr>
      <w:rPr>
        <w:rFonts w:cs="Times New Roman"/>
      </w:rPr>
    </w:lvl>
    <w:lvl w:ilvl="2" w:tplc="080A001B">
      <w:start w:val="1"/>
      <w:numFmt w:val="lowerRoman"/>
      <w:lvlText w:val="%3."/>
      <w:lvlJc w:val="right"/>
      <w:pPr>
        <w:ind w:left="2448" w:hanging="180"/>
      </w:pPr>
      <w:rPr>
        <w:rFonts w:cs="Times New Roman"/>
      </w:rPr>
    </w:lvl>
    <w:lvl w:ilvl="3" w:tplc="080A000F">
      <w:start w:val="1"/>
      <w:numFmt w:val="decimal"/>
      <w:lvlText w:val="%4."/>
      <w:lvlJc w:val="left"/>
      <w:pPr>
        <w:ind w:left="3168" w:hanging="360"/>
      </w:pPr>
      <w:rPr>
        <w:rFonts w:cs="Times New Roman"/>
      </w:rPr>
    </w:lvl>
    <w:lvl w:ilvl="4" w:tplc="080A0019">
      <w:start w:val="1"/>
      <w:numFmt w:val="lowerLetter"/>
      <w:lvlText w:val="%5."/>
      <w:lvlJc w:val="left"/>
      <w:pPr>
        <w:ind w:left="3888" w:hanging="360"/>
      </w:pPr>
      <w:rPr>
        <w:rFonts w:cs="Times New Roman"/>
      </w:rPr>
    </w:lvl>
    <w:lvl w:ilvl="5" w:tplc="080A001B">
      <w:start w:val="1"/>
      <w:numFmt w:val="lowerRoman"/>
      <w:lvlText w:val="%6."/>
      <w:lvlJc w:val="right"/>
      <w:pPr>
        <w:ind w:left="4608" w:hanging="180"/>
      </w:pPr>
      <w:rPr>
        <w:rFonts w:cs="Times New Roman"/>
      </w:rPr>
    </w:lvl>
    <w:lvl w:ilvl="6" w:tplc="080A000F">
      <w:start w:val="1"/>
      <w:numFmt w:val="decimal"/>
      <w:lvlText w:val="%7."/>
      <w:lvlJc w:val="left"/>
      <w:pPr>
        <w:ind w:left="5328" w:hanging="360"/>
      </w:pPr>
      <w:rPr>
        <w:rFonts w:cs="Times New Roman"/>
      </w:rPr>
    </w:lvl>
    <w:lvl w:ilvl="7" w:tplc="080A0019">
      <w:start w:val="1"/>
      <w:numFmt w:val="lowerLetter"/>
      <w:lvlText w:val="%8."/>
      <w:lvlJc w:val="left"/>
      <w:pPr>
        <w:ind w:left="6048" w:hanging="360"/>
      </w:pPr>
      <w:rPr>
        <w:rFonts w:cs="Times New Roman"/>
      </w:rPr>
    </w:lvl>
    <w:lvl w:ilvl="8" w:tplc="080A001B">
      <w:start w:val="1"/>
      <w:numFmt w:val="lowerRoman"/>
      <w:lvlText w:val="%9."/>
      <w:lvlJc w:val="right"/>
      <w:pPr>
        <w:ind w:left="6768" w:hanging="180"/>
      </w:pPr>
      <w:rPr>
        <w:rFonts w:cs="Times New Roman"/>
      </w:rPr>
    </w:lvl>
  </w:abstractNum>
  <w:abstractNum w:abstractNumId="97"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6"/>
  </w:num>
  <w:num w:numId="2">
    <w:abstractNumId w:val="90"/>
  </w:num>
  <w:num w:numId="3">
    <w:abstractNumId w:val="8"/>
  </w:num>
  <w:num w:numId="4">
    <w:abstractNumId w:val="93"/>
  </w:num>
  <w:num w:numId="5">
    <w:abstractNumId w:val="97"/>
  </w:num>
  <w:num w:numId="6">
    <w:abstractNumId w:val="83"/>
  </w:num>
  <w:num w:numId="7">
    <w:abstractNumId w:val="19"/>
  </w:num>
  <w:num w:numId="8">
    <w:abstractNumId w:val="20"/>
  </w:num>
  <w:num w:numId="9">
    <w:abstractNumId w:val="74"/>
  </w:num>
  <w:num w:numId="10">
    <w:abstractNumId w:val="21"/>
  </w:num>
  <w:num w:numId="11">
    <w:abstractNumId w:val="59"/>
  </w:num>
  <w:num w:numId="12">
    <w:abstractNumId w:val="94"/>
  </w:num>
  <w:num w:numId="13">
    <w:abstractNumId w:val="78"/>
  </w:num>
  <w:num w:numId="14">
    <w:abstractNumId w:val="75"/>
  </w:num>
  <w:num w:numId="15">
    <w:abstractNumId w:val="5"/>
  </w:num>
  <w:num w:numId="16">
    <w:abstractNumId w:val="3"/>
  </w:num>
  <w:num w:numId="17">
    <w:abstractNumId w:val="85"/>
  </w:num>
  <w:num w:numId="18">
    <w:abstractNumId w:val="18"/>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75"/>
  </w:num>
  <w:num w:numId="32">
    <w:abstractNumId w:val="3"/>
  </w:num>
  <w:num w:numId="33">
    <w:abstractNumId w:val="91"/>
  </w:num>
  <w:num w:numId="3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5"/>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startOverride w:val="9"/>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lvlOverride w:ilvl="0">
      <w:startOverride w:val="9"/>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startOverride w:val="1"/>
    </w:lvlOverride>
  </w:num>
  <w:num w:numId="66">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67">
    <w:abstractNumId w:val="66"/>
    <w:lvlOverride w:ilvl="0">
      <w:startOverride w:val="1"/>
    </w:lvlOverride>
  </w:num>
  <w:num w:numId="68">
    <w:abstractNumId w:val="0"/>
    <w:lvlOverride w:ilvl="0">
      <w:lvl w:ilvl="0">
        <w:numFmt w:val="bullet"/>
        <w:lvlText w:val=""/>
        <w:legacy w:legacy="1" w:legacySpace="0" w:legacyIndent="360"/>
        <w:lvlJc w:val="left"/>
        <w:pPr>
          <w:ind w:left="76" w:hanging="360"/>
        </w:pPr>
        <w:rPr>
          <w:rFonts w:ascii="Wingdings" w:hAnsi="Wingdings" w:hint="default"/>
        </w:rPr>
      </w:lvl>
    </w:lvlOverride>
  </w:num>
  <w:num w:numId="69">
    <w:abstractNumId w:val="37"/>
    <w:lvlOverride w:ilvl="0">
      <w:startOverride w:val="1"/>
    </w:lvlOverride>
  </w:num>
  <w:num w:numId="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num>
  <w:num w:numId="72">
    <w:abstractNumId w:val="27"/>
  </w:num>
  <w:num w:numId="73">
    <w:abstractNumId w:val="24"/>
  </w:num>
  <w:num w:numId="74">
    <w:abstractNumId w:val="68"/>
  </w:num>
  <w:num w:numId="75">
    <w:abstractNumId w:val="17"/>
  </w:num>
  <w:num w:numId="76">
    <w:abstractNumId w:val="92"/>
  </w:num>
  <w:num w:numId="77">
    <w:abstractNumId w:val="49"/>
  </w:num>
  <w:num w:numId="78">
    <w:abstractNumId w:val="35"/>
  </w:num>
  <w:num w:numId="79">
    <w:abstractNumId w:val="60"/>
  </w:num>
  <w:num w:numId="80">
    <w:abstractNumId w:val="33"/>
  </w:num>
  <w:num w:numId="81">
    <w:abstractNumId w:val="53"/>
  </w:num>
  <w:num w:numId="82">
    <w:abstractNumId w:val="84"/>
  </w:num>
  <w:num w:numId="83">
    <w:abstractNumId w:val="44"/>
  </w:num>
  <w:num w:numId="84">
    <w:abstractNumId w:val="9"/>
  </w:num>
  <w:num w:numId="85">
    <w:abstractNumId w:val="77"/>
  </w:num>
  <w:num w:numId="86">
    <w:abstractNumId w:val="47"/>
  </w:num>
  <w:num w:numId="87">
    <w:abstractNumId w:val="43"/>
  </w:num>
  <w:num w:numId="88">
    <w:abstractNumId w:val="55"/>
  </w:num>
  <w:num w:numId="8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lvlOverride w:ilvl="2"/>
    <w:lvlOverride w:ilvl="3"/>
    <w:lvlOverride w:ilvl="4"/>
    <w:lvlOverride w:ilvl="5"/>
    <w:lvlOverride w:ilvl="6"/>
    <w:lvlOverride w:ilvl="7"/>
    <w:lvlOverride w:ilvl="8"/>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
    <w:lvlOverride w:ilvl="0">
      <w:startOverride w:val="1"/>
    </w:lvlOverride>
  </w:num>
  <w:num w:numId="94">
    <w:abstractNumId w:val="70"/>
  </w:num>
  <w:num w:numId="95">
    <w:abstractNumId w:val="63"/>
  </w:num>
  <w:num w:numId="96">
    <w:abstractNumId w:val="15"/>
  </w:num>
  <w:num w:numId="97">
    <w:abstractNumId w:val="4"/>
  </w:num>
  <w:num w:numId="98">
    <w:abstractNumId w:val="86"/>
  </w:num>
  <w:num w:numId="99">
    <w:abstractNumId w:val="39"/>
  </w:num>
  <w:num w:numId="100">
    <w:abstractNumId w:val="10"/>
  </w:num>
  <w:num w:numId="101">
    <w:abstractNumId w:val="2"/>
  </w:num>
  <w:num w:numId="102">
    <w:abstractNumId w:val="29"/>
  </w:num>
  <w:num w:numId="103">
    <w:abstractNumId w:val="54"/>
  </w:num>
  <w:num w:numId="104">
    <w:abstractNumId w:val="23"/>
  </w:num>
  <w:num w:numId="105">
    <w:abstractNumId w:val="8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203B"/>
    <w:rsid w:val="00002054"/>
    <w:rsid w:val="000020AD"/>
    <w:rsid w:val="000024B3"/>
    <w:rsid w:val="000035C7"/>
    <w:rsid w:val="00003789"/>
    <w:rsid w:val="00003C87"/>
    <w:rsid w:val="00004294"/>
    <w:rsid w:val="00005D13"/>
    <w:rsid w:val="00005D65"/>
    <w:rsid w:val="00005D85"/>
    <w:rsid w:val="000069DE"/>
    <w:rsid w:val="00007271"/>
    <w:rsid w:val="00007430"/>
    <w:rsid w:val="00007EB1"/>
    <w:rsid w:val="000103C4"/>
    <w:rsid w:val="000106BE"/>
    <w:rsid w:val="000109B8"/>
    <w:rsid w:val="00010BEA"/>
    <w:rsid w:val="00010F51"/>
    <w:rsid w:val="00011793"/>
    <w:rsid w:val="000123D3"/>
    <w:rsid w:val="00012E64"/>
    <w:rsid w:val="0001310A"/>
    <w:rsid w:val="00013346"/>
    <w:rsid w:val="0001386C"/>
    <w:rsid w:val="00014C00"/>
    <w:rsid w:val="0001654A"/>
    <w:rsid w:val="00016EC4"/>
    <w:rsid w:val="00016ED1"/>
    <w:rsid w:val="00017CF3"/>
    <w:rsid w:val="000206D3"/>
    <w:rsid w:val="0002126A"/>
    <w:rsid w:val="0002194A"/>
    <w:rsid w:val="00021E35"/>
    <w:rsid w:val="000233C2"/>
    <w:rsid w:val="00023AAD"/>
    <w:rsid w:val="00023F93"/>
    <w:rsid w:val="000253F1"/>
    <w:rsid w:val="00025C06"/>
    <w:rsid w:val="00026811"/>
    <w:rsid w:val="00026DD4"/>
    <w:rsid w:val="000271F2"/>
    <w:rsid w:val="000302F8"/>
    <w:rsid w:val="0003085A"/>
    <w:rsid w:val="00030F69"/>
    <w:rsid w:val="00031E69"/>
    <w:rsid w:val="00032436"/>
    <w:rsid w:val="000326F6"/>
    <w:rsid w:val="00032967"/>
    <w:rsid w:val="00032ACD"/>
    <w:rsid w:val="00032D73"/>
    <w:rsid w:val="00032FC1"/>
    <w:rsid w:val="00033CE3"/>
    <w:rsid w:val="00034555"/>
    <w:rsid w:val="000349BE"/>
    <w:rsid w:val="000358A7"/>
    <w:rsid w:val="00036498"/>
    <w:rsid w:val="00036A6A"/>
    <w:rsid w:val="00037725"/>
    <w:rsid w:val="000404E3"/>
    <w:rsid w:val="00040B65"/>
    <w:rsid w:val="00041F50"/>
    <w:rsid w:val="000446D2"/>
    <w:rsid w:val="0004510C"/>
    <w:rsid w:val="000455EB"/>
    <w:rsid w:val="000458D9"/>
    <w:rsid w:val="00046456"/>
    <w:rsid w:val="00047801"/>
    <w:rsid w:val="00047DE5"/>
    <w:rsid w:val="0005072A"/>
    <w:rsid w:val="00050E31"/>
    <w:rsid w:val="00051217"/>
    <w:rsid w:val="00052CF1"/>
    <w:rsid w:val="00052CF9"/>
    <w:rsid w:val="00053815"/>
    <w:rsid w:val="000540B8"/>
    <w:rsid w:val="00055691"/>
    <w:rsid w:val="0005673D"/>
    <w:rsid w:val="0005673F"/>
    <w:rsid w:val="0005687B"/>
    <w:rsid w:val="00056AB5"/>
    <w:rsid w:val="00056F02"/>
    <w:rsid w:val="000577C8"/>
    <w:rsid w:val="000605FD"/>
    <w:rsid w:val="00060B99"/>
    <w:rsid w:val="00060E5D"/>
    <w:rsid w:val="000622E5"/>
    <w:rsid w:val="000640D2"/>
    <w:rsid w:val="000651F0"/>
    <w:rsid w:val="00066684"/>
    <w:rsid w:val="0006717B"/>
    <w:rsid w:val="00067784"/>
    <w:rsid w:val="00067EDA"/>
    <w:rsid w:val="000703A0"/>
    <w:rsid w:val="00070B4D"/>
    <w:rsid w:val="00071D18"/>
    <w:rsid w:val="00071FA4"/>
    <w:rsid w:val="0007283C"/>
    <w:rsid w:val="00072B34"/>
    <w:rsid w:val="000734BA"/>
    <w:rsid w:val="00073707"/>
    <w:rsid w:val="00073A03"/>
    <w:rsid w:val="00073F0F"/>
    <w:rsid w:val="00075E13"/>
    <w:rsid w:val="00075F3C"/>
    <w:rsid w:val="00076129"/>
    <w:rsid w:val="00076319"/>
    <w:rsid w:val="00076369"/>
    <w:rsid w:val="00076373"/>
    <w:rsid w:val="00076EC8"/>
    <w:rsid w:val="000802E4"/>
    <w:rsid w:val="00080599"/>
    <w:rsid w:val="00080854"/>
    <w:rsid w:val="00081051"/>
    <w:rsid w:val="000818B9"/>
    <w:rsid w:val="00082154"/>
    <w:rsid w:val="00082A7E"/>
    <w:rsid w:val="0008309F"/>
    <w:rsid w:val="00083796"/>
    <w:rsid w:val="00083827"/>
    <w:rsid w:val="00083F05"/>
    <w:rsid w:val="0008477D"/>
    <w:rsid w:val="00085E12"/>
    <w:rsid w:val="0008636C"/>
    <w:rsid w:val="0008678E"/>
    <w:rsid w:val="00086DD8"/>
    <w:rsid w:val="000871EB"/>
    <w:rsid w:val="000901D9"/>
    <w:rsid w:val="000906BB"/>
    <w:rsid w:val="0009088C"/>
    <w:rsid w:val="00090ADD"/>
    <w:rsid w:val="0009164D"/>
    <w:rsid w:val="0009188A"/>
    <w:rsid w:val="00091C3D"/>
    <w:rsid w:val="000921CB"/>
    <w:rsid w:val="00094753"/>
    <w:rsid w:val="00094C91"/>
    <w:rsid w:val="0009569F"/>
    <w:rsid w:val="00096FB0"/>
    <w:rsid w:val="000A04E0"/>
    <w:rsid w:val="000A0681"/>
    <w:rsid w:val="000A083A"/>
    <w:rsid w:val="000A16AB"/>
    <w:rsid w:val="000A21F4"/>
    <w:rsid w:val="000A444F"/>
    <w:rsid w:val="000A4518"/>
    <w:rsid w:val="000A47F2"/>
    <w:rsid w:val="000A500F"/>
    <w:rsid w:val="000A68A8"/>
    <w:rsid w:val="000A71D2"/>
    <w:rsid w:val="000A7B94"/>
    <w:rsid w:val="000B1B3A"/>
    <w:rsid w:val="000B1FE4"/>
    <w:rsid w:val="000B21F4"/>
    <w:rsid w:val="000B2230"/>
    <w:rsid w:val="000B2272"/>
    <w:rsid w:val="000B2290"/>
    <w:rsid w:val="000B2350"/>
    <w:rsid w:val="000B3785"/>
    <w:rsid w:val="000B3BE7"/>
    <w:rsid w:val="000B3E3F"/>
    <w:rsid w:val="000B3EAC"/>
    <w:rsid w:val="000B4F87"/>
    <w:rsid w:val="000B595C"/>
    <w:rsid w:val="000B5FE1"/>
    <w:rsid w:val="000B66A9"/>
    <w:rsid w:val="000B6B05"/>
    <w:rsid w:val="000B6F17"/>
    <w:rsid w:val="000B784D"/>
    <w:rsid w:val="000C0F5C"/>
    <w:rsid w:val="000C104B"/>
    <w:rsid w:val="000C10AE"/>
    <w:rsid w:val="000C1703"/>
    <w:rsid w:val="000C2166"/>
    <w:rsid w:val="000C27FB"/>
    <w:rsid w:val="000C2FAC"/>
    <w:rsid w:val="000C3085"/>
    <w:rsid w:val="000C37D7"/>
    <w:rsid w:val="000C3C7B"/>
    <w:rsid w:val="000C3CD0"/>
    <w:rsid w:val="000C54FB"/>
    <w:rsid w:val="000C567A"/>
    <w:rsid w:val="000C60FA"/>
    <w:rsid w:val="000C6590"/>
    <w:rsid w:val="000C6A66"/>
    <w:rsid w:val="000C6BF8"/>
    <w:rsid w:val="000C6CF5"/>
    <w:rsid w:val="000C7D02"/>
    <w:rsid w:val="000C7E9F"/>
    <w:rsid w:val="000C7F31"/>
    <w:rsid w:val="000D0972"/>
    <w:rsid w:val="000D0DE8"/>
    <w:rsid w:val="000D0FAD"/>
    <w:rsid w:val="000D0FCF"/>
    <w:rsid w:val="000D1095"/>
    <w:rsid w:val="000D11F7"/>
    <w:rsid w:val="000D1376"/>
    <w:rsid w:val="000D15B3"/>
    <w:rsid w:val="000D308A"/>
    <w:rsid w:val="000D3DF9"/>
    <w:rsid w:val="000D44DD"/>
    <w:rsid w:val="000D494D"/>
    <w:rsid w:val="000D54A1"/>
    <w:rsid w:val="000D5DBA"/>
    <w:rsid w:val="000D6A32"/>
    <w:rsid w:val="000D6DA1"/>
    <w:rsid w:val="000D756B"/>
    <w:rsid w:val="000E0639"/>
    <w:rsid w:val="000E1B7E"/>
    <w:rsid w:val="000E1E73"/>
    <w:rsid w:val="000E1EEF"/>
    <w:rsid w:val="000E205D"/>
    <w:rsid w:val="000E2E84"/>
    <w:rsid w:val="000E3610"/>
    <w:rsid w:val="000E3C3A"/>
    <w:rsid w:val="000E529F"/>
    <w:rsid w:val="000E58C9"/>
    <w:rsid w:val="000E5F51"/>
    <w:rsid w:val="000E6679"/>
    <w:rsid w:val="000E6A19"/>
    <w:rsid w:val="000E70E0"/>
    <w:rsid w:val="000E72E5"/>
    <w:rsid w:val="000E7485"/>
    <w:rsid w:val="000F0B9F"/>
    <w:rsid w:val="000F0D92"/>
    <w:rsid w:val="000F14FA"/>
    <w:rsid w:val="000F1D73"/>
    <w:rsid w:val="000F1DEB"/>
    <w:rsid w:val="000F26A4"/>
    <w:rsid w:val="000F27F1"/>
    <w:rsid w:val="000F2966"/>
    <w:rsid w:val="000F387F"/>
    <w:rsid w:val="000F4176"/>
    <w:rsid w:val="000F4B53"/>
    <w:rsid w:val="000F5583"/>
    <w:rsid w:val="000F65B6"/>
    <w:rsid w:val="000F7C96"/>
    <w:rsid w:val="001007BA"/>
    <w:rsid w:val="00101A45"/>
    <w:rsid w:val="00101D02"/>
    <w:rsid w:val="00101FE6"/>
    <w:rsid w:val="00102473"/>
    <w:rsid w:val="00102BC3"/>
    <w:rsid w:val="00102F33"/>
    <w:rsid w:val="00102FB0"/>
    <w:rsid w:val="00103247"/>
    <w:rsid w:val="001037B6"/>
    <w:rsid w:val="00103C2D"/>
    <w:rsid w:val="00105144"/>
    <w:rsid w:val="0010558B"/>
    <w:rsid w:val="001057F0"/>
    <w:rsid w:val="00105C98"/>
    <w:rsid w:val="001061A2"/>
    <w:rsid w:val="001068C7"/>
    <w:rsid w:val="00106AE9"/>
    <w:rsid w:val="00107BD8"/>
    <w:rsid w:val="00110E68"/>
    <w:rsid w:val="00111753"/>
    <w:rsid w:val="00111B9F"/>
    <w:rsid w:val="00112794"/>
    <w:rsid w:val="00112937"/>
    <w:rsid w:val="00112E1C"/>
    <w:rsid w:val="001130E7"/>
    <w:rsid w:val="00113D47"/>
    <w:rsid w:val="00113F4F"/>
    <w:rsid w:val="00114610"/>
    <w:rsid w:val="00114EC0"/>
    <w:rsid w:val="001153AF"/>
    <w:rsid w:val="0011608A"/>
    <w:rsid w:val="00116D5F"/>
    <w:rsid w:val="001171BB"/>
    <w:rsid w:val="00117E79"/>
    <w:rsid w:val="001201D3"/>
    <w:rsid w:val="00120A03"/>
    <w:rsid w:val="0012144C"/>
    <w:rsid w:val="00121EB0"/>
    <w:rsid w:val="001223F3"/>
    <w:rsid w:val="00122953"/>
    <w:rsid w:val="001233DD"/>
    <w:rsid w:val="00124E57"/>
    <w:rsid w:val="00125C41"/>
    <w:rsid w:val="001269BD"/>
    <w:rsid w:val="00126D25"/>
    <w:rsid w:val="0012757B"/>
    <w:rsid w:val="00127E7E"/>
    <w:rsid w:val="00127ED4"/>
    <w:rsid w:val="00130546"/>
    <w:rsid w:val="001307A7"/>
    <w:rsid w:val="00130837"/>
    <w:rsid w:val="00131515"/>
    <w:rsid w:val="00131C69"/>
    <w:rsid w:val="00131FE5"/>
    <w:rsid w:val="00132489"/>
    <w:rsid w:val="00132C4F"/>
    <w:rsid w:val="00132EBB"/>
    <w:rsid w:val="00133EE6"/>
    <w:rsid w:val="00134214"/>
    <w:rsid w:val="00134777"/>
    <w:rsid w:val="001354B9"/>
    <w:rsid w:val="00135A93"/>
    <w:rsid w:val="00135C99"/>
    <w:rsid w:val="00136026"/>
    <w:rsid w:val="00136146"/>
    <w:rsid w:val="0013631B"/>
    <w:rsid w:val="0014111E"/>
    <w:rsid w:val="001418B0"/>
    <w:rsid w:val="00141FB8"/>
    <w:rsid w:val="001421E7"/>
    <w:rsid w:val="00142849"/>
    <w:rsid w:val="0014298C"/>
    <w:rsid w:val="001434D4"/>
    <w:rsid w:val="00143A11"/>
    <w:rsid w:val="001446EA"/>
    <w:rsid w:val="00144BB2"/>
    <w:rsid w:val="00145329"/>
    <w:rsid w:val="00145C3D"/>
    <w:rsid w:val="00145CE3"/>
    <w:rsid w:val="00146834"/>
    <w:rsid w:val="001468AF"/>
    <w:rsid w:val="0014693B"/>
    <w:rsid w:val="00147235"/>
    <w:rsid w:val="00151C02"/>
    <w:rsid w:val="00152F7B"/>
    <w:rsid w:val="0015491D"/>
    <w:rsid w:val="00154C15"/>
    <w:rsid w:val="00154D15"/>
    <w:rsid w:val="001556CE"/>
    <w:rsid w:val="00156490"/>
    <w:rsid w:val="00156849"/>
    <w:rsid w:val="0015694C"/>
    <w:rsid w:val="00156D36"/>
    <w:rsid w:val="0015788B"/>
    <w:rsid w:val="0016062F"/>
    <w:rsid w:val="001626D9"/>
    <w:rsid w:val="00163BF9"/>
    <w:rsid w:val="0016402E"/>
    <w:rsid w:val="00164052"/>
    <w:rsid w:val="00164269"/>
    <w:rsid w:val="00165C29"/>
    <w:rsid w:val="001663D5"/>
    <w:rsid w:val="00166660"/>
    <w:rsid w:val="00166E5C"/>
    <w:rsid w:val="0016754C"/>
    <w:rsid w:val="001711D5"/>
    <w:rsid w:val="00171588"/>
    <w:rsid w:val="00171797"/>
    <w:rsid w:val="001717FC"/>
    <w:rsid w:val="00171E64"/>
    <w:rsid w:val="00171FAC"/>
    <w:rsid w:val="00172551"/>
    <w:rsid w:val="00172777"/>
    <w:rsid w:val="00172AB0"/>
    <w:rsid w:val="001742B8"/>
    <w:rsid w:val="00174B1A"/>
    <w:rsid w:val="00174D9E"/>
    <w:rsid w:val="00175295"/>
    <w:rsid w:val="00176131"/>
    <w:rsid w:val="00176813"/>
    <w:rsid w:val="001768E9"/>
    <w:rsid w:val="001768FF"/>
    <w:rsid w:val="00176A65"/>
    <w:rsid w:val="00176B07"/>
    <w:rsid w:val="00176B30"/>
    <w:rsid w:val="00176F24"/>
    <w:rsid w:val="001801D9"/>
    <w:rsid w:val="001806AA"/>
    <w:rsid w:val="00180945"/>
    <w:rsid w:val="00180CF1"/>
    <w:rsid w:val="001819D8"/>
    <w:rsid w:val="00181D3F"/>
    <w:rsid w:val="00182914"/>
    <w:rsid w:val="001848E6"/>
    <w:rsid w:val="00185346"/>
    <w:rsid w:val="00185625"/>
    <w:rsid w:val="00185E5F"/>
    <w:rsid w:val="0018603C"/>
    <w:rsid w:val="00186568"/>
    <w:rsid w:val="00186ACD"/>
    <w:rsid w:val="001875D4"/>
    <w:rsid w:val="00190E9B"/>
    <w:rsid w:val="00191532"/>
    <w:rsid w:val="00193CA4"/>
    <w:rsid w:val="001941B2"/>
    <w:rsid w:val="00195B92"/>
    <w:rsid w:val="001969DC"/>
    <w:rsid w:val="00196ECE"/>
    <w:rsid w:val="001A0671"/>
    <w:rsid w:val="001A0A45"/>
    <w:rsid w:val="001A14DB"/>
    <w:rsid w:val="001A162D"/>
    <w:rsid w:val="001A2B17"/>
    <w:rsid w:val="001A2F39"/>
    <w:rsid w:val="001A33A5"/>
    <w:rsid w:val="001A3550"/>
    <w:rsid w:val="001A4487"/>
    <w:rsid w:val="001A4B15"/>
    <w:rsid w:val="001A55FF"/>
    <w:rsid w:val="001A5DF2"/>
    <w:rsid w:val="001A6126"/>
    <w:rsid w:val="001A6C82"/>
    <w:rsid w:val="001A7700"/>
    <w:rsid w:val="001A7828"/>
    <w:rsid w:val="001A782F"/>
    <w:rsid w:val="001B03A1"/>
    <w:rsid w:val="001B05DC"/>
    <w:rsid w:val="001B2004"/>
    <w:rsid w:val="001B3784"/>
    <w:rsid w:val="001B4969"/>
    <w:rsid w:val="001B4B52"/>
    <w:rsid w:val="001B4BC6"/>
    <w:rsid w:val="001B4D2A"/>
    <w:rsid w:val="001B56BE"/>
    <w:rsid w:val="001B5FC2"/>
    <w:rsid w:val="001B611F"/>
    <w:rsid w:val="001B6578"/>
    <w:rsid w:val="001B673D"/>
    <w:rsid w:val="001B72FB"/>
    <w:rsid w:val="001B75A8"/>
    <w:rsid w:val="001B7DB5"/>
    <w:rsid w:val="001B7E7F"/>
    <w:rsid w:val="001C03E6"/>
    <w:rsid w:val="001C06E5"/>
    <w:rsid w:val="001C0A99"/>
    <w:rsid w:val="001C0AFE"/>
    <w:rsid w:val="001C0FDC"/>
    <w:rsid w:val="001C1711"/>
    <w:rsid w:val="001C2E02"/>
    <w:rsid w:val="001C3C97"/>
    <w:rsid w:val="001C4201"/>
    <w:rsid w:val="001C4DDB"/>
    <w:rsid w:val="001C5182"/>
    <w:rsid w:val="001C5553"/>
    <w:rsid w:val="001C6311"/>
    <w:rsid w:val="001C7B21"/>
    <w:rsid w:val="001D0391"/>
    <w:rsid w:val="001D2004"/>
    <w:rsid w:val="001D20F7"/>
    <w:rsid w:val="001D2C08"/>
    <w:rsid w:val="001D3FBF"/>
    <w:rsid w:val="001D4D51"/>
    <w:rsid w:val="001D4E57"/>
    <w:rsid w:val="001D5447"/>
    <w:rsid w:val="001D555C"/>
    <w:rsid w:val="001D5C98"/>
    <w:rsid w:val="001D5E25"/>
    <w:rsid w:val="001D6131"/>
    <w:rsid w:val="001D6AF3"/>
    <w:rsid w:val="001D6B59"/>
    <w:rsid w:val="001D7232"/>
    <w:rsid w:val="001D7DEB"/>
    <w:rsid w:val="001E1339"/>
    <w:rsid w:val="001E154F"/>
    <w:rsid w:val="001E17F6"/>
    <w:rsid w:val="001E1CCF"/>
    <w:rsid w:val="001E1FF5"/>
    <w:rsid w:val="001E2326"/>
    <w:rsid w:val="001E2F5D"/>
    <w:rsid w:val="001E2F99"/>
    <w:rsid w:val="001E33A1"/>
    <w:rsid w:val="001E5043"/>
    <w:rsid w:val="001E66D3"/>
    <w:rsid w:val="001E6AE4"/>
    <w:rsid w:val="001E708C"/>
    <w:rsid w:val="001E778C"/>
    <w:rsid w:val="001E7F2D"/>
    <w:rsid w:val="001F0B28"/>
    <w:rsid w:val="001F0D0F"/>
    <w:rsid w:val="001F0EAD"/>
    <w:rsid w:val="001F11F1"/>
    <w:rsid w:val="001F1755"/>
    <w:rsid w:val="001F2AB9"/>
    <w:rsid w:val="001F2E2A"/>
    <w:rsid w:val="001F2FCB"/>
    <w:rsid w:val="001F36E5"/>
    <w:rsid w:val="001F3DE9"/>
    <w:rsid w:val="001F43F9"/>
    <w:rsid w:val="001F4E29"/>
    <w:rsid w:val="001F56D9"/>
    <w:rsid w:val="001F5A34"/>
    <w:rsid w:val="001F5D0E"/>
    <w:rsid w:val="001F6C81"/>
    <w:rsid w:val="001F72E1"/>
    <w:rsid w:val="001F76C6"/>
    <w:rsid w:val="001F7CE9"/>
    <w:rsid w:val="0020040A"/>
    <w:rsid w:val="002022C3"/>
    <w:rsid w:val="0020263B"/>
    <w:rsid w:val="002029E4"/>
    <w:rsid w:val="0020348F"/>
    <w:rsid w:val="002034A3"/>
    <w:rsid w:val="0020356D"/>
    <w:rsid w:val="002039B8"/>
    <w:rsid w:val="0020471E"/>
    <w:rsid w:val="002047D1"/>
    <w:rsid w:val="00204A99"/>
    <w:rsid w:val="002051DF"/>
    <w:rsid w:val="00205DD9"/>
    <w:rsid w:val="00205FF0"/>
    <w:rsid w:val="00206377"/>
    <w:rsid w:val="002067CF"/>
    <w:rsid w:val="00207CB0"/>
    <w:rsid w:val="00207D4F"/>
    <w:rsid w:val="00207ECE"/>
    <w:rsid w:val="00211CC0"/>
    <w:rsid w:val="00212401"/>
    <w:rsid w:val="0021276C"/>
    <w:rsid w:val="00212C96"/>
    <w:rsid w:val="00213764"/>
    <w:rsid w:val="00213A96"/>
    <w:rsid w:val="00213BEE"/>
    <w:rsid w:val="00216384"/>
    <w:rsid w:val="002172DD"/>
    <w:rsid w:val="0021734E"/>
    <w:rsid w:val="00220AD2"/>
    <w:rsid w:val="002238C8"/>
    <w:rsid w:val="0022428B"/>
    <w:rsid w:val="00224A31"/>
    <w:rsid w:val="00225241"/>
    <w:rsid w:val="00226A30"/>
    <w:rsid w:val="00226D2F"/>
    <w:rsid w:val="002275C8"/>
    <w:rsid w:val="00227766"/>
    <w:rsid w:val="00231C52"/>
    <w:rsid w:val="002320D4"/>
    <w:rsid w:val="00232246"/>
    <w:rsid w:val="00233A05"/>
    <w:rsid w:val="002340C8"/>
    <w:rsid w:val="00234376"/>
    <w:rsid w:val="002355FD"/>
    <w:rsid w:val="002363D1"/>
    <w:rsid w:val="00236B2D"/>
    <w:rsid w:val="002404DF"/>
    <w:rsid w:val="00240ABE"/>
    <w:rsid w:val="0024157B"/>
    <w:rsid w:val="00242784"/>
    <w:rsid w:val="00242855"/>
    <w:rsid w:val="00242ECF"/>
    <w:rsid w:val="0024395A"/>
    <w:rsid w:val="00243A6E"/>
    <w:rsid w:val="0024409A"/>
    <w:rsid w:val="002444BB"/>
    <w:rsid w:val="0024458A"/>
    <w:rsid w:val="00244856"/>
    <w:rsid w:val="00244858"/>
    <w:rsid w:val="00245144"/>
    <w:rsid w:val="002456B8"/>
    <w:rsid w:val="00245DBC"/>
    <w:rsid w:val="0025061D"/>
    <w:rsid w:val="00250991"/>
    <w:rsid w:val="00252294"/>
    <w:rsid w:val="00252312"/>
    <w:rsid w:val="00252885"/>
    <w:rsid w:val="00252DCF"/>
    <w:rsid w:val="00253820"/>
    <w:rsid w:val="00253C83"/>
    <w:rsid w:val="00253E38"/>
    <w:rsid w:val="002543C9"/>
    <w:rsid w:val="00255B0E"/>
    <w:rsid w:val="00255C1F"/>
    <w:rsid w:val="00256836"/>
    <w:rsid w:val="00256A04"/>
    <w:rsid w:val="00256BD8"/>
    <w:rsid w:val="00257825"/>
    <w:rsid w:val="0025790B"/>
    <w:rsid w:val="00257C71"/>
    <w:rsid w:val="002604C4"/>
    <w:rsid w:val="002613C3"/>
    <w:rsid w:val="002613EA"/>
    <w:rsid w:val="0026152B"/>
    <w:rsid w:val="00261C96"/>
    <w:rsid w:val="00261D1E"/>
    <w:rsid w:val="00261F4B"/>
    <w:rsid w:val="00262B1C"/>
    <w:rsid w:val="00262F6F"/>
    <w:rsid w:val="00263490"/>
    <w:rsid w:val="00263DD7"/>
    <w:rsid w:val="00264469"/>
    <w:rsid w:val="00265910"/>
    <w:rsid w:val="00265FD5"/>
    <w:rsid w:val="002663BB"/>
    <w:rsid w:val="002702B6"/>
    <w:rsid w:val="002702D2"/>
    <w:rsid w:val="00270F11"/>
    <w:rsid w:val="0027109A"/>
    <w:rsid w:val="00271BFB"/>
    <w:rsid w:val="00271FD1"/>
    <w:rsid w:val="00272F91"/>
    <w:rsid w:val="002734F1"/>
    <w:rsid w:val="002735E0"/>
    <w:rsid w:val="0027386C"/>
    <w:rsid w:val="002756FC"/>
    <w:rsid w:val="002758F0"/>
    <w:rsid w:val="002759A6"/>
    <w:rsid w:val="00275AEF"/>
    <w:rsid w:val="00276405"/>
    <w:rsid w:val="00276F84"/>
    <w:rsid w:val="00277E1B"/>
    <w:rsid w:val="00277EAF"/>
    <w:rsid w:val="00277F62"/>
    <w:rsid w:val="002808FA"/>
    <w:rsid w:val="0028288C"/>
    <w:rsid w:val="00282EBC"/>
    <w:rsid w:val="00283295"/>
    <w:rsid w:val="00283445"/>
    <w:rsid w:val="00283EC0"/>
    <w:rsid w:val="0028478A"/>
    <w:rsid w:val="002850B0"/>
    <w:rsid w:val="00285EEC"/>
    <w:rsid w:val="00286454"/>
    <w:rsid w:val="00286826"/>
    <w:rsid w:val="002878E4"/>
    <w:rsid w:val="00287AAE"/>
    <w:rsid w:val="0029137B"/>
    <w:rsid w:val="0029361A"/>
    <w:rsid w:val="00293FF6"/>
    <w:rsid w:val="0029433E"/>
    <w:rsid w:val="002945D4"/>
    <w:rsid w:val="00294AF0"/>
    <w:rsid w:val="00294C39"/>
    <w:rsid w:val="00294FB9"/>
    <w:rsid w:val="0029586A"/>
    <w:rsid w:val="002959B4"/>
    <w:rsid w:val="00296269"/>
    <w:rsid w:val="002968EB"/>
    <w:rsid w:val="002976A0"/>
    <w:rsid w:val="002A0140"/>
    <w:rsid w:val="002A0584"/>
    <w:rsid w:val="002A0A56"/>
    <w:rsid w:val="002A26DA"/>
    <w:rsid w:val="002A28DC"/>
    <w:rsid w:val="002A2B0B"/>
    <w:rsid w:val="002A2C41"/>
    <w:rsid w:val="002A3366"/>
    <w:rsid w:val="002A33F5"/>
    <w:rsid w:val="002A3766"/>
    <w:rsid w:val="002A3896"/>
    <w:rsid w:val="002A3D85"/>
    <w:rsid w:val="002A3FA3"/>
    <w:rsid w:val="002A4046"/>
    <w:rsid w:val="002A5567"/>
    <w:rsid w:val="002A571A"/>
    <w:rsid w:val="002A632E"/>
    <w:rsid w:val="002A6899"/>
    <w:rsid w:val="002B06AC"/>
    <w:rsid w:val="002B1095"/>
    <w:rsid w:val="002B1E43"/>
    <w:rsid w:val="002B223E"/>
    <w:rsid w:val="002B247F"/>
    <w:rsid w:val="002B29EF"/>
    <w:rsid w:val="002B2CCE"/>
    <w:rsid w:val="002B36EA"/>
    <w:rsid w:val="002B3AC1"/>
    <w:rsid w:val="002B3B07"/>
    <w:rsid w:val="002B67DB"/>
    <w:rsid w:val="002B7126"/>
    <w:rsid w:val="002B76F7"/>
    <w:rsid w:val="002C0759"/>
    <w:rsid w:val="002C0F86"/>
    <w:rsid w:val="002C10DF"/>
    <w:rsid w:val="002C211B"/>
    <w:rsid w:val="002C2B81"/>
    <w:rsid w:val="002C2E28"/>
    <w:rsid w:val="002C37EE"/>
    <w:rsid w:val="002C61C7"/>
    <w:rsid w:val="002C65F4"/>
    <w:rsid w:val="002C6EAE"/>
    <w:rsid w:val="002C70C2"/>
    <w:rsid w:val="002C74F3"/>
    <w:rsid w:val="002C7CCE"/>
    <w:rsid w:val="002D0366"/>
    <w:rsid w:val="002D0DA1"/>
    <w:rsid w:val="002D24FB"/>
    <w:rsid w:val="002D27EB"/>
    <w:rsid w:val="002D2DD0"/>
    <w:rsid w:val="002D2DE9"/>
    <w:rsid w:val="002D32D9"/>
    <w:rsid w:val="002D4D67"/>
    <w:rsid w:val="002D5186"/>
    <w:rsid w:val="002D5FF1"/>
    <w:rsid w:val="002D60C1"/>
    <w:rsid w:val="002D6A72"/>
    <w:rsid w:val="002D7005"/>
    <w:rsid w:val="002E0962"/>
    <w:rsid w:val="002E24F5"/>
    <w:rsid w:val="002E2708"/>
    <w:rsid w:val="002E2834"/>
    <w:rsid w:val="002E2DA4"/>
    <w:rsid w:val="002E3C74"/>
    <w:rsid w:val="002E45C1"/>
    <w:rsid w:val="002E4906"/>
    <w:rsid w:val="002E56A0"/>
    <w:rsid w:val="002E56C4"/>
    <w:rsid w:val="002E5E14"/>
    <w:rsid w:val="002E621B"/>
    <w:rsid w:val="002E70D4"/>
    <w:rsid w:val="002E7472"/>
    <w:rsid w:val="002E7484"/>
    <w:rsid w:val="002F0244"/>
    <w:rsid w:val="002F1090"/>
    <w:rsid w:val="002F1091"/>
    <w:rsid w:val="002F181E"/>
    <w:rsid w:val="002F28E5"/>
    <w:rsid w:val="002F28F4"/>
    <w:rsid w:val="002F2A94"/>
    <w:rsid w:val="002F367E"/>
    <w:rsid w:val="002F39B8"/>
    <w:rsid w:val="002F3EBB"/>
    <w:rsid w:val="002F64F2"/>
    <w:rsid w:val="002F6EB6"/>
    <w:rsid w:val="002F72F5"/>
    <w:rsid w:val="002F7FAF"/>
    <w:rsid w:val="00300AC7"/>
    <w:rsid w:val="00300EC6"/>
    <w:rsid w:val="00301827"/>
    <w:rsid w:val="003018A9"/>
    <w:rsid w:val="00301DF9"/>
    <w:rsid w:val="00301E50"/>
    <w:rsid w:val="0030210E"/>
    <w:rsid w:val="0030219F"/>
    <w:rsid w:val="00303B3C"/>
    <w:rsid w:val="0030407F"/>
    <w:rsid w:val="00306352"/>
    <w:rsid w:val="003063CC"/>
    <w:rsid w:val="0030764F"/>
    <w:rsid w:val="003108AA"/>
    <w:rsid w:val="00310EA7"/>
    <w:rsid w:val="00311871"/>
    <w:rsid w:val="00313E28"/>
    <w:rsid w:val="003152BD"/>
    <w:rsid w:val="003153F6"/>
    <w:rsid w:val="00316079"/>
    <w:rsid w:val="003175BD"/>
    <w:rsid w:val="00317724"/>
    <w:rsid w:val="00317B81"/>
    <w:rsid w:val="00317BCF"/>
    <w:rsid w:val="003211FA"/>
    <w:rsid w:val="00321750"/>
    <w:rsid w:val="00323E89"/>
    <w:rsid w:val="003247D9"/>
    <w:rsid w:val="0032518D"/>
    <w:rsid w:val="0032553B"/>
    <w:rsid w:val="003256CA"/>
    <w:rsid w:val="00326938"/>
    <w:rsid w:val="0032693A"/>
    <w:rsid w:val="00327BB2"/>
    <w:rsid w:val="00327D10"/>
    <w:rsid w:val="00330765"/>
    <w:rsid w:val="00330FA8"/>
    <w:rsid w:val="00332571"/>
    <w:rsid w:val="00333160"/>
    <w:rsid w:val="00333812"/>
    <w:rsid w:val="00333E1A"/>
    <w:rsid w:val="00334946"/>
    <w:rsid w:val="00334B42"/>
    <w:rsid w:val="00334E15"/>
    <w:rsid w:val="00334E52"/>
    <w:rsid w:val="00335594"/>
    <w:rsid w:val="00335E9E"/>
    <w:rsid w:val="00336341"/>
    <w:rsid w:val="003370C8"/>
    <w:rsid w:val="00340248"/>
    <w:rsid w:val="0034037F"/>
    <w:rsid w:val="00340AF8"/>
    <w:rsid w:val="00341C8C"/>
    <w:rsid w:val="003427C6"/>
    <w:rsid w:val="003430B4"/>
    <w:rsid w:val="0034341B"/>
    <w:rsid w:val="00343D87"/>
    <w:rsid w:val="00343DA3"/>
    <w:rsid w:val="00344099"/>
    <w:rsid w:val="00344C3B"/>
    <w:rsid w:val="003454D3"/>
    <w:rsid w:val="00346DBA"/>
    <w:rsid w:val="0034778A"/>
    <w:rsid w:val="00350F36"/>
    <w:rsid w:val="00351032"/>
    <w:rsid w:val="00351369"/>
    <w:rsid w:val="0035159E"/>
    <w:rsid w:val="003529B4"/>
    <w:rsid w:val="00352B1E"/>
    <w:rsid w:val="00352EC4"/>
    <w:rsid w:val="003542BB"/>
    <w:rsid w:val="0035493B"/>
    <w:rsid w:val="00354DFE"/>
    <w:rsid w:val="00355D13"/>
    <w:rsid w:val="0035715F"/>
    <w:rsid w:val="00357187"/>
    <w:rsid w:val="0035757D"/>
    <w:rsid w:val="0036025A"/>
    <w:rsid w:val="003609F7"/>
    <w:rsid w:val="00360B93"/>
    <w:rsid w:val="00361AAA"/>
    <w:rsid w:val="0036253C"/>
    <w:rsid w:val="003626DB"/>
    <w:rsid w:val="003627CB"/>
    <w:rsid w:val="0036293E"/>
    <w:rsid w:val="00362AE7"/>
    <w:rsid w:val="003631D6"/>
    <w:rsid w:val="00363681"/>
    <w:rsid w:val="00364BE0"/>
    <w:rsid w:val="00365A1F"/>
    <w:rsid w:val="00365FB8"/>
    <w:rsid w:val="0036738C"/>
    <w:rsid w:val="003712AF"/>
    <w:rsid w:val="003714CF"/>
    <w:rsid w:val="003716B9"/>
    <w:rsid w:val="00371EF2"/>
    <w:rsid w:val="00372340"/>
    <w:rsid w:val="003724AC"/>
    <w:rsid w:val="00372769"/>
    <w:rsid w:val="00372CC8"/>
    <w:rsid w:val="00373631"/>
    <w:rsid w:val="00373FF9"/>
    <w:rsid w:val="00374456"/>
    <w:rsid w:val="00374A6D"/>
    <w:rsid w:val="00375260"/>
    <w:rsid w:val="003752EC"/>
    <w:rsid w:val="00376A18"/>
    <w:rsid w:val="00377308"/>
    <w:rsid w:val="00377C72"/>
    <w:rsid w:val="00380201"/>
    <w:rsid w:val="003802E7"/>
    <w:rsid w:val="003814D8"/>
    <w:rsid w:val="00381553"/>
    <w:rsid w:val="0038196F"/>
    <w:rsid w:val="003819BB"/>
    <w:rsid w:val="00381F48"/>
    <w:rsid w:val="003820C0"/>
    <w:rsid w:val="00382438"/>
    <w:rsid w:val="0038307D"/>
    <w:rsid w:val="003833A2"/>
    <w:rsid w:val="00383E49"/>
    <w:rsid w:val="00384DFC"/>
    <w:rsid w:val="00384E97"/>
    <w:rsid w:val="0038500B"/>
    <w:rsid w:val="003852C2"/>
    <w:rsid w:val="00386692"/>
    <w:rsid w:val="00386E81"/>
    <w:rsid w:val="003875A5"/>
    <w:rsid w:val="00387AF2"/>
    <w:rsid w:val="00387C07"/>
    <w:rsid w:val="00387DE2"/>
    <w:rsid w:val="00387F27"/>
    <w:rsid w:val="00387F38"/>
    <w:rsid w:val="003901F5"/>
    <w:rsid w:val="003908B6"/>
    <w:rsid w:val="00390B5F"/>
    <w:rsid w:val="00391352"/>
    <w:rsid w:val="0039212D"/>
    <w:rsid w:val="0039281A"/>
    <w:rsid w:val="00392A75"/>
    <w:rsid w:val="00392EE6"/>
    <w:rsid w:val="00392FBE"/>
    <w:rsid w:val="00393050"/>
    <w:rsid w:val="00395084"/>
    <w:rsid w:val="003951B0"/>
    <w:rsid w:val="0039582C"/>
    <w:rsid w:val="00395E95"/>
    <w:rsid w:val="0039617B"/>
    <w:rsid w:val="0039673B"/>
    <w:rsid w:val="00396CA5"/>
    <w:rsid w:val="00397F38"/>
    <w:rsid w:val="003A0ACB"/>
    <w:rsid w:val="003A0F02"/>
    <w:rsid w:val="003A1AA9"/>
    <w:rsid w:val="003A214A"/>
    <w:rsid w:val="003A2357"/>
    <w:rsid w:val="003A2B0A"/>
    <w:rsid w:val="003A2C15"/>
    <w:rsid w:val="003A2CD2"/>
    <w:rsid w:val="003A2F1C"/>
    <w:rsid w:val="003A3216"/>
    <w:rsid w:val="003A3F4F"/>
    <w:rsid w:val="003A4043"/>
    <w:rsid w:val="003A441A"/>
    <w:rsid w:val="003A4D2C"/>
    <w:rsid w:val="003A4F8E"/>
    <w:rsid w:val="003A5071"/>
    <w:rsid w:val="003A6396"/>
    <w:rsid w:val="003A69A5"/>
    <w:rsid w:val="003A6D17"/>
    <w:rsid w:val="003A6DC3"/>
    <w:rsid w:val="003A7204"/>
    <w:rsid w:val="003A793D"/>
    <w:rsid w:val="003A79DA"/>
    <w:rsid w:val="003A7C10"/>
    <w:rsid w:val="003B0D4F"/>
    <w:rsid w:val="003B1F7B"/>
    <w:rsid w:val="003B2138"/>
    <w:rsid w:val="003B26F2"/>
    <w:rsid w:val="003B2734"/>
    <w:rsid w:val="003B36CA"/>
    <w:rsid w:val="003B4309"/>
    <w:rsid w:val="003B49FA"/>
    <w:rsid w:val="003B5791"/>
    <w:rsid w:val="003B5BA0"/>
    <w:rsid w:val="003B5E5D"/>
    <w:rsid w:val="003B67B7"/>
    <w:rsid w:val="003B775D"/>
    <w:rsid w:val="003B793B"/>
    <w:rsid w:val="003B7F01"/>
    <w:rsid w:val="003C04EA"/>
    <w:rsid w:val="003C06D1"/>
    <w:rsid w:val="003C0870"/>
    <w:rsid w:val="003C0916"/>
    <w:rsid w:val="003C0956"/>
    <w:rsid w:val="003C1705"/>
    <w:rsid w:val="003C172B"/>
    <w:rsid w:val="003C1854"/>
    <w:rsid w:val="003C19B2"/>
    <w:rsid w:val="003C1C21"/>
    <w:rsid w:val="003C26E8"/>
    <w:rsid w:val="003C2906"/>
    <w:rsid w:val="003C2B14"/>
    <w:rsid w:val="003C3019"/>
    <w:rsid w:val="003C317C"/>
    <w:rsid w:val="003C3853"/>
    <w:rsid w:val="003C414A"/>
    <w:rsid w:val="003C4D55"/>
    <w:rsid w:val="003C4FDA"/>
    <w:rsid w:val="003C587B"/>
    <w:rsid w:val="003C5EA2"/>
    <w:rsid w:val="003C5F74"/>
    <w:rsid w:val="003C6090"/>
    <w:rsid w:val="003C6E46"/>
    <w:rsid w:val="003C6F7A"/>
    <w:rsid w:val="003D1F7F"/>
    <w:rsid w:val="003D2F2B"/>
    <w:rsid w:val="003D339C"/>
    <w:rsid w:val="003D35EA"/>
    <w:rsid w:val="003D3A8F"/>
    <w:rsid w:val="003D43BE"/>
    <w:rsid w:val="003D5BB3"/>
    <w:rsid w:val="003D5DE5"/>
    <w:rsid w:val="003D67FF"/>
    <w:rsid w:val="003D6818"/>
    <w:rsid w:val="003D6A56"/>
    <w:rsid w:val="003D70E0"/>
    <w:rsid w:val="003D76D8"/>
    <w:rsid w:val="003E19B2"/>
    <w:rsid w:val="003E1B72"/>
    <w:rsid w:val="003E1EC9"/>
    <w:rsid w:val="003E264F"/>
    <w:rsid w:val="003E286A"/>
    <w:rsid w:val="003E2F1F"/>
    <w:rsid w:val="003E344B"/>
    <w:rsid w:val="003E363E"/>
    <w:rsid w:val="003E3DF2"/>
    <w:rsid w:val="003E456A"/>
    <w:rsid w:val="003E7587"/>
    <w:rsid w:val="003F00C0"/>
    <w:rsid w:val="003F0CA1"/>
    <w:rsid w:val="003F0D3A"/>
    <w:rsid w:val="003F0F65"/>
    <w:rsid w:val="003F110B"/>
    <w:rsid w:val="003F227C"/>
    <w:rsid w:val="003F297E"/>
    <w:rsid w:val="003F2C27"/>
    <w:rsid w:val="003F2D7A"/>
    <w:rsid w:val="003F47F5"/>
    <w:rsid w:val="003F6380"/>
    <w:rsid w:val="003F67FC"/>
    <w:rsid w:val="003F6AB7"/>
    <w:rsid w:val="003F6D0B"/>
    <w:rsid w:val="003F6F41"/>
    <w:rsid w:val="003F7A35"/>
    <w:rsid w:val="0040172F"/>
    <w:rsid w:val="00401F3D"/>
    <w:rsid w:val="004025A9"/>
    <w:rsid w:val="004027A0"/>
    <w:rsid w:val="0040297A"/>
    <w:rsid w:val="00402F93"/>
    <w:rsid w:val="00402FCC"/>
    <w:rsid w:val="00404553"/>
    <w:rsid w:val="004048C3"/>
    <w:rsid w:val="00404B25"/>
    <w:rsid w:val="00405E71"/>
    <w:rsid w:val="004069C4"/>
    <w:rsid w:val="00406D79"/>
    <w:rsid w:val="0040743B"/>
    <w:rsid w:val="0040772E"/>
    <w:rsid w:val="00407B48"/>
    <w:rsid w:val="00407D0A"/>
    <w:rsid w:val="00407DC2"/>
    <w:rsid w:val="004106F6"/>
    <w:rsid w:val="00410B1A"/>
    <w:rsid w:val="00410D6A"/>
    <w:rsid w:val="00411189"/>
    <w:rsid w:val="00411637"/>
    <w:rsid w:val="00411EA5"/>
    <w:rsid w:val="00411F5B"/>
    <w:rsid w:val="0041218E"/>
    <w:rsid w:val="00412DC1"/>
    <w:rsid w:val="004132A8"/>
    <w:rsid w:val="00413A40"/>
    <w:rsid w:val="00414106"/>
    <w:rsid w:val="00414729"/>
    <w:rsid w:val="00414947"/>
    <w:rsid w:val="00414AC0"/>
    <w:rsid w:val="00414BDB"/>
    <w:rsid w:val="00414F96"/>
    <w:rsid w:val="00415047"/>
    <w:rsid w:val="00415922"/>
    <w:rsid w:val="00415A26"/>
    <w:rsid w:val="00415D89"/>
    <w:rsid w:val="00415FAD"/>
    <w:rsid w:val="0041619D"/>
    <w:rsid w:val="0041625C"/>
    <w:rsid w:val="00416425"/>
    <w:rsid w:val="00416DF5"/>
    <w:rsid w:val="0041734C"/>
    <w:rsid w:val="00417AB8"/>
    <w:rsid w:val="004207DC"/>
    <w:rsid w:val="00420997"/>
    <w:rsid w:val="00420C9E"/>
    <w:rsid w:val="00421803"/>
    <w:rsid w:val="00421A50"/>
    <w:rsid w:val="00422190"/>
    <w:rsid w:val="00422359"/>
    <w:rsid w:val="00422597"/>
    <w:rsid w:val="00422BA5"/>
    <w:rsid w:val="00422E93"/>
    <w:rsid w:val="00423022"/>
    <w:rsid w:val="0042368B"/>
    <w:rsid w:val="00423829"/>
    <w:rsid w:val="004244DE"/>
    <w:rsid w:val="00424545"/>
    <w:rsid w:val="00424959"/>
    <w:rsid w:val="00425016"/>
    <w:rsid w:val="00425918"/>
    <w:rsid w:val="00425968"/>
    <w:rsid w:val="00426485"/>
    <w:rsid w:val="004264D4"/>
    <w:rsid w:val="004267CC"/>
    <w:rsid w:val="00426844"/>
    <w:rsid w:val="00426ED5"/>
    <w:rsid w:val="00427486"/>
    <w:rsid w:val="00427C5C"/>
    <w:rsid w:val="00430719"/>
    <w:rsid w:val="00430C86"/>
    <w:rsid w:val="004311F0"/>
    <w:rsid w:val="00431947"/>
    <w:rsid w:val="00431AA1"/>
    <w:rsid w:val="00431CF8"/>
    <w:rsid w:val="0043239C"/>
    <w:rsid w:val="004325AA"/>
    <w:rsid w:val="00432B99"/>
    <w:rsid w:val="00434C83"/>
    <w:rsid w:val="00435018"/>
    <w:rsid w:val="00435732"/>
    <w:rsid w:val="00437185"/>
    <w:rsid w:val="0043722C"/>
    <w:rsid w:val="00440CCE"/>
    <w:rsid w:val="00440E3C"/>
    <w:rsid w:val="004421EE"/>
    <w:rsid w:val="004438DC"/>
    <w:rsid w:val="00444479"/>
    <w:rsid w:val="00444840"/>
    <w:rsid w:val="00444B2A"/>
    <w:rsid w:val="00445172"/>
    <w:rsid w:val="00445548"/>
    <w:rsid w:val="004460BC"/>
    <w:rsid w:val="00446E22"/>
    <w:rsid w:val="00446FD4"/>
    <w:rsid w:val="00447E75"/>
    <w:rsid w:val="0045067C"/>
    <w:rsid w:val="00450CB7"/>
    <w:rsid w:val="00451050"/>
    <w:rsid w:val="00451A43"/>
    <w:rsid w:val="00451FC6"/>
    <w:rsid w:val="00452127"/>
    <w:rsid w:val="00452732"/>
    <w:rsid w:val="00454DE0"/>
    <w:rsid w:val="00455173"/>
    <w:rsid w:val="00455189"/>
    <w:rsid w:val="00455AE3"/>
    <w:rsid w:val="004568E4"/>
    <w:rsid w:val="00456D6B"/>
    <w:rsid w:val="00456DE0"/>
    <w:rsid w:val="004574F2"/>
    <w:rsid w:val="00457651"/>
    <w:rsid w:val="00457E15"/>
    <w:rsid w:val="004609ED"/>
    <w:rsid w:val="00461412"/>
    <w:rsid w:val="00461D2B"/>
    <w:rsid w:val="0046458A"/>
    <w:rsid w:val="00465055"/>
    <w:rsid w:val="00465D94"/>
    <w:rsid w:val="00465F8D"/>
    <w:rsid w:val="00467968"/>
    <w:rsid w:val="00467999"/>
    <w:rsid w:val="00470701"/>
    <w:rsid w:val="00470B4A"/>
    <w:rsid w:val="00471C08"/>
    <w:rsid w:val="00471E03"/>
    <w:rsid w:val="004720EE"/>
    <w:rsid w:val="004727FE"/>
    <w:rsid w:val="004742BA"/>
    <w:rsid w:val="00475C75"/>
    <w:rsid w:val="00476223"/>
    <w:rsid w:val="00476470"/>
    <w:rsid w:val="0047675E"/>
    <w:rsid w:val="0047725C"/>
    <w:rsid w:val="00477283"/>
    <w:rsid w:val="0048207E"/>
    <w:rsid w:val="0048220F"/>
    <w:rsid w:val="00484126"/>
    <w:rsid w:val="004845AE"/>
    <w:rsid w:val="00485C55"/>
    <w:rsid w:val="00485F86"/>
    <w:rsid w:val="00486794"/>
    <w:rsid w:val="00487448"/>
    <w:rsid w:val="004877A2"/>
    <w:rsid w:val="004879E1"/>
    <w:rsid w:val="00487DF3"/>
    <w:rsid w:val="0049002D"/>
    <w:rsid w:val="00490334"/>
    <w:rsid w:val="004916B1"/>
    <w:rsid w:val="00491905"/>
    <w:rsid w:val="00492206"/>
    <w:rsid w:val="00492475"/>
    <w:rsid w:val="00492572"/>
    <w:rsid w:val="004926F9"/>
    <w:rsid w:val="00492A4A"/>
    <w:rsid w:val="00492B4A"/>
    <w:rsid w:val="00492C43"/>
    <w:rsid w:val="00492EE3"/>
    <w:rsid w:val="00493912"/>
    <w:rsid w:val="00493E39"/>
    <w:rsid w:val="00494C00"/>
    <w:rsid w:val="00494FD6"/>
    <w:rsid w:val="0049556B"/>
    <w:rsid w:val="00495BEA"/>
    <w:rsid w:val="00496020"/>
    <w:rsid w:val="0049629B"/>
    <w:rsid w:val="004964A1"/>
    <w:rsid w:val="00496DBA"/>
    <w:rsid w:val="0049734F"/>
    <w:rsid w:val="004977E0"/>
    <w:rsid w:val="00497DB8"/>
    <w:rsid w:val="004A0019"/>
    <w:rsid w:val="004A0406"/>
    <w:rsid w:val="004A0FB8"/>
    <w:rsid w:val="004A1EC8"/>
    <w:rsid w:val="004A21C0"/>
    <w:rsid w:val="004A2929"/>
    <w:rsid w:val="004A4248"/>
    <w:rsid w:val="004A457D"/>
    <w:rsid w:val="004A58AF"/>
    <w:rsid w:val="004A5C5C"/>
    <w:rsid w:val="004A7050"/>
    <w:rsid w:val="004A7214"/>
    <w:rsid w:val="004B00D8"/>
    <w:rsid w:val="004B0F40"/>
    <w:rsid w:val="004B1B5B"/>
    <w:rsid w:val="004B1D73"/>
    <w:rsid w:val="004B214F"/>
    <w:rsid w:val="004B22A0"/>
    <w:rsid w:val="004B266E"/>
    <w:rsid w:val="004B28C0"/>
    <w:rsid w:val="004B462F"/>
    <w:rsid w:val="004B5867"/>
    <w:rsid w:val="004B5AA2"/>
    <w:rsid w:val="004B5B33"/>
    <w:rsid w:val="004B5DAB"/>
    <w:rsid w:val="004B623A"/>
    <w:rsid w:val="004B6549"/>
    <w:rsid w:val="004B6D31"/>
    <w:rsid w:val="004B71F5"/>
    <w:rsid w:val="004C0108"/>
    <w:rsid w:val="004C0B84"/>
    <w:rsid w:val="004C1643"/>
    <w:rsid w:val="004C1896"/>
    <w:rsid w:val="004C2375"/>
    <w:rsid w:val="004C3E03"/>
    <w:rsid w:val="004C3E4E"/>
    <w:rsid w:val="004C41D1"/>
    <w:rsid w:val="004C4701"/>
    <w:rsid w:val="004C47A5"/>
    <w:rsid w:val="004C49A2"/>
    <w:rsid w:val="004C4BF3"/>
    <w:rsid w:val="004C554F"/>
    <w:rsid w:val="004C6948"/>
    <w:rsid w:val="004C6A2F"/>
    <w:rsid w:val="004C7B0D"/>
    <w:rsid w:val="004C7BED"/>
    <w:rsid w:val="004C7C65"/>
    <w:rsid w:val="004D0246"/>
    <w:rsid w:val="004D091C"/>
    <w:rsid w:val="004D1C3E"/>
    <w:rsid w:val="004D21A8"/>
    <w:rsid w:val="004D22BD"/>
    <w:rsid w:val="004D25F4"/>
    <w:rsid w:val="004D2899"/>
    <w:rsid w:val="004D2DA1"/>
    <w:rsid w:val="004D3333"/>
    <w:rsid w:val="004D3C08"/>
    <w:rsid w:val="004D44DC"/>
    <w:rsid w:val="004D5108"/>
    <w:rsid w:val="004D5E05"/>
    <w:rsid w:val="004D662B"/>
    <w:rsid w:val="004D6ABC"/>
    <w:rsid w:val="004D721B"/>
    <w:rsid w:val="004D7D2E"/>
    <w:rsid w:val="004E0AD0"/>
    <w:rsid w:val="004E0DAB"/>
    <w:rsid w:val="004E0F92"/>
    <w:rsid w:val="004E1116"/>
    <w:rsid w:val="004E1D03"/>
    <w:rsid w:val="004E1F9B"/>
    <w:rsid w:val="004E217C"/>
    <w:rsid w:val="004E2533"/>
    <w:rsid w:val="004E33B5"/>
    <w:rsid w:val="004E4EE3"/>
    <w:rsid w:val="004E5B3C"/>
    <w:rsid w:val="004E5BC6"/>
    <w:rsid w:val="004E5D45"/>
    <w:rsid w:val="004E5DC3"/>
    <w:rsid w:val="004E618A"/>
    <w:rsid w:val="004E65D3"/>
    <w:rsid w:val="004E6848"/>
    <w:rsid w:val="004E6B28"/>
    <w:rsid w:val="004E6BF1"/>
    <w:rsid w:val="004E79D9"/>
    <w:rsid w:val="004F040C"/>
    <w:rsid w:val="004F0492"/>
    <w:rsid w:val="004F0599"/>
    <w:rsid w:val="004F09BE"/>
    <w:rsid w:val="004F0A73"/>
    <w:rsid w:val="004F0AD6"/>
    <w:rsid w:val="004F152F"/>
    <w:rsid w:val="004F24BA"/>
    <w:rsid w:val="004F2B4D"/>
    <w:rsid w:val="004F3360"/>
    <w:rsid w:val="004F3FB7"/>
    <w:rsid w:val="004F467B"/>
    <w:rsid w:val="004F4FF9"/>
    <w:rsid w:val="004F535B"/>
    <w:rsid w:val="004F71C3"/>
    <w:rsid w:val="004F72C7"/>
    <w:rsid w:val="004F741E"/>
    <w:rsid w:val="004F7A81"/>
    <w:rsid w:val="004F7E21"/>
    <w:rsid w:val="00500ABB"/>
    <w:rsid w:val="0050441B"/>
    <w:rsid w:val="00504965"/>
    <w:rsid w:val="0050570B"/>
    <w:rsid w:val="005057EB"/>
    <w:rsid w:val="00505D09"/>
    <w:rsid w:val="00506125"/>
    <w:rsid w:val="00506A35"/>
    <w:rsid w:val="0050723E"/>
    <w:rsid w:val="00507E77"/>
    <w:rsid w:val="0051014E"/>
    <w:rsid w:val="005107BF"/>
    <w:rsid w:val="005114A8"/>
    <w:rsid w:val="005137FC"/>
    <w:rsid w:val="005144B9"/>
    <w:rsid w:val="00514DBC"/>
    <w:rsid w:val="00515293"/>
    <w:rsid w:val="00515559"/>
    <w:rsid w:val="00515E15"/>
    <w:rsid w:val="00516D77"/>
    <w:rsid w:val="00517155"/>
    <w:rsid w:val="00517AC4"/>
    <w:rsid w:val="0052000A"/>
    <w:rsid w:val="00520BDE"/>
    <w:rsid w:val="005212F5"/>
    <w:rsid w:val="005216C5"/>
    <w:rsid w:val="00521A67"/>
    <w:rsid w:val="00521C2C"/>
    <w:rsid w:val="005236FB"/>
    <w:rsid w:val="00524F66"/>
    <w:rsid w:val="005253C9"/>
    <w:rsid w:val="00525455"/>
    <w:rsid w:val="00525D7A"/>
    <w:rsid w:val="005260F8"/>
    <w:rsid w:val="0052635F"/>
    <w:rsid w:val="00526FE9"/>
    <w:rsid w:val="0052798F"/>
    <w:rsid w:val="00527A14"/>
    <w:rsid w:val="00527A6C"/>
    <w:rsid w:val="00527D90"/>
    <w:rsid w:val="005302DA"/>
    <w:rsid w:val="0053080B"/>
    <w:rsid w:val="00532294"/>
    <w:rsid w:val="00532C6F"/>
    <w:rsid w:val="00532F2E"/>
    <w:rsid w:val="0053301D"/>
    <w:rsid w:val="00533712"/>
    <w:rsid w:val="005341AB"/>
    <w:rsid w:val="00534373"/>
    <w:rsid w:val="00534A3B"/>
    <w:rsid w:val="00534AD6"/>
    <w:rsid w:val="00534B52"/>
    <w:rsid w:val="0053594D"/>
    <w:rsid w:val="005359CC"/>
    <w:rsid w:val="00535A23"/>
    <w:rsid w:val="00535E2E"/>
    <w:rsid w:val="005361F5"/>
    <w:rsid w:val="00536B6C"/>
    <w:rsid w:val="0053788B"/>
    <w:rsid w:val="005411F9"/>
    <w:rsid w:val="0054127B"/>
    <w:rsid w:val="005415D1"/>
    <w:rsid w:val="005421DA"/>
    <w:rsid w:val="005421DB"/>
    <w:rsid w:val="005422DE"/>
    <w:rsid w:val="00543400"/>
    <w:rsid w:val="00543763"/>
    <w:rsid w:val="00544C14"/>
    <w:rsid w:val="005461DE"/>
    <w:rsid w:val="0054623B"/>
    <w:rsid w:val="00547834"/>
    <w:rsid w:val="00547911"/>
    <w:rsid w:val="005504A0"/>
    <w:rsid w:val="0055059C"/>
    <w:rsid w:val="00550BA3"/>
    <w:rsid w:val="00551BBD"/>
    <w:rsid w:val="00551E12"/>
    <w:rsid w:val="005533F9"/>
    <w:rsid w:val="00553979"/>
    <w:rsid w:val="00554601"/>
    <w:rsid w:val="00555416"/>
    <w:rsid w:val="00555CE5"/>
    <w:rsid w:val="00556FD7"/>
    <w:rsid w:val="00557494"/>
    <w:rsid w:val="005574A0"/>
    <w:rsid w:val="005576CF"/>
    <w:rsid w:val="00560428"/>
    <w:rsid w:val="005604C4"/>
    <w:rsid w:val="00560BA8"/>
    <w:rsid w:val="00560DDB"/>
    <w:rsid w:val="0056122B"/>
    <w:rsid w:val="005614C6"/>
    <w:rsid w:val="00562A5E"/>
    <w:rsid w:val="005632DD"/>
    <w:rsid w:val="00564D55"/>
    <w:rsid w:val="00564EBF"/>
    <w:rsid w:val="0056541F"/>
    <w:rsid w:val="00565670"/>
    <w:rsid w:val="00565688"/>
    <w:rsid w:val="00565DDD"/>
    <w:rsid w:val="0056638E"/>
    <w:rsid w:val="00570111"/>
    <w:rsid w:val="00570B80"/>
    <w:rsid w:val="005712B5"/>
    <w:rsid w:val="00571517"/>
    <w:rsid w:val="00571696"/>
    <w:rsid w:val="00571E68"/>
    <w:rsid w:val="00572159"/>
    <w:rsid w:val="00572E7E"/>
    <w:rsid w:val="00572ED1"/>
    <w:rsid w:val="005731D4"/>
    <w:rsid w:val="00573699"/>
    <w:rsid w:val="0057577A"/>
    <w:rsid w:val="00576343"/>
    <w:rsid w:val="005767DE"/>
    <w:rsid w:val="00576CC2"/>
    <w:rsid w:val="005773BD"/>
    <w:rsid w:val="0057777E"/>
    <w:rsid w:val="0057788C"/>
    <w:rsid w:val="00577CED"/>
    <w:rsid w:val="00580262"/>
    <w:rsid w:val="0058129D"/>
    <w:rsid w:val="00581929"/>
    <w:rsid w:val="00581EAC"/>
    <w:rsid w:val="0058207E"/>
    <w:rsid w:val="00582168"/>
    <w:rsid w:val="005825A4"/>
    <w:rsid w:val="00582D62"/>
    <w:rsid w:val="00583AF8"/>
    <w:rsid w:val="00583EC5"/>
    <w:rsid w:val="00585E96"/>
    <w:rsid w:val="0058632A"/>
    <w:rsid w:val="00586E9E"/>
    <w:rsid w:val="0059046E"/>
    <w:rsid w:val="0059049A"/>
    <w:rsid w:val="00590577"/>
    <w:rsid w:val="005910D0"/>
    <w:rsid w:val="00592E0F"/>
    <w:rsid w:val="005937D0"/>
    <w:rsid w:val="005949FC"/>
    <w:rsid w:val="00594E0A"/>
    <w:rsid w:val="005950A9"/>
    <w:rsid w:val="005951F2"/>
    <w:rsid w:val="00595237"/>
    <w:rsid w:val="005961E9"/>
    <w:rsid w:val="00596294"/>
    <w:rsid w:val="00596AAE"/>
    <w:rsid w:val="00597E70"/>
    <w:rsid w:val="00597EE2"/>
    <w:rsid w:val="005A14F9"/>
    <w:rsid w:val="005A174D"/>
    <w:rsid w:val="005A186F"/>
    <w:rsid w:val="005A1F93"/>
    <w:rsid w:val="005A2A45"/>
    <w:rsid w:val="005A398B"/>
    <w:rsid w:val="005A3E96"/>
    <w:rsid w:val="005A45F9"/>
    <w:rsid w:val="005A6D6D"/>
    <w:rsid w:val="005A7146"/>
    <w:rsid w:val="005A766E"/>
    <w:rsid w:val="005B11A9"/>
    <w:rsid w:val="005B1784"/>
    <w:rsid w:val="005B1E97"/>
    <w:rsid w:val="005B25E5"/>
    <w:rsid w:val="005B28C1"/>
    <w:rsid w:val="005B2A7C"/>
    <w:rsid w:val="005B3A85"/>
    <w:rsid w:val="005B4EA1"/>
    <w:rsid w:val="005B5A56"/>
    <w:rsid w:val="005B6CCC"/>
    <w:rsid w:val="005B73E7"/>
    <w:rsid w:val="005B74DB"/>
    <w:rsid w:val="005B7B05"/>
    <w:rsid w:val="005C0ABC"/>
    <w:rsid w:val="005C1314"/>
    <w:rsid w:val="005C1C40"/>
    <w:rsid w:val="005C20C6"/>
    <w:rsid w:val="005C2283"/>
    <w:rsid w:val="005C2806"/>
    <w:rsid w:val="005C3105"/>
    <w:rsid w:val="005C3BC1"/>
    <w:rsid w:val="005C40B4"/>
    <w:rsid w:val="005C481F"/>
    <w:rsid w:val="005C4A52"/>
    <w:rsid w:val="005C5CE8"/>
    <w:rsid w:val="005C5F84"/>
    <w:rsid w:val="005C667D"/>
    <w:rsid w:val="005C67F6"/>
    <w:rsid w:val="005C743F"/>
    <w:rsid w:val="005C7991"/>
    <w:rsid w:val="005C79A6"/>
    <w:rsid w:val="005D051A"/>
    <w:rsid w:val="005D0DB0"/>
    <w:rsid w:val="005D10BD"/>
    <w:rsid w:val="005D10F9"/>
    <w:rsid w:val="005D1529"/>
    <w:rsid w:val="005D15F2"/>
    <w:rsid w:val="005D18CA"/>
    <w:rsid w:val="005D3377"/>
    <w:rsid w:val="005D3A0B"/>
    <w:rsid w:val="005D4D5B"/>
    <w:rsid w:val="005D5133"/>
    <w:rsid w:val="005D5787"/>
    <w:rsid w:val="005D6454"/>
    <w:rsid w:val="005D6D85"/>
    <w:rsid w:val="005D79EB"/>
    <w:rsid w:val="005E07C9"/>
    <w:rsid w:val="005E15B8"/>
    <w:rsid w:val="005E2EB2"/>
    <w:rsid w:val="005E319D"/>
    <w:rsid w:val="005E31B6"/>
    <w:rsid w:val="005E32C2"/>
    <w:rsid w:val="005E3D11"/>
    <w:rsid w:val="005E41E7"/>
    <w:rsid w:val="005E540E"/>
    <w:rsid w:val="005E56FD"/>
    <w:rsid w:val="005E7B3C"/>
    <w:rsid w:val="005E7BB4"/>
    <w:rsid w:val="005E7E37"/>
    <w:rsid w:val="005F00D3"/>
    <w:rsid w:val="005F209C"/>
    <w:rsid w:val="005F2E00"/>
    <w:rsid w:val="005F32C8"/>
    <w:rsid w:val="005F3310"/>
    <w:rsid w:val="005F44A2"/>
    <w:rsid w:val="005F4CF0"/>
    <w:rsid w:val="005F5459"/>
    <w:rsid w:val="005F5CFD"/>
    <w:rsid w:val="005F6C97"/>
    <w:rsid w:val="005F7531"/>
    <w:rsid w:val="005F79D4"/>
    <w:rsid w:val="005F7A66"/>
    <w:rsid w:val="00600C8A"/>
    <w:rsid w:val="00600E4E"/>
    <w:rsid w:val="006017DF"/>
    <w:rsid w:val="00601AFA"/>
    <w:rsid w:val="00601BF4"/>
    <w:rsid w:val="00601C6F"/>
    <w:rsid w:val="00603792"/>
    <w:rsid w:val="00603CDB"/>
    <w:rsid w:val="00603F7F"/>
    <w:rsid w:val="006041CB"/>
    <w:rsid w:val="00604924"/>
    <w:rsid w:val="00604FD9"/>
    <w:rsid w:val="00606027"/>
    <w:rsid w:val="00606339"/>
    <w:rsid w:val="006063B6"/>
    <w:rsid w:val="00606E64"/>
    <w:rsid w:val="00606ED6"/>
    <w:rsid w:val="006072A3"/>
    <w:rsid w:val="00607828"/>
    <w:rsid w:val="00610C5E"/>
    <w:rsid w:val="0061140D"/>
    <w:rsid w:val="00612B88"/>
    <w:rsid w:val="00614204"/>
    <w:rsid w:val="0061455C"/>
    <w:rsid w:val="0061463B"/>
    <w:rsid w:val="00614C46"/>
    <w:rsid w:val="00615167"/>
    <w:rsid w:val="006155E2"/>
    <w:rsid w:val="00615606"/>
    <w:rsid w:val="00615FD4"/>
    <w:rsid w:val="00616069"/>
    <w:rsid w:val="006168E1"/>
    <w:rsid w:val="00616B55"/>
    <w:rsid w:val="00620B95"/>
    <w:rsid w:val="00621D3E"/>
    <w:rsid w:val="00622501"/>
    <w:rsid w:val="00622AEF"/>
    <w:rsid w:val="00622E57"/>
    <w:rsid w:val="00622EE5"/>
    <w:rsid w:val="00623285"/>
    <w:rsid w:val="006240FB"/>
    <w:rsid w:val="0062422A"/>
    <w:rsid w:val="00624CE6"/>
    <w:rsid w:val="006252DF"/>
    <w:rsid w:val="0062559B"/>
    <w:rsid w:val="0062674C"/>
    <w:rsid w:val="00627DBF"/>
    <w:rsid w:val="006318D1"/>
    <w:rsid w:val="00631FEF"/>
    <w:rsid w:val="00632121"/>
    <w:rsid w:val="00632534"/>
    <w:rsid w:val="006327CB"/>
    <w:rsid w:val="00633311"/>
    <w:rsid w:val="006334EE"/>
    <w:rsid w:val="00633765"/>
    <w:rsid w:val="006359EB"/>
    <w:rsid w:val="006362BB"/>
    <w:rsid w:val="00636F7A"/>
    <w:rsid w:val="0063729D"/>
    <w:rsid w:val="00637907"/>
    <w:rsid w:val="00637D6D"/>
    <w:rsid w:val="0064040F"/>
    <w:rsid w:val="006408D3"/>
    <w:rsid w:val="00640B8A"/>
    <w:rsid w:val="00640F7D"/>
    <w:rsid w:val="00641CFC"/>
    <w:rsid w:val="006421B9"/>
    <w:rsid w:val="006429CE"/>
    <w:rsid w:val="00642A31"/>
    <w:rsid w:val="006437E7"/>
    <w:rsid w:val="00643978"/>
    <w:rsid w:val="00643FE6"/>
    <w:rsid w:val="00645D16"/>
    <w:rsid w:val="00645E41"/>
    <w:rsid w:val="00646848"/>
    <w:rsid w:val="0065000A"/>
    <w:rsid w:val="00651BE1"/>
    <w:rsid w:val="00651EC3"/>
    <w:rsid w:val="006522CD"/>
    <w:rsid w:val="00652E44"/>
    <w:rsid w:val="00654867"/>
    <w:rsid w:val="00654DE1"/>
    <w:rsid w:val="00655FAC"/>
    <w:rsid w:val="00656653"/>
    <w:rsid w:val="00656902"/>
    <w:rsid w:val="00657504"/>
    <w:rsid w:val="00657A31"/>
    <w:rsid w:val="00657B6E"/>
    <w:rsid w:val="006603F6"/>
    <w:rsid w:val="0066078E"/>
    <w:rsid w:val="00660DC8"/>
    <w:rsid w:val="006630A0"/>
    <w:rsid w:val="00663EC4"/>
    <w:rsid w:val="00664000"/>
    <w:rsid w:val="00664180"/>
    <w:rsid w:val="00664EC0"/>
    <w:rsid w:val="00665B0B"/>
    <w:rsid w:val="00665F42"/>
    <w:rsid w:val="00665FA8"/>
    <w:rsid w:val="006679F7"/>
    <w:rsid w:val="00667BEF"/>
    <w:rsid w:val="00667CD1"/>
    <w:rsid w:val="00667D11"/>
    <w:rsid w:val="006701AF"/>
    <w:rsid w:val="00670E1B"/>
    <w:rsid w:val="00670FFF"/>
    <w:rsid w:val="0067128F"/>
    <w:rsid w:val="00671870"/>
    <w:rsid w:val="00672011"/>
    <w:rsid w:val="0067286D"/>
    <w:rsid w:val="00672A52"/>
    <w:rsid w:val="006734B1"/>
    <w:rsid w:val="00673D05"/>
    <w:rsid w:val="0067505D"/>
    <w:rsid w:val="00675126"/>
    <w:rsid w:val="006769C7"/>
    <w:rsid w:val="006772D7"/>
    <w:rsid w:val="00677585"/>
    <w:rsid w:val="00677A04"/>
    <w:rsid w:val="006806C0"/>
    <w:rsid w:val="00680968"/>
    <w:rsid w:val="00681E5D"/>
    <w:rsid w:val="00682630"/>
    <w:rsid w:val="00682875"/>
    <w:rsid w:val="006835EE"/>
    <w:rsid w:val="006837C1"/>
    <w:rsid w:val="006839B4"/>
    <w:rsid w:val="00683AC1"/>
    <w:rsid w:val="00683CE9"/>
    <w:rsid w:val="0068529A"/>
    <w:rsid w:val="0068539D"/>
    <w:rsid w:val="0068626E"/>
    <w:rsid w:val="00686E20"/>
    <w:rsid w:val="00690B2F"/>
    <w:rsid w:val="0069127F"/>
    <w:rsid w:val="00692658"/>
    <w:rsid w:val="00693022"/>
    <w:rsid w:val="0069309E"/>
    <w:rsid w:val="00693F51"/>
    <w:rsid w:val="00694193"/>
    <w:rsid w:val="006942E5"/>
    <w:rsid w:val="00694322"/>
    <w:rsid w:val="0069453D"/>
    <w:rsid w:val="00694784"/>
    <w:rsid w:val="0069484D"/>
    <w:rsid w:val="00694CF3"/>
    <w:rsid w:val="00694EC0"/>
    <w:rsid w:val="006950B3"/>
    <w:rsid w:val="006953A1"/>
    <w:rsid w:val="0069695E"/>
    <w:rsid w:val="00696D60"/>
    <w:rsid w:val="00696F8C"/>
    <w:rsid w:val="00697364"/>
    <w:rsid w:val="006973F7"/>
    <w:rsid w:val="006A14A8"/>
    <w:rsid w:val="006A1AFE"/>
    <w:rsid w:val="006A21A8"/>
    <w:rsid w:val="006A2269"/>
    <w:rsid w:val="006A272D"/>
    <w:rsid w:val="006A38CA"/>
    <w:rsid w:val="006A45BF"/>
    <w:rsid w:val="006A5235"/>
    <w:rsid w:val="006A5720"/>
    <w:rsid w:val="006A584F"/>
    <w:rsid w:val="006A5DA4"/>
    <w:rsid w:val="006A5E77"/>
    <w:rsid w:val="006A5FC2"/>
    <w:rsid w:val="006A6264"/>
    <w:rsid w:val="006A648F"/>
    <w:rsid w:val="006B072B"/>
    <w:rsid w:val="006B0A52"/>
    <w:rsid w:val="006B0AB8"/>
    <w:rsid w:val="006B21E6"/>
    <w:rsid w:val="006B249E"/>
    <w:rsid w:val="006B2EB1"/>
    <w:rsid w:val="006B30CD"/>
    <w:rsid w:val="006B3111"/>
    <w:rsid w:val="006B4065"/>
    <w:rsid w:val="006B4163"/>
    <w:rsid w:val="006B46D5"/>
    <w:rsid w:val="006B4921"/>
    <w:rsid w:val="006B4EA0"/>
    <w:rsid w:val="006B542B"/>
    <w:rsid w:val="006B5583"/>
    <w:rsid w:val="006B563E"/>
    <w:rsid w:val="006B70A7"/>
    <w:rsid w:val="006B7314"/>
    <w:rsid w:val="006B7638"/>
    <w:rsid w:val="006B7718"/>
    <w:rsid w:val="006B7DC1"/>
    <w:rsid w:val="006C0D4A"/>
    <w:rsid w:val="006C1621"/>
    <w:rsid w:val="006C1B13"/>
    <w:rsid w:val="006C2ABE"/>
    <w:rsid w:val="006C3845"/>
    <w:rsid w:val="006C3E5A"/>
    <w:rsid w:val="006C415E"/>
    <w:rsid w:val="006C4656"/>
    <w:rsid w:val="006C67C8"/>
    <w:rsid w:val="006C6D0C"/>
    <w:rsid w:val="006C6E05"/>
    <w:rsid w:val="006C6FAC"/>
    <w:rsid w:val="006C706D"/>
    <w:rsid w:val="006C7627"/>
    <w:rsid w:val="006C7D15"/>
    <w:rsid w:val="006D007C"/>
    <w:rsid w:val="006D3AD3"/>
    <w:rsid w:val="006D3F27"/>
    <w:rsid w:val="006D497B"/>
    <w:rsid w:val="006D52F7"/>
    <w:rsid w:val="006E0049"/>
    <w:rsid w:val="006E00F2"/>
    <w:rsid w:val="006E0E85"/>
    <w:rsid w:val="006E142B"/>
    <w:rsid w:val="006E1986"/>
    <w:rsid w:val="006E22D2"/>
    <w:rsid w:val="006E27FE"/>
    <w:rsid w:val="006E28BB"/>
    <w:rsid w:val="006E2C36"/>
    <w:rsid w:val="006E30EA"/>
    <w:rsid w:val="006E3A44"/>
    <w:rsid w:val="006E3AE3"/>
    <w:rsid w:val="006E3E6B"/>
    <w:rsid w:val="006E3EA5"/>
    <w:rsid w:val="006E410B"/>
    <w:rsid w:val="006E423B"/>
    <w:rsid w:val="006E4277"/>
    <w:rsid w:val="006E4A8B"/>
    <w:rsid w:val="006E6785"/>
    <w:rsid w:val="006E6AC4"/>
    <w:rsid w:val="006E71B7"/>
    <w:rsid w:val="006E75C2"/>
    <w:rsid w:val="006F023B"/>
    <w:rsid w:val="006F035C"/>
    <w:rsid w:val="006F19EE"/>
    <w:rsid w:val="006F25E0"/>
    <w:rsid w:val="006F27E4"/>
    <w:rsid w:val="006F4622"/>
    <w:rsid w:val="006F4DCE"/>
    <w:rsid w:val="006F55A1"/>
    <w:rsid w:val="006F5746"/>
    <w:rsid w:val="006F6974"/>
    <w:rsid w:val="006F6CD6"/>
    <w:rsid w:val="006F7075"/>
    <w:rsid w:val="006F73A0"/>
    <w:rsid w:val="006F790C"/>
    <w:rsid w:val="0070084C"/>
    <w:rsid w:val="007015EF"/>
    <w:rsid w:val="007018A1"/>
    <w:rsid w:val="00701EEF"/>
    <w:rsid w:val="00702246"/>
    <w:rsid w:val="0070231F"/>
    <w:rsid w:val="00702784"/>
    <w:rsid w:val="0070283D"/>
    <w:rsid w:val="00704649"/>
    <w:rsid w:val="0070529B"/>
    <w:rsid w:val="00705BD6"/>
    <w:rsid w:val="00705E32"/>
    <w:rsid w:val="00705EDC"/>
    <w:rsid w:val="00706120"/>
    <w:rsid w:val="00706EE3"/>
    <w:rsid w:val="00707526"/>
    <w:rsid w:val="00710381"/>
    <w:rsid w:val="0071052D"/>
    <w:rsid w:val="007107BE"/>
    <w:rsid w:val="00710B0A"/>
    <w:rsid w:val="00710F50"/>
    <w:rsid w:val="00710FC6"/>
    <w:rsid w:val="007117E5"/>
    <w:rsid w:val="00711963"/>
    <w:rsid w:val="00711DFF"/>
    <w:rsid w:val="007139C7"/>
    <w:rsid w:val="00713D8B"/>
    <w:rsid w:val="00713FDB"/>
    <w:rsid w:val="00714F80"/>
    <w:rsid w:val="00716062"/>
    <w:rsid w:val="007163AE"/>
    <w:rsid w:val="00716CD6"/>
    <w:rsid w:val="00716EC3"/>
    <w:rsid w:val="00716F70"/>
    <w:rsid w:val="00717508"/>
    <w:rsid w:val="007179E6"/>
    <w:rsid w:val="00717D15"/>
    <w:rsid w:val="00717E76"/>
    <w:rsid w:val="0072031D"/>
    <w:rsid w:val="007205D6"/>
    <w:rsid w:val="0072079C"/>
    <w:rsid w:val="007207DF"/>
    <w:rsid w:val="00720DD0"/>
    <w:rsid w:val="00721232"/>
    <w:rsid w:val="00722C2E"/>
    <w:rsid w:val="0072312D"/>
    <w:rsid w:val="00723EA3"/>
    <w:rsid w:val="0072405A"/>
    <w:rsid w:val="0072451C"/>
    <w:rsid w:val="0072485E"/>
    <w:rsid w:val="007248FE"/>
    <w:rsid w:val="00724F1E"/>
    <w:rsid w:val="007261D8"/>
    <w:rsid w:val="00726400"/>
    <w:rsid w:val="0073077F"/>
    <w:rsid w:val="00730991"/>
    <w:rsid w:val="00731262"/>
    <w:rsid w:val="00731A95"/>
    <w:rsid w:val="0073216D"/>
    <w:rsid w:val="007331A8"/>
    <w:rsid w:val="00733534"/>
    <w:rsid w:val="007349A1"/>
    <w:rsid w:val="0073522F"/>
    <w:rsid w:val="00735567"/>
    <w:rsid w:val="00736933"/>
    <w:rsid w:val="00736F6E"/>
    <w:rsid w:val="007370C7"/>
    <w:rsid w:val="00737C30"/>
    <w:rsid w:val="00740EA1"/>
    <w:rsid w:val="00740F44"/>
    <w:rsid w:val="00741764"/>
    <w:rsid w:val="00742B94"/>
    <w:rsid w:val="0074308A"/>
    <w:rsid w:val="00743507"/>
    <w:rsid w:val="00743E63"/>
    <w:rsid w:val="00743FA8"/>
    <w:rsid w:val="007446B3"/>
    <w:rsid w:val="00744AC5"/>
    <w:rsid w:val="00744F44"/>
    <w:rsid w:val="007453F5"/>
    <w:rsid w:val="007457A1"/>
    <w:rsid w:val="00745EF5"/>
    <w:rsid w:val="00745F92"/>
    <w:rsid w:val="007460B6"/>
    <w:rsid w:val="00746952"/>
    <w:rsid w:val="00746B98"/>
    <w:rsid w:val="007472B3"/>
    <w:rsid w:val="00747586"/>
    <w:rsid w:val="007475FE"/>
    <w:rsid w:val="0074789A"/>
    <w:rsid w:val="00747975"/>
    <w:rsid w:val="0075026D"/>
    <w:rsid w:val="00750DC3"/>
    <w:rsid w:val="00753B68"/>
    <w:rsid w:val="00753EE3"/>
    <w:rsid w:val="007544C7"/>
    <w:rsid w:val="007551F5"/>
    <w:rsid w:val="00755710"/>
    <w:rsid w:val="00755E3A"/>
    <w:rsid w:val="00755F19"/>
    <w:rsid w:val="0075702E"/>
    <w:rsid w:val="007571DE"/>
    <w:rsid w:val="00757B63"/>
    <w:rsid w:val="00760249"/>
    <w:rsid w:val="007610A7"/>
    <w:rsid w:val="007618E8"/>
    <w:rsid w:val="00761DF5"/>
    <w:rsid w:val="00761EB7"/>
    <w:rsid w:val="00763D65"/>
    <w:rsid w:val="00764191"/>
    <w:rsid w:val="007642A4"/>
    <w:rsid w:val="00764DE4"/>
    <w:rsid w:val="00765236"/>
    <w:rsid w:val="00765722"/>
    <w:rsid w:val="00765787"/>
    <w:rsid w:val="007657C5"/>
    <w:rsid w:val="00766609"/>
    <w:rsid w:val="00766816"/>
    <w:rsid w:val="00766929"/>
    <w:rsid w:val="007669CF"/>
    <w:rsid w:val="00770512"/>
    <w:rsid w:val="007709E0"/>
    <w:rsid w:val="007712B5"/>
    <w:rsid w:val="00771703"/>
    <w:rsid w:val="00772072"/>
    <w:rsid w:val="00772BE7"/>
    <w:rsid w:val="00772E45"/>
    <w:rsid w:val="00772F0D"/>
    <w:rsid w:val="007744C3"/>
    <w:rsid w:val="0077451C"/>
    <w:rsid w:val="00774F82"/>
    <w:rsid w:val="007764CA"/>
    <w:rsid w:val="0077673A"/>
    <w:rsid w:val="00776F81"/>
    <w:rsid w:val="007771D3"/>
    <w:rsid w:val="00777477"/>
    <w:rsid w:val="007800A5"/>
    <w:rsid w:val="007801CE"/>
    <w:rsid w:val="007802CA"/>
    <w:rsid w:val="00780830"/>
    <w:rsid w:val="0078098E"/>
    <w:rsid w:val="00781DAC"/>
    <w:rsid w:val="007823B0"/>
    <w:rsid w:val="00782F42"/>
    <w:rsid w:val="0078341C"/>
    <w:rsid w:val="00783E98"/>
    <w:rsid w:val="00783FA8"/>
    <w:rsid w:val="00784E83"/>
    <w:rsid w:val="00785688"/>
    <w:rsid w:val="0078579A"/>
    <w:rsid w:val="00785D07"/>
    <w:rsid w:val="00785EB5"/>
    <w:rsid w:val="007900D0"/>
    <w:rsid w:val="007905EB"/>
    <w:rsid w:val="007909FE"/>
    <w:rsid w:val="007916C8"/>
    <w:rsid w:val="00791D6D"/>
    <w:rsid w:val="00791DDE"/>
    <w:rsid w:val="0079240D"/>
    <w:rsid w:val="00792874"/>
    <w:rsid w:val="007933D5"/>
    <w:rsid w:val="00794B0B"/>
    <w:rsid w:val="00795117"/>
    <w:rsid w:val="00795E28"/>
    <w:rsid w:val="007961A7"/>
    <w:rsid w:val="00796528"/>
    <w:rsid w:val="00796619"/>
    <w:rsid w:val="00797438"/>
    <w:rsid w:val="00797811"/>
    <w:rsid w:val="00797B00"/>
    <w:rsid w:val="007A0262"/>
    <w:rsid w:val="007A0440"/>
    <w:rsid w:val="007A0984"/>
    <w:rsid w:val="007A0FD0"/>
    <w:rsid w:val="007A1B5E"/>
    <w:rsid w:val="007A2A78"/>
    <w:rsid w:val="007A2BC5"/>
    <w:rsid w:val="007A2C0D"/>
    <w:rsid w:val="007A351D"/>
    <w:rsid w:val="007A357F"/>
    <w:rsid w:val="007A39BB"/>
    <w:rsid w:val="007A3E03"/>
    <w:rsid w:val="007A4A1D"/>
    <w:rsid w:val="007A5009"/>
    <w:rsid w:val="007A5389"/>
    <w:rsid w:val="007A57E6"/>
    <w:rsid w:val="007A5B9A"/>
    <w:rsid w:val="007A5CDE"/>
    <w:rsid w:val="007A60A5"/>
    <w:rsid w:val="007A61DE"/>
    <w:rsid w:val="007A661D"/>
    <w:rsid w:val="007A6851"/>
    <w:rsid w:val="007A6983"/>
    <w:rsid w:val="007A7438"/>
    <w:rsid w:val="007A763B"/>
    <w:rsid w:val="007A79B3"/>
    <w:rsid w:val="007A7B97"/>
    <w:rsid w:val="007B01BF"/>
    <w:rsid w:val="007B067A"/>
    <w:rsid w:val="007B0A7C"/>
    <w:rsid w:val="007B0D62"/>
    <w:rsid w:val="007B0F0E"/>
    <w:rsid w:val="007B13AF"/>
    <w:rsid w:val="007B1512"/>
    <w:rsid w:val="007B1B34"/>
    <w:rsid w:val="007B2362"/>
    <w:rsid w:val="007B2D0B"/>
    <w:rsid w:val="007B49DE"/>
    <w:rsid w:val="007B553D"/>
    <w:rsid w:val="007B5901"/>
    <w:rsid w:val="007B771E"/>
    <w:rsid w:val="007B77AA"/>
    <w:rsid w:val="007B7BC0"/>
    <w:rsid w:val="007C0112"/>
    <w:rsid w:val="007C03E4"/>
    <w:rsid w:val="007C051B"/>
    <w:rsid w:val="007C1025"/>
    <w:rsid w:val="007C1C5E"/>
    <w:rsid w:val="007C209D"/>
    <w:rsid w:val="007C267E"/>
    <w:rsid w:val="007C3126"/>
    <w:rsid w:val="007C3143"/>
    <w:rsid w:val="007C3B2B"/>
    <w:rsid w:val="007C3C9E"/>
    <w:rsid w:val="007C49B1"/>
    <w:rsid w:val="007C56AB"/>
    <w:rsid w:val="007C5FC0"/>
    <w:rsid w:val="007C7499"/>
    <w:rsid w:val="007D021F"/>
    <w:rsid w:val="007D0B47"/>
    <w:rsid w:val="007D1068"/>
    <w:rsid w:val="007D21EB"/>
    <w:rsid w:val="007D2481"/>
    <w:rsid w:val="007D2BFA"/>
    <w:rsid w:val="007D3293"/>
    <w:rsid w:val="007D3A82"/>
    <w:rsid w:val="007D4D75"/>
    <w:rsid w:val="007D5B14"/>
    <w:rsid w:val="007D6CF7"/>
    <w:rsid w:val="007E064D"/>
    <w:rsid w:val="007E0831"/>
    <w:rsid w:val="007E1A20"/>
    <w:rsid w:val="007E241F"/>
    <w:rsid w:val="007E2CEA"/>
    <w:rsid w:val="007E2E77"/>
    <w:rsid w:val="007E3526"/>
    <w:rsid w:val="007E37B4"/>
    <w:rsid w:val="007E3DB6"/>
    <w:rsid w:val="007E45E8"/>
    <w:rsid w:val="007E56C4"/>
    <w:rsid w:val="007E5770"/>
    <w:rsid w:val="007E60AB"/>
    <w:rsid w:val="007E65CC"/>
    <w:rsid w:val="007E6D12"/>
    <w:rsid w:val="007E7079"/>
    <w:rsid w:val="007E7382"/>
    <w:rsid w:val="007E7991"/>
    <w:rsid w:val="007F075D"/>
    <w:rsid w:val="007F2B38"/>
    <w:rsid w:val="007F2E91"/>
    <w:rsid w:val="007F30AA"/>
    <w:rsid w:val="007F30C0"/>
    <w:rsid w:val="007F30CF"/>
    <w:rsid w:val="007F330A"/>
    <w:rsid w:val="007F34D1"/>
    <w:rsid w:val="007F43F1"/>
    <w:rsid w:val="007F46B1"/>
    <w:rsid w:val="007F4E46"/>
    <w:rsid w:val="007F5045"/>
    <w:rsid w:val="007F55DF"/>
    <w:rsid w:val="007F5852"/>
    <w:rsid w:val="007F6E1F"/>
    <w:rsid w:val="007F6E7F"/>
    <w:rsid w:val="007F70E9"/>
    <w:rsid w:val="00800A30"/>
    <w:rsid w:val="00801161"/>
    <w:rsid w:val="00801487"/>
    <w:rsid w:val="00801B9D"/>
    <w:rsid w:val="0080367A"/>
    <w:rsid w:val="00804531"/>
    <w:rsid w:val="00805608"/>
    <w:rsid w:val="0080568B"/>
    <w:rsid w:val="00805949"/>
    <w:rsid w:val="00805C92"/>
    <w:rsid w:val="0080787F"/>
    <w:rsid w:val="00807923"/>
    <w:rsid w:val="00807A5E"/>
    <w:rsid w:val="0081039D"/>
    <w:rsid w:val="00811003"/>
    <w:rsid w:val="00811210"/>
    <w:rsid w:val="008116C9"/>
    <w:rsid w:val="00811BB8"/>
    <w:rsid w:val="00811D97"/>
    <w:rsid w:val="008130BF"/>
    <w:rsid w:val="008146B7"/>
    <w:rsid w:val="0081534D"/>
    <w:rsid w:val="00815B51"/>
    <w:rsid w:val="0081669B"/>
    <w:rsid w:val="00816A51"/>
    <w:rsid w:val="00816D98"/>
    <w:rsid w:val="00817E71"/>
    <w:rsid w:val="00820B52"/>
    <w:rsid w:val="00822EAB"/>
    <w:rsid w:val="00822EC7"/>
    <w:rsid w:val="00823660"/>
    <w:rsid w:val="00824304"/>
    <w:rsid w:val="0082439E"/>
    <w:rsid w:val="00824565"/>
    <w:rsid w:val="00825328"/>
    <w:rsid w:val="00825745"/>
    <w:rsid w:val="008258D9"/>
    <w:rsid w:val="00825AF4"/>
    <w:rsid w:val="00825E6A"/>
    <w:rsid w:val="00825E92"/>
    <w:rsid w:val="00826F51"/>
    <w:rsid w:val="00830E85"/>
    <w:rsid w:val="00831D33"/>
    <w:rsid w:val="00832506"/>
    <w:rsid w:val="00832549"/>
    <w:rsid w:val="00833040"/>
    <w:rsid w:val="0083334B"/>
    <w:rsid w:val="0083442E"/>
    <w:rsid w:val="00835134"/>
    <w:rsid w:val="00837DAD"/>
    <w:rsid w:val="00841071"/>
    <w:rsid w:val="00842341"/>
    <w:rsid w:val="00842C29"/>
    <w:rsid w:val="0084307E"/>
    <w:rsid w:val="008434B2"/>
    <w:rsid w:val="0084368A"/>
    <w:rsid w:val="008439FC"/>
    <w:rsid w:val="00843B37"/>
    <w:rsid w:val="00844993"/>
    <w:rsid w:val="00844B0D"/>
    <w:rsid w:val="00844D27"/>
    <w:rsid w:val="00845E44"/>
    <w:rsid w:val="008465B1"/>
    <w:rsid w:val="00846941"/>
    <w:rsid w:val="00846A92"/>
    <w:rsid w:val="00846DBF"/>
    <w:rsid w:val="008477F1"/>
    <w:rsid w:val="008479CE"/>
    <w:rsid w:val="00847D1A"/>
    <w:rsid w:val="00847EC0"/>
    <w:rsid w:val="00850FD8"/>
    <w:rsid w:val="00850FF0"/>
    <w:rsid w:val="008513B9"/>
    <w:rsid w:val="00851A33"/>
    <w:rsid w:val="008520E2"/>
    <w:rsid w:val="00852266"/>
    <w:rsid w:val="008522EA"/>
    <w:rsid w:val="00852A15"/>
    <w:rsid w:val="00852A43"/>
    <w:rsid w:val="00852D0C"/>
    <w:rsid w:val="00853496"/>
    <w:rsid w:val="0085481B"/>
    <w:rsid w:val="0085498D"/>
    <w:rsid w:val="00854DE9"/>
    <w:rsid w:val="00854F96"/>
    <w:rsid w:val="00855242"/>
    <w:rsid w:val="00855714"/>
    <w:rsid w:val="0085597E"/>
    <w:rsid w:val="00855986"/>
    <w:rsid w:val="00856D2D"/>
    <w:rsid w:val="00857A98"/>
    <w:rsid w:val="008600D4"/>
    <w:rsid w:val="008602ED"/>
    <w:rsid w:val="00860CF2"/>
    <w:rsid w:val="00860D74"/>
    <w:rsid w:val="00863EFB"/>
    <w:rsid w:val="00864061"/>
    <w:rsid w:val="0086427D"/>
    <w:rsid w:val="008643FC"/>
    <w:rsid w:val="00865521"/>
    <w:rsid w:val="008659F7"/>
    <w:rsid w:val="00865C2C"/>
    <w:rsid w:val="00865D43"/>
    <w:rsid w:val="008678B6"/>
    <w:rsid w:val="00867F19"/>
    <w:rsid w:val="00870017"/>
    <w:rsid w:val="008706A8"/>
    <w:rsid w:val="00870805"/>
    <w:rsid w:val="008709DC"/>
    <w:rsid w:val="00870EFA"/>
    <w:rsid w:val="00870FAF"/>
    <w:rsid w:val="00872346"/>
    <w:rsid w:val="00872BAE"/>
    <w:rsid w:val="00873876"/>
    <w:rsid w:val="0087387E"/>
    <w:rsid w:val="008738D7"/>
    <w:rsid w:val="00873BCC"/>
    <w:rsid w:val="00873C28"/>
    <w:rsid w:val="00874194"/>
    <w:rsid w:val="00874255"/>
    <w:rsid w:val="008745C6"/>
    <w:rsid w:val="008746C1"/>
    <w:rsid w:val="00874A0B"/>
    <w:rsid w:val="008751A4"/>
    <w:rsid w:val="008762D1"/>
    <w:rsid w:val="0087636C"/>
    <w:rsid w:val="008766CC"/>
    <w:rsid w:val="008767C1"/>
    <w:rsid w:val="00876851"/>
    <w:rsid w:val="00877DB3"/>
    <w:rsid w:val="00877F05"/>
    <w:rsid w:val="00881D48"/>
    <w:rsid w:val="00882048"/>
    <w:rsid w:val="00882190"/>
    <w:rsid w:val="00882D26"/>
    <w:rsid w:val="0088317C"/>
    <w:rsid w:val="0088369D"/>
    <w:rsid w:val="00883B01"/>
    <w:rsid w:val="00883F86"/>
    <w:rsid w:val="008840D9"/>
    <w:rsid w:val="00884AB4"/>
    <w:rsid w:val="00884D9D"/>
    <w:rsid w:val="00885402"/>
    <w:rsid w:val="0088568A"/>
    <w:rsid w:val="00885FC1"/>
    <w:rsid w:val="00886A15"/>
    <w:rsid w:val="00887720"/>
    <w:rsid w:val="00887D02"/>
    <w:rsid w:val="008900C3"/>
    <w:rsid w:val="0089012A"/>
    <w:rsid w:val="0089025F"/>
    <w:rsid w:val="00890295"/>
    <w:rsid w:val="00892280"/>
    <w:rsid w:val="00892508"/>
    <w:rsid w:val="008929B2"/>
    <w:rsid w:val="00892AE7"/>
    <w:rsid w:val="0089318F"/>
    <w:rsid w:val="00893418"/>
    <w:rsid w:val="00894CE3"/>
    <w:rsid w:val="00894D0C"/>
    <w:rsid w:val="00895A78"/>
    <w:rsid w:val="00895AC2"/>
    <w:rsid w:val="00896BD5"/>
    <w:rsid w:val="008972BF"/>
    <w:rsid w:val="00897328"/>
    <w:rsid w:val="00897644"/>
    <w:rsid w:val="0089766C"/>
    <w:rsid w:val="008A01FA"/>
    <w:rsid w:val="008A064C"/>
    <w:rsid w:val="008A1765"/>
    <w:rsid w:val="008A1E23"/>
    <w:rsid w:val="008A27DA"/>
    <w:rsid w:val="008A2ED8"/>
    <w:rsid w:val="008A3445"/>
    <w:rsid w:val="008A3742"/>
    <w:rsid w:val="008A3AA2"/>
    <w:rsid w:val="008A4408"/>
    <w:rsid w:val="008A54A0"/>
    <w:rsid w:val="008A55A0"/>
    <w:rsid w:val="008A6501"/>
    <w:rsid w:val="008A6CBD"/>
    <w:rsid w:val="008A786C"/>
    <w:rsid w:val="008B035A"/>
    <w:rsid w:val="008B0DAD"/>
    <w:rsid w:val="008B1043"/>
    <w:rsid w:val="008B1B28"/>
    <w:rsid w:val="008B22B1"/>
    <w:rsid w:val="008B2B9D"/>
    <w:rsid w:val="008B4159"/>
    <w:rsid w:val="008B4F3D"/>
    <w:rsid w:val="008B4FB1"/>
    <w:rsid w:val="008B5B75"/>
    <w:rsid w:val="008B62F1"/>
    <w:rsid w:val="008C195B"/>
    <w:rsid w:val="008C232A"/>
    <w:rsid w:val="008C27FB"/>
    <w:rsid w:val="008C2FFA"/>
    <w:rsid w:val="008C310C"/>
    <w:rsid w:val="008C3213"/>
    <w:rsid w:val="008C36EC"/>
    <w:rsid w:val="008C3A02"/>
    <w:rsid w:val="008C4280"/>
    <w:rsid w:val="008C5CF2"/>
    <w:rsid w:val="008C68C4"/>
    <w:rsid w:val="008C74BB"/>
    <w:rsid w:val="008C7C7A"/>
    <w:rsid w:val="008D035C"/>
    <w:rsid w:val="008D0A4C"/>
    <w:rsid w:val="008D0B51"/>
    <w:rsid w:val="008D1596"/>
    <w:rsid w:val="008D16B8"/>
    <w:rsid w:val="008D1B1F"/>
    <w:rsid w:val="008D21B3"/>
    <w:rsid w:val="008D262C"/>
    <w:rsid w:val="008D2ECA"/>
    <w:rsid w:val="008D3748"/>
    <w:rsid w:val="008D3CD2"/>
    <w:rsid w:val="008D3E8B"/>
    <w:rsid w:val="008D40DE"/>
    <w:rsid w:val="008D4C1A"/>
    <w:rsid w:val="008D4E25"/>
    <w:rsid w:val="008D4F29"/>
    <w:rsid w:val="008D522C"/>
    <w:rsid w:val="008D52EA"/>
    <w:rsid w:val="008D64FC"/>
    <w:rsid w:val="008D74A7"/>
    <w:rsid w:val="008D7577"/>
    <w:rsid w:val="008E1AD0"/>
    <w:rsid w:val="008E2E52"/>
    <w:rsid w:val="008E30DB"/>
    <w:rsid w:val="008E4299"/>
    <w:rsid w:val="008E464F"/>
    <w:rsid w:val="008E49DE"/>
    <w:rsid w:val="008E4D5D"/>
    <w:rsid w:val="008E5487"/>
    <w:rsid w:val="008E62F6"/>
    <w:rsid w:val="008E7105"/>
    <w:rsid w:val="008E7BDC"/>
    <w:rsid w:val="008F05BE"/>
    <w:rsid w:val="008F1090"/>
    <w:rsid w:val="008F11D4"/>
    <w:rsid w:val="008F1F33"/>
    <w:rsid w:val="008F1FE6"/>
    <w:rsid w:val="008F2DE2"/>
    <w:rsid w:val="008F57D5"/>
    <w:rsid w:val="008F62B7"/>
    <w:rsid w:val="0090011C"/>
    <w:rsid w:val="0090033B"/>
    <w:rsid w:val="0090033D"/>
    <w:rsid w:val="00900527"/>
    <w:rsid w:val="009007B2"/>
    <w:rsid w:val="00900D0A"/>
    <w:rsid w:val="0090277D"/>
    <w:rsid w:val="0090443D"/>
    <w:rsid w:val="009053E6"/>
    <w:rsid w:val="00906544"/>
    <w:rsid w:val="00906A49"/>
    <w:rsid w:val="00906E46"/>
    <w:rsid w:val="00910203"/>
    <w:rsid w:val="00910447"/>
    <w:rsid w:val="0091080A"/>
    <w:rsid w:val="00910C4F"/>
    <w:rsid w:val="00910D6A"/>
    <w:rsid w:val="00911332"/>
    <w:rsid w:val="00912C2F"/>
    <w:rsid w:val="00912D09"/>
    <w:rsid w:val="00912F7A"/>
    <w:rsid w:val="00913E47"/>
    <w:rsid w:val="00914A81"/>
    <w:rsid w:val="00915FE9"/>
    <w:rsid w:val="00916631"/>
    <w:rsid w:val="00916685"/>
    <w:rsid w:val="009177BD"/>
    <w:rsid w:val="00917991"/>
    <w:rsid w:val="00917D40"/>
    <w:rsid w:val="009204FA"/>
    <w:rsid w:val="009215E2"/>
    <w:rsid w:val="00921D4F"/>
    <w:rsid w:val="00921EB9"/>
    <w:rsid w:val="009221DC"/>
    <w:rsid w:val="009230A7"/>
    <w:rsid w:val="0092320D"/>
    <w:rsid w:val="00923ACD"/>
    <w:rsid w:val="00923ECC"/>
    <w:rsid w:val="00924044"/>
    <w:rsid w:val="00924444"/>
    <w:rsid w:val="009255EF"/>
    <w:rsid w:val="0092767C"/>
    <w:rsid w:val="009276ED"/>
    <w:rsid w:val="009277FF"/>
    <w:rsid w:val="009301DD"/>
    <w:rsid w:val="00930864"/>
    <w:rsid w:val="00931C5B"/>
    <w:rsid w:val="00932ECC"/>
    <w:rsid w:val="00933461"/>
    <w:rsid w:val="00933DB3"/>
    <w:rsid w:val="00933EA0"/>
    <w:rsid w:val="0093685A"/>
    <w:rsid w:val="00936F32"/>
    <w:rsid w:val="0093736A"/>
    <w:rsid w:val="00937CDC"/>
    <w:rsid w:val="00940511"/>
    <w:rsid w:val="009409AA"/>
    <w:rsid w:val="00940A14"/>
    <w:rsid w:val="00940BCE"/>
    <w:rsid w:val="00941039"/>
    <w:rsid w:val="009419EC"/>
    <w:rsid w:val="0094253F"/>
    <w:rsid w:val="00942835"/>
    <w:rsid w:val="009429D7"/>
    <w:rsid w:val="00942B8F"/>
    <w:rsid w:val="009431E8"/>
    <w:rsid w:val="009436C1"/>
    <w:rsid w:val="00944601"/>
    <w:rsid w:val="0094471A"/>
    <w:rsid w:val="00944BCF"/>
    <w:rsid w:val="00944E85"/>
    <w:rsid w:val="00945095"/>
    <w:rsid w:val="00945186"/>
    <w:rsid w:val="0094539D"/>
    <w:rsid w:val="00946429"/>
    <w:rsid w:val="00946560"/>
    <w:rsid w:val="00946CED"/>
    <w:rsid w:val="009475E4"/>
    <w:rsid w:val="00950BA1"/>
    <w:rsid w:val="009512A1"/>
    <w:rsid w:val="009514C6"/>
    <w:rsid w:val="009519B1"/>
    <w:rsid w:val="00952293"/>
    <w:rsid w:val="009536CB"/>
    <w:rsid w:val="00954080"/>
    <w:rsid w:val="009545E6"/>
    <w:rsid w:val="00954D7A"/>
    <w:rsid w:val="0095559E"/>
    <w:rsid w:val="00955903"/>
    <w:rsid w:val="0095593F"/>
    <w:rsid w:val="00956110"/>
    <w:rsid w:val="00956738"/>
    <w:rsid w:val="00956933"/>
    <w:rsid w:val="00957876"/>
    <w:rsid w:val="0096003C"/>
    <w:rsid w:val="00960813"/>
    <w:rsid w:val="00960A0C"/>
    <w:rsid w:val="00960C22"/>
    <w:rsid w:val="0096263C"/>
    <w:rsid w:val="009628B1"/>
    <w:rsid w:val="009641AF"/>
    <w:rsid w:val="00964F7E"/>
    <w:rsid w:val="00965FF5"/>
    <w:rsid w:val="009667D6"/>
    <w:rsid w:val="00970467"/>
    <w:rsid w:val="00971553"/>
    <w:rsid w:val="00971668"/>
    <w:rsid w:val="00971839"/>
    <w:rsid w:val="0097264B"/>
    <w:rsid w:val="0097298E"/>
    <w:rsid w:val="0097316B"/>
    <w:rsid w:val="00973F5D"/>
    <w:rsid w:val="009741BF"/>
    <w:rsid w:val="0097424A"/>
    <w:rsid w:val="00974821"/>
    <w:rsid w:val="00974F30"/>
    <w:rsid w:val="00975DA8"/>
    <w:rsid w:val="00976C68"/>
    <w:rsid w:val="009807C9"/>
    <w:rsid w:val="0098080D"/>
    <w:rsid w:val="009808DC"/>
    <w:rsid w:val="009817E0"/>
    <w:rsid w:val="00981B11"/>
    <w:rsid w:val="009825E7"/>
    <w:rsid w:val="0098306C"/>
    <w:rsid w:val="00983E9F"/>
    <w:rsid w:val="0098457B"/>
    <w:rsid w:val="00984967"/>
    <w:rsid w:val="00984A09"/>
    <w:rsid w:val="009868FD"/>
    <w:rsid w:val="00986EFA"/>
    <w:rsid w:val="00987929"/>
    <w:rsid w:val="00987F41"/>
    <w:rsid w:val="00991453"/>
    <w:rsid w:val="009915EE"/>
    <w:rsid w:val="0099163B"/>
    <w:rsid w:val="00991CCE"/>
    <w:rsid w:val="00991D66"/>
    <w:rsid w:val="009920C5"/>
    <w:rsid w:val="009922A2"/>
    <w:rsid w:val="009934DB"/>
    <w:rsid w:val="00993551"/>
    <w:rsid w:val="00993567"/>
    <w:rsid w:val="009953AB"/>
    <w:rsid w:val="00996A14"/>
    <w:rsid w:val="00996A27"/>
    <w:rsid w:val="00996AC6"/>
    <w:rsid w:val="009978D5"/>
    <w:rsid w:val="009A01F3"/>
    <w:rsid w:val="009A07FF"/>
    <w:rsid w:val="009A121C"/>
    <w:rsid w:val="009A16D1"/>
    <w:rsid w:val="009A1A05"/>
    <w:rsid w:val="009A1FB2"/>
    <w:rsid w:val="009A291B"/>
    <w:rsid w:val="009A2EDF"/>
    <w:rsid w:val="009A3395"/>
    <w:rsid w:val="009A34D1"/>
    <w:rsid w:val="009A3DB1"/>
    <w:rsid w:val="009A4661"/>
    <w:rsid w:val="009A4A6D"/>
    <w:rsid w:val="009A4A77"/>
    <w:rsid w:val="009A4D69"/>
    <w:rsid w:val="009A4D97"/>
    <w:rsid w:val="009A51A0"/>
    <w:rsid w:val="009A5728"/>
    <w:rsid w:val="009A5C79"/>
    <w:rsid w:val="009A7B80"/>
    <w:rsid w:val="009B081E"/>
    <w:rsid w:val="009B1360"/>
    <w:rsid w:val="009B1667"/>
    <w:rsid w:val="009B1FDB"/>
    <w:rsid w:val="009B24C1"/>
    <w:rsid w:val="009B2E31"/>
    <w:rsid w:val="009B3454"/>
    <w:rsid w:val="009B3641"/>
    <w:rsid w:val="009B3F61"/>
    <w:rsid w:val="009B405F"/>
    <w:rsid w:val="009B4583"/>
    <w:rsid w:val="009B45CF"/>
    <w:rsid w:val="009B4BC7"/>
    <w:rsid w:val="009B566C"/>
    <w:rsid w:val="009B5A15"/>
    <w:rsid w:val="009B614C"/>
    <w:rsid w:val="009B6344"/>
    <w:rsid w:val="009B6BEB"/>
    <w:rsid w:val="009B7004"/>
    <w:rsid w:val="009B70AF"/>
    <w:rsid w:val="009B74AA"/>
    <w:rsid w:val="009C0B31"/>
    <w:rsid w:val="009C0B9E"/>
    <w:rsid w:val="009C0CC4"/>
    <w:rsid w:val="009C1149"/>
    <w:rsid w:val="009C1D1E"/>
    <w:rsid w:val="009C2059"/>
    <w:rsid w:val="009C2979"/>
    <w:rsid w:val="009C2DC6"/>
    <w:rsid w:val="009C30E2"/>
    <w:rsid w:val="009C3211"/>
    <w:rsid w:val="009C3885"/>
    <w:rsid w:val="009C3A5F"/>
    <w:rsid w:val="009C3C0D"/>
    <w:rsid w:val="009C43A1"/>
    <w:rsid w:val="009C62BF"/>
    <w:rsid w:val="009C7ECD"/>
    <w:rsid w:val="009C7F07"/>
    <w:rsid w:val="009D1969"/>
    <w:rsid w:val="009D29E9"/>
    <w:rsid w:val="009D38AC"/>
    <w:rsid w:val="009D42CD"/>
    <w:rsid w:val="009D580B"/>
    <w:rsid w:val="009D66D2"/>
    <w:rsid w:val="009D7F33"/>
    <w:rsid w:val="009E008E"/>
    <w:rsid w:val="009E04A6"/>
    <w:rsid w:val="009E070A"/>
    <w:rsid w:val="009E0E7A"/>
    <w:rsid w:val="009E1402"/>
    <w:rsid w:val="009E1C92"/>
    <w:rsid w:val="009E1C97"/>
    <w:rsid w:val="009E1E6B"/>
    <w:rsid w:val="009E26BE"/>
    <w:rsid w:val="009E2C22"/>
    <w:rsid w:val="009E3523"/>
    <w:rsid w:val="009E3F3A"/>
    <w:rsid w:val="009E42CA"/>
    <w:rsid w:val="009E59F2"/>
    <w:rsid w:val="009E65A8"/>
    <w:rsid w:val="009E67E8"/>
    <w:rsid w:val="009E6E59"/>
    <w:rsid w:val="009E7683"/>
    <w:rsid w:val="009F0017"/>
    <w:rsid w:val="009F0992"/>
    <w:rsid w:val="009F146E"/>
    <w:rsid w:val="009F1DA3"/>
    <w:rsid w:val="009F24E5"/>
    <w:rsid w:val="009F2885"/>
    <w:rsid w:val="009F2CF4"/>
    <w:rsid w:val="009F2F77"/>
    <w:rsid w:val="009F30D3"/>
    <w:rsid w:val="009F36E5"/>
    <w:rsid w:val="009F38A4"/>
    <w:rsid w:val="009F402E"/>
    <w:rsid w:val="009F6275"/>
    <w:rsid w:val="009F63EF"/>
    <w:rsid w:val="009F6937"/>
    <w:rsid w:val="009F6997"/>
    <w:rsid w:val="009F6ED6"/>
    <w:rsid w:val="009F7189"/>
    <w:rsid w:val="00A0092B"/>
    <w:rsid w:val="00A012C4"/>
    <w:rsid w:val="00A0234A"/>
    <w:rsid w:val="00A0264C"/>
    <w:rsid w:val="00A02A4B"/>
    <w:rsid w:val="00A03578"/>
    <w:rsid w:val="00A0433C"/>
    <w:rsid w:val="00A046B3"/>
    <w:rsid w:val="00A04825"/>
    <w:rsid w:val="00A048E4"/>
    <w:rsid w:val="00A04F07"/>
    <w:rsid w:val="00A04FEF"/>
    <w:rsid w:val="00A0509C"/>
    <w:rsid w:val="00A05C85"/>
    <w:rsid w:val="00A06204"/>
    <w:rsid w:val="00A06F12"/>
    <w:rsid w:val="00A06F95"/>
    <w:rsid w:val="00A07A44"/>
    <w:rsid w:val="00A10584"/>
    <w:rsid w:val="00A105FE"/>
    <w:rsid w:val="00A10EED"/>
    <w:rsid w:val="00A116C6"/>
    <w:rsid w:val="00A12012"/>
    <w:rsid w:val="00A129BB"/>
    <w:rsid w:val="00A12CC8"/>
    <w:rsid w:val="00A1337B"/>
    <w:rsid w:val="00A14547"/>
    <w:rsid w:val="00A15754"/>
    <w:rsid w:val="00A15BCD"/>
    <w:rsid w:val="00A15DFB"/>
    <w:rsid w:val="00A17238"/>
    <w:rsid w:val="00A175C3"/>
    <w:rsid w:val="00A17C22"/>
    <w:rsid w:val="00A20AF1"/>
    <w:rsid w:val="00A212EC"/>
    <w:rsid w:val="00A2241F"/>
    <w:rsid w:val="00A232A5"/>
    <w:rsid w:val="00A246EA"/>
    <w:rsid w:val="00A24785"/>
    <w:rsid w:val="00A24AC6"/>
    <w:rsid w:val="00A24C1F"/>
    <w:rsid w:val="00A2661E"/>
    <w:rsid w:val="00A26C28"/>
    <w:rsid w:val="00A270ED"/>
    <w:rsid w:val="00A27F70"/>
    <w:rsid w:val="00A30DA9"/>
    <w:rsid w:val="00A31B65"/>
    <w:rsid w:val="00A32234"/>
    <w:rsid w:val="00A32253"/>
    <w:rsid w:val="00A33EDF"/>
    <w:rsid w:val="00A35A4A"/>
    <w:rsid w:val="00A35B49"/>
    <w:rsid w:val="00A35F7B"/>
    <w:rsid w:val="00A36367"/>
    <w:rsid w:val="00A36658"/>
    <w:rsid w:val="00A36D20"/>
    <w:rsid w:val="00A376B2"/>
    <w:rsid w:val="00A37985"/>
    <w:rsid w:val="00A37BA0"/>
    <w:rsid w:val="00A400A9"/>
    <w:rsid w:val="00A40BC7"/>
    <w:rsid w:val="00A40C53"/>
    <w:rsid w:val="00A40D1A"/>
    <w:rsid w:val="00A412EB"/>
    <w:rsid w:val="00A41683"/>
    <w:rsid w:val="00A416E2"/>
    <w:rsid w:val="00A41995"/>
    <w:rsid w:val="00A42464"/>
    <w:rsid w:val="00A42C89"/>
    <w:rsid w:val="00A43442"/>
    <w:rsid w:val="00A43D03"/>
    <w:rsid w:val="00A441B4"/>
    <w:rsid w:val="00A4432C"/>
    <w:rsid w:val="00A443E2"/>
    <w:rsid w:val="00A44D4D"/>
    <w:rsid w:val="00A44DB3"/>
    <w:rsid w:val="00A452D7"/>
    <w:rsid w:val="00A465DF"/>
    <w:rsid w:val="00A467F9"/>
    <w:rsid w:val="00A4743A"/>
    <w:rsid w:val="00A475E7"/>
    <w:rsid w:val="00A476AE"/>
    <w:rsid w:val="00A476C4"/>
    <w:rsid w:val="00A47A18"/>
    <w:rsid w:val="00A5006E"/>
    <w:rsid w:val="00A50DEA"/>
    <w:rsid w:val="00A5133A"/>
    <w:rsid w:val="00A52051"/>
    <w:rsid w:val="00A5219B"/>
    <w:rsid w:val="00A53215"/>
    <w:rsid w:val="00A53E91"/>
    <w:rsid w:val="00A57DD9"/>
    <w:rsid w:val="00A608BB"/>
    <w:rsid w:val="00A60C35"/>
    <w:rsid w:val="00A60F2F"/>
    <w:rsid w:val="00A614C3"/>
    <w:rsid w:val="00A623D8"/>
    <w:rsid w:val="00A62692"/>
    <w:rsid w:val="00A640E5"/>
    <w:rsid w:val="00A6488D"/>
    <w:rsid w:val="00A657DA"/>
    <w:rsid w:val="00A65D60"/>
    <w:rsid w:val="00A65FA5"/>
    <w:rsid w:val="00A6742E"/>
    <w:rsid w:val="00A706AD"/>
    <w:rsid w:val="00A70BE9"/>
    <w:rsid w:val="00A70CB3"/>
    <w:rsid w:val="00A71656"/>
    <w:rsid w:val="00A71711"/>
    <w:rsid w:val="00A727E3"/>
    <w:rsid w:val="00A730C3"/>
    <w:rsid w:val="00A731C9"/>
    <w:rsid w:val="00A73E37"/>
    <w:rsid w:val="00A741B7"/>
    <w:rsid w:val="00A74B03"/>
    <w:rsid w:val="00A75A18"/>
    <w:rsid w:val="00A7694E"/>
    <w:rsid w:val="00A77C14"/>
    <w:rsid w:val="00A77D5C"/>
    <w:rsid w:val="00A80BA2"/>
    <w:rsid w:val="00A80C0B"/>
    <w:rsid w:val="00A81143"/>
    <w:rsid w:val="00A81425"/>
    <w:rsid w:val="00A81C55"/>
    <w:rsid w:val="00A81DAC"/>
    <w:rsid w:val="00A822AC"/>
    <w:rsid w:val="00A82FF7"/>
    <w:rsid w:val="00A845B0"/>
    <w:rsid w:val="00A84D00"/>
    <w:rsid w:val="00A84EBF"/>
    <w:rsid w:val="00A85B60"/>
    <w:rsid w:val="00A85DE2"/>
    <w:rsid w:val="00A85F25"/>
    <w:rsid w:val="00A86063"/>
    <w:rsid w:val="00A86534"/>
    <w:rsid w:val="00A86930"/>
    <w:rsid w:val="00A86DAF"/>
    <w:rsid w:val="00A873D9"/>
    <w:rsid w:val="00A90020"/>
    <w:rsid w:val="00A9017A"/>
    <w:rsid w:val="00A91863"/>
    <w:rsid w:val="00A92CFE"/>
    <w:rsid w:val="00A92F28"/>
    <w:rsid w:val="00A93669"/>
    <w:rsid w:val="00A93D0B"/>
    <w:rsid w:val="00A940B9"/>
    <w:rsid w:val="00A94A22"/>
    <w:rsid w:val="00A95180"/>
    <w:rsid w:val="00A956E2"/>
    <w:rsid w:val="00A96A16"/>
    <w:rsid w:val="00A96ADE"/>
    <w:rsid w:val="00A974A6"/>
    <w:rsid w:val="00A979A5"/>
    <w:rsid w:val="00A97DE5"/>
    <w:rsid w:val="00AA002D"/>
    <w:rsid w:val="00AA00DF"/>
    <w:rsid w:val="00AA06C0"/>
    <w:rsid w:val="00AA164D"/>
    <w:rsid w:val="00AA237C"/>
    <w:rsid w:val="00AA2790"/>
    <w:rsid w:val="00AA2CF1"/>
    <w:rsid w:val="00AA2D5F"/>
    <w:rsid w:val="00AA333D"/>
    <w:rsid w:val="00AA3372"/>
    <w:rsid w:val="00AA48EB"/>
    <w:rsid w:val="00AA4B58"/>
    <w:rsid w:val="00AA62F0"/>
    <w:rsid w:val="00AA63EA"/>
    <w:rsid w:val="00AA682A"/>
    <w:rsid w:val="00AA710D"/>
    <w:rsid w:val="00AA7157"/>
    <w:rsid w:val="00AA73C0"/>
    <w:rsid w:val="00AB010B"/>
    <w:rsid w:val="00AB0762"/>
    <w:rsid w:val="00AB0D71"/>
    <w:rsid w:val="00AB1284"/>
    <w:rsid w:val="00AB129D"/>
    <w:rsid w:val="00AB1D12"/>
    <w:rsid w:val="00AB2459"/>
    <w:rsid w:val="00AB24CC"/>
    <w:rsid w:val="00AB2DA9"/>
    <w:rsid w:val="00AB2DF9"/>
    <w:rsid w:val="00AB34F1"/>
    <w:rsid w:val="00AB359C"/>
    <w:rsid w:val="00AB3A6F"/>
    <w:rsid w:val="00AB3C7A"/>
    <w:rsid w:val="00AB403B"/>
    <w:rsid w:val="00AB44C6"/>
    <w:rsid w:val="00AB50E5"/>
    <w:rsid w:val="00AB555E"/>
    <w:rsid w:val="00AB5D6E"/>
    <w:rsid w:val="00AB5F23"/>
    <w:rsid w:val="00AB6825"/>
    <w:rsid w:val="00AB69A0"/>
    <w:rsid w:val="00AB7517"/>
    <w:rsid w:val="00AB7ACE"/>
    <w:rsid w:val="00AB7D24"/>
    <w:rsid w:val="00AB7D3B"/>
    <w:rsid w:val="00AC03A0"/>
    <w:rsid w:val="00AC0455"/>
    <w:rsid w:val="00AC12E9"/>
    <w:rsid w:val="00AC1DD8"/>
    <w:rsid w:val="00AC1DE8"/>
    <w:rsid w:val="00AC2314"/>
    <w:rsid w:val="00AC2A16"/>
    <w:rsid w:val="00AC2DAB"/>
    <w:rsid w:val="00AC35EC"/>
    <w:rsid w:val="00AC39E8"/>
    <w:rsid w:val="00AC3CA8"/>
    <w:rsid w:val="00AC3E8D"/>
    <w:rsid w:val="00AC4804"/>
    <w:rsid w:val="00AC4B52"/>
    <w:rsid w:val="00AC511A"/>
    <w:rsid w:val="00AC669C"/>
    <w:rsid w:val="00AC6766"/>
    <w:rsid w:val="00AC6FE2"/>
    <w:rsid w:val="00AC71BF"/>
    <w:rsid w:val="00AC7459"/>
    <w:rsid w:val="00AC7AA8"/>
    <w:rsid w:val="00AD017A"/>
    <w:rsid w:val="00AD0465"/>
    <w:rsid w:val="00AD0DE1"/>
    <w:rsid w:val="00AD1540"/>
    <w:rsid w:val="00AD21EA"/>
    <w:rsid w:val="00AD24B2"/>
    <w:rsid w:val="00AD2661"/>
    <w:rsid w:val="00AD2FF5"/>
    <w:rsid w:val="00AD3064"/>
    <w:rsid w:val="00AD30AE"/>
    <w:rsid w:val="00AD3520"/>
    <w:rsid w:val="00AD4B22"/>
    <w:rsid w:val="00AD5904"/>
    <w:rsid w:val="00AD7131"/>
    <w:rsid w:val="00AD7B17"/>
    <w:rsid w:val="00AD7E14"/>
    <w:rsid w:val="00AE1475"/>
    <w:rsid w:val="00AE1744"/>
    <w:rsid w:val="00AE2324"/>
    <w:rsid w:val="00AE2337"/>
    <w:rsid w:val="00AE3247"/>
    <w:rsid w:val="00AE3B60"/>
    <w:rsid w:val="00AE3C54"/>
    <w:rsid w:val="00AE52C1"/>
    <w:rsid w:val="00AE69FB"/>
    <w:rsid w:val="00AE6CD4"/>
    <w:rsid w:val="00AE71D8"/>
    <w:rsid w:val="00AE72B2"/>
    <w:rsid w:val="00AF0405"/>
    <w:rsid w:val="00AF138D"/>
    <w:rsid w:val="00AF180E"/>
    <w:rsid w:val="00AF39C4"/>
    <w:rsid w:val="00AF3A41"/>
    <w:rsid w:val="00AF5D80"/>
    <w:rsid w:val="00AF5EC0"/>
    <w:rsid w:val="00AF5FA0"/>
    <w:rsid w:val="00B0120C"/>
    <w:rsid w:val="00B026EC"/>
    <w:rsid w:val="00B03033"/>
    <w:rsid w:val="00B04096"/>
    <w:rsid w:val="00B04693"/>
    <w:rsid w:val="00B04C97"/>
    <w:rsid w:val="00B05113"/>
    <w:rsid w:val="00B05417"/>
    <w:rsid w:val="00B05DAE"/>
    <w:rsid w:val="00B06056"/>
    <w:rsid w:val="00B06255"/>
    <w:rsid w:val="00B06278"/>
    <w:rsid w:val="00B06CFF"/>
    <w:rsid w:val="00B07BBC"/>
    <w:rsid w:val="00B07F05"/>
    <w:rsid w:val="00B1031D"/>
    <w:rsid w:val="00B10741"/>
    <w:rsid w:val="00B10D9C"/>
    <w:rsid w:val="00B1129C"/>
    <w:rsid w:val="00B11E6D"/>
    <w:rsid w:val="00B128A1"/>
    <w:rsid w:val="00B12C47"/>
    <w:rsid w:val="00B12D8F"/>
    <w:rsid w:val="00B133CD"/>
    <w:rsid w:val="00B14207"/>
    <w:rsid w:val="00B1425B"/>
    <w:rsid w:val="00B1438F"/>
    <w:rsid w:val="00B149F0"/>
    <w:rsid w:val="00B151AD"/>
    <w:rsid w:val="00B151CA"/>
    <w:rsid w:val="00B157D7"/>
    <w:rsid w:val="00B163A4"/>
    <w:rsid w:val="00B16C4C"/>
    <w:rsid w:val="00B16C73"/>
    <w:rsid w:val="00B1700A"/>
    <w:rsid w:val="00B17E7B"/>
    <w:rsid w:val="00B20517"/>
    <w:rsid w:val="00B20548"/>
    <w:rsid w:val="00B20E4A"/>
    <w:rsid w:val="00B21A0C"/>
    <w:rsid w:val="00B21F37"/>
    <w:rsid w:val="00B220B1"/>
    <w:rsid w:val="00B222CD"/>
    <w:rsid w:val="00B228ED"/>
    <w:rsid w:val="00B22C11"/>
    <w:rsid w:val="00B232BC"/>
    <w:rsid w:val="00B248ED"/>
    <w:rsid w:val="00B25977"/>
    <w:rsid w:val="00B2645F"/>
    <w:rsid w:val="00B26731"/>
    <w:rsid w:val="00B26E77"/>
    <w:rsid w:val="00B27307"/>
    <w:rsid w:val="00B30175"/>
    <w:rsid w:val="00B30222"/>
    <w:rsid w:val="00B30553"/>
    <w:rsid w:val="00B31699"/>
    <w:rsid w:val="00B31B9C"/>
    <w:rsid w:val="00B31D85"/>
    <w:rsid w:val="00B321F9"/>
    <w:rsid w:val="00B327C2"/>
    <w:rsid w:val="00B329B2"/>
    <w:rsid w:val="00B32BEA"/>
    <w:rsid w:val="00B33C81"/>
    <w:rsid w:val="00B33F6E"/>
    <w:rsid w:val="00B347BB"/>
    <w:rsid w:val="00B36CB2"/>
    <w:rsid w:val="00B373D0"/>
    <w:rsid w:val="00B376CC"/>
    <w:rsid w:val="00B37C2D"/>
    <w:rsid w:val="00B40851"/>
    <w:rsid w:val="00B4085E"/>
    <w:rsid w:val="00B40D95"/>
    <w:rsid w:val="00B41245"/>
    <w:rsid w:val="00B4195C"/>
    <w:rsid w:val="00B41DA2"/>
    <w:rsid w:val="00B41EBE"/>
    <w:rsid w:val="00B422F1"/>
    <w:rsid w:val="00B4236E"/>
    <w:rsid w:val="00B43873"/>
    <w:rsid w:val="00B443AB"/>
    <w:rsid w:val="00B44BBD"/>
    <w:rsid w:val="00B458DE"/>
    <w:rsid w:val="00B4606B"/>
    <w:rsid w:val="00B4667E"/>
    <w:rsid w:val="00B46735"/>
    <w:rsid w:val="00B474EA"/>
    <w:rsid w:val="00B509CD"/>
    <w:rsid w:val="00B51E65"/>
    <w:rsid w:val="00B525C1"/>
    <w:rsid w:val="00B530F6"/>
    <w:rsid w:val="00B53B4E"/>
    <w:rsid w:val="00B53D24"/>
    <w:rsid w:val="00B542BC"/>
    <w:rsid w:val="00B54A09"/>
    <w:rsid w:val="00B55350"/>
    <w:rsid w:val="00B55632"/>
    <w:rsid w:val="00B5580E"/>
    <w:rsid w:val="00B5601D"/>
    <w:rsid w:val="00B579C9"/>
    <w:rsid w:val="00B57A56"/>
    <w:rsid w:val="00B605D1"/>
    <w:rsid w:val="00B605D5"/>
    <w:rsid w:val="00B60DE6"/>
    <w:rsid w:val="00B610D7"/>
    <w:rsid w:val="00B610DA"/>
    <w:rsid w:val="00B618CD"/>
    <w:rsid w:val="00B62935"/>
    <w:rsid w:val="00B62B91"/>
    <w:rsid w:val="00B62E66"/>
    <w:rsid w:val="00B63A59"/>
    <w:rsid w:val="00B63CA6"/>
    <w:rsid w:val="00B63F1E"/>
    <w:rsid w:val="00B63F96"/>
    <w:rsid w:val="00B6407D"/>
    <w:rsid w:val="00B64186"/>
    <w:rsid w:val="00B642A0"/>
    <w:rsid w:val="00B64311"/>
    <w:rsid w:val="00B6469F"/>
    <w:rsid w:val="00B64C49"/>
    <w:rsid w:val="00B653CC"/>
    <w:rsid w:val="00B65539"/>
    <w:rsid w:val="00B6678F"/>
    <w:rsid w:val="00B66AAE"/>
    <w:rsid w:val="00B66CBC"/>
    <w:rsid w:val="00B66E2E"/>
    <w:rsid w:val="00B66E7A"/>
    <w:rsid w:val="00B6702D"/>
    <w:rsid w:val="00B67337"/>
    <w:rsid w:val="00B67915"/>
    <w:rsid w:val="00B7037F"/>
    <w:rsid w:val="00B70638"/>
    <w:rsid w:val="00B70D67"/>
    <w:rsid w:val="00B710E4"/>
    <w:rsid w:val="00B71271"/>
    <w:rsid w:val="00B7130E"/>
    <w:rsid w:val="00B71CF1"/>
    <w:rsid w:val="00B71DA7"/>
    <w:rsid w:val="00B72B1C"/>
    <w:rsid w:val="00B7300D"/>
    <w:rsid w:val="00B731ED"/>
    <w:rsid w:val="00B73B03"/>
    <w:rsid w:val="00B73FF7"/>
    <w:rsid w:val="00B742B9"/>
    <w:rsid w:val="00B7479A"/>
    <w:rsid w:val="00B74C6B"/>
    <w:rsid w:val="00B75E04"/>
    <w:rsid w:val="00B75E4D"/>
    <w:rsid w:val="00B76627"/>
    <w:rsid w:val="00B769AC"/>
    <w:rsid w:val="00B7705A"/>
    <w:rsid w:val="00B77213"/>
    <w:rsid w:val="00B77BD6"/>
    <w:rsid w:val="00B803A0"/>
    <w:rsid w:val="00B80545"/>
    <w:rsid w:val="00B80718"/>
    <w:rsid w:val="00B80C2F"/>
    <w:rsid w:val="00B80D59"/>
    <w:rsid w:val="00B81731"/>
    <w:rsid w:val="00B82686"/>
    <w:rsid w:val="00B82761"/>
    <w:rsid w:val="00B82A0F"/>
    <w:rsid w:val="00B82DC1"/>
    <w:rsid w:val="00B830EF"/>
    <w:rsid w:val="00B83F04"/>
    <w:rsid w:val="00B85632"/>
    <w:rsid w:val="00B85676"/>
    <w:rsid w:val="00B859E5"/>
    <w:rsid w:val="00B86619"/>
    <w:rsid w:val="00B86A37"/>
    <w:rsid w:val="00B8702D"/>
    <w:rsid w:val="00B870A3"/>
    <w:rsid w:val="00B874EE"/>
    <w:rsid w:val="00B87B4B"/>
    <w:rsid w:val="00B91116"/>
    <w:rsid w:val="00B91C69"/>
    <w:rsid w:val="00B920A2"/>
    <w:rsid w:val="00B93C63"/>
    <w:rsid w:val="00B94588"/>
    <w:rsid w:val="00B9461B"/>
    <w:rsid w:val="00B94A46"/>
    <w:rsid w:val="00B94BB8"/>
    <w:rsid w:val="00B94EC5"/>
    <w:rsid w:val="00B957ED"/>
    <w:rsid w:val="00B95893"/>
    <w:rsid w:val="00B9660D"/>
    <w:rsid w:val="00B969D6"/>
    <w:rsid w:val="00BA0CBB"/>
    <w:rsid w:val="00BA0E8D"/>
    <w:rsid w:val="00BA0EAB"/>
    <w:rsid w:val="00BA180E"/>
    <w:rsid w:val="00BA18FA"/>
    <w:rsid w:val="00BA253D"/>
    <w:rsid w:val="00BA275C"/>
    <w:rsid w:val="00BA28D9"/>
    <w:rsid w:val="00BA32C0"/>
    <w:rsid w:val="00BA345D"/>
    <w:rsid w:val="00BA4C99"/>
    <w:rsid w:val="00BA4C9D"/>
    <w:rsid w:val="00BA6312"/>
    <w:rsid w:val="00BA6561"/>
    <w:rsid w:val="00BA76F1"/>
    <w:rsid w:val="00BA7C46"/>
    <w:rsid w:val="00BA7D90"/>
    <w:rsid w:val="00BB0BB0"/>
    <w:rsid w:val="00BB311D"/>
    <w:rsid w:val="00BB3935"/>
    <w:rsid w:val="00BB3F9C"/>
    <w:rsid w:val="00BB4796"/>
    <w:rsid w:val="00BB4FBB"/>
    <w:rsid w:val="00BB5A65"/>
    <w:rsid w:val="00BB60BD"/>
    <w:rsid w:val="00BB6DA0"/>
    <w:rsid w:val="00BB7AF3"/>
    <w:rsid w:val="00BC0292"/>
    <w:rsid w:val="00BC0B7B"/>
    <w:rsid w:val="00BC1A1C"/>
    <w:rsid w:val="00BC2985"/>
    <w:rsid w:val="00BC2A48"/>
    <w:rsid w:val="00BC2B70"/>
    <w:rsid w:val="00BC3789"/>
    <w:rsid w:val="00BC3B8A"/>
    <w:rsid w:val="00BC3F85"/>
    <w:rsid w:val="00BC4D16"/>
    <w:rsid w:val="00BC4D38"/>
    <w:rsid w:val="00BC54B4"/>
    <w:rsid w:val="00BC5647"/>
    <w:rsid w:val="00BC5738"/>
    <w:rsid w:val="00BC5D93"/>
    <w:rsid w:val="00BC6270"/>
    <w:rsid w:val="00BC6504"/>
    <w:rsid w:val="00BC726B"/>
    <w:rsid w:val="00BD019B"/>
    <w:rsid w:val="00BD04DF"/>
    <w:rsid w:val="00BD0ABA"/>
    <w:rsid w:val="00BD0DD8"/>
    <w:rsid w:val="00BD0F7F"/>
    <w:rsid w:val="00BD15C4"/>
    <w:rsid w:val="00BD1995"/>
    <w:rsid w:val="00BD2650"/>
    <w:rsid w:val="00BD28A2"/>
    <w:rsid w:val="00BD3000"/>
    <w:rsid w:val="00BD355B"/>
    <w:rsid w:val="00BD37D7"/>
    <w:rsid w:val="00BD4A4A"/>
    <w:rsid w:val="00BD4FFC"/>
    <w:rsid w:val="00BD5BF4"/>
    <w:rsid w:val="00BD5D07"/>
    <w:rsid w:val="00BD7D9C"/>
    <w:rsid w:val="00BE0D19"/>
    <w:rsid w:val="00BE4044"/>
    <w:rsid w:val="00BE4456"/>
    <w:rsid w:val="00BE6379"/>
    <w:rsid w:val="00BE63D3"/>
    <w:rsid w:val="00BE67BA"/>
    <w:rsid w:val="00BE6E24"/>
    <w:rsid w:val="00BE7023"/>
    <w:rsid w:val="00BF08FD"/>
    <w:rsid w:val="00BF0EE0"/>
    <w:rsid w:val="00BF15CD"/>
    <w:rsid w:val="00BF1D32"/>
    <w:rsid w:val="00BF2691"/>
    <w:rsid w:val="00BF2837"/>
    <w:rsid w:val="00BF49D4"/>
    <w:rsid w:val="00BF4B8B"/>
    <w:rsid w:val="00BF4F89"/>
    <w:rsid w:val="00BF6129"/>
    <w:rsid w:val="00BF6339"/>
    <w:rsid w:val="00BF64FA"/>
    <w:rsid w:val="00BF68FF"/>
    <w:rsid w:val="00BF6A7D"/>
    <w:rsid w:val="00BF751D"/>
    <w:rsid w:val="00C00361"/>
    <w:rsid w:val="00C00853"/>
    <w:rsid w:val="00C009B9"/>
    <w:rsid w:val="00C00D76"/>
    <w:rsid w:val="00C01C70"/>
    <w:rsid w:val="00C02595"/>
    <w:rsid w:val="00C03239"/>
    <w:rsid w:val="00C035C9"/>
    <w:rsid w:val="00C042C9"/>
    <w:rsid w:val="00C04556"/>
    <w:rsid w:val="00C04A28"/>
    <w:rsid w:val="00C0552C"/>
    <w:rsid w:val="00C057E2"/>
    <w:rsid w:val="00C05808"/>
    <w:rsid w:val="00C05A9B"/>
    <w:rsid w:val="00C060A8"/>
    <w:rsid w:val="00C063E4"/>
    <w:rsid w:val="00C06F4C"/>
    <w:rsid w:val="00C079C2"/>
    <w:rsid w:val="00C07D43"/>
    <w:rsid w:val="00C10100"/>
    <w:rsid w:val="00C10290"/>
    <w:rsid w:val="00C11260"/>
    <w:rsid w:val="00C1155A"/>
    <w:rsid w:val="00C11F11"/>
    <w:rsid w:val="00C123C0"/>
    <w:rsid w:val="00C12CF0"/>
    <w:rsid w:val="00C135DE"/>
    <w:rsid w:val="00C138E5"/>
    <w:rsid w:val="00C14DC9"/>
    <w:rsid w:val="00C15841"/>
    <w:rsid w:val="00C16505"/>
    <w:rsid w:val="00C1652B"/>
    <w:rsid w:val="00C16AE1"/>
    <w:rsid w:val="00C16CF7"/>
    <w:rsid w:val="00C179CC"/>
    <w:rsid w:val="00C17E88"/>
    <w:rsid w:val="00C21407"/>
    <w:rsid w:val="00C23F03"/>
    <w:rsid w:val="00C241AC"/>
    <w:rsid w:val="00C2422E"/>
    <w:rsid w:val="00C24328"/>
    <w:rsid w:val="00C24340"/>
    <w:rsid w:val="00C25F8E"/>
    <w:rsid w:val="00C26A51"/>
    <w:rsid w:val="00C272BA"/>
    <w:rsid w:val="00C2765F"/>
    <w:rsid w:val="00C27A4D"/>
    <w:rsid w:val="00C27B0A"/>
    <w:rsid w:val="00C30E5B"/>
    <w:rsid w:val="00C30EB0"/>
    <w:rsid w:val="00C314E1"/>
    <w:rsid w:val="00C31506"/>
    <w:rsid w:val="00C320B5"/>
    <w:rsid w:val="00C328E4"/>
    <w:rsid w:val="00C328F2"/>
    <w:rsid w:val="00C3298B"/>
    <w:rsid w:val="00C333D7"/>
    <w:rsid w:val="00C33961"/>
    <w:rsid w:val="00C33F6F"/>
    <w:rsid w:val="00C351F3"/>
    <w:rsid w:val="00C36302"/>
    <w:rsid w:val="00C363A9"/>
    <w:rsid w:val="00C367DA"/>
    <w:rsid w:val="00C36B38"/>
    <w:rsid w:val="00C36C8B"/>
    <w:rsid w:val="00C36C8D"/>
    <w:rsid w:val="00C371E7"/>
    <w:rsid w:val="00C37CDB"/>
    <w:rsid w:val="00C40754"/>
    <w:rsid w:val="00C40ECE"/>
    <w:rsid w:val="00C41626"/>
    <w:rsid w:val="00C4264A"/>
    <w:rsid w:val="00C429A0"/>
    <w:rsid w:val="00C42AAF"/>
    <w:rsid w:val="00C42D74"/>
    <w:rsid w:val="00C436E2"/>
    <w:rsid w:val="00C44143"/>
    <w:rsid w:val="00C44393"/>
    <w:rsid w:val="00C45392"/>
    <w:rsid w:val="00C45593"/>
    <w:rsid w:val="00C45B9B"/>
    <w:rsid w:val="00C46022"/>
    <w:rsid w:val="00C460B2"/>
    <w:rsid w:val="00C4622E"/>
    <w:rsid w:val="00C466D1"/>
    <w:rsid w:val="00C46DF0"/>
    <w:rsid w:val="00C479A4"/>
    <w:rsid w:val="00C47D75"/>
    <w:rsid w:val="00C5076F"/>
    <w:rsid w:val="00C511AD"/>
    <w:rsid w:val="00C517B7"/>
    <w:rsid w:val="00C51DA9"/>
    <w:rsid w:val="00C5266F"/>
    <w:rsid w:val="00C52E60"/>
    <w:rsid w:val="00C52EAA"/>
    <w:rsid w:val="00C5335D"/>
    <w:rsid w:val="00C534F0"/>
    <w:rsid w:val="00C53B86"/>
    <w:rsid w:val="00C53EAD"/>
    <w:rsid w:val="00C5475F"/>
    <w:rsid w:val="00C54EFF"/>
    <w:rsid w:val="00C55D44"/>
    <w:rsid w:val="00C56B49"/>
    <w:rsid w:val="00C57CA1"/>
    <w:rsid w:val="00C57EC6"/>
    <w:rsid w:val="00C60B61"/>
    <w:rsid w:val="00C60BE2"/>
    <w:rsid w:val="00C60FCA"/>
    <w:rsid w:val="00C6118F"/>
    <w:rsid w:val="00C61D9A"/>
    <w:rsid w:val="00C61F2F"/>
    <w:rsid w:val="00C62430"/>
    <w:rsid w:val="00C625BA"/>
    <w:rsid w:val="00C628DA"/>
    <w:rsid w:val="00C62993"/>
    <w:rsid w:val="00C635F9"/>
    <w:rsid w:val="00C6363B"/>
    <w:rsid w:val="00C6485C"/>
    <w:rsid w:val="00C64F8E"/>
    <w:rsid w:val="00C64FF9"/>
    <w:rsid w:val="00C65CD0"/>
    <w:rsid w:val="00C66501"/>
    <w:rsid w:val="00C66AE6"/>
    <w:rsid w:val="00C6761E"/>
    <w:rsid w:val="00C67EA5"/>
    <w:rsid w:val="00C70E5E"/>
    <w:rsid w:val="00C71211"/>
    <w:rsid w:val="00C73A61"/>
    <w:rsid w:val="00C749CB"/>
    <w:rsid w:val="00C74AAB"/>
    <w:rsid w:val="00C755E2"/>
    <w:rsid w:val="00C76E5F"/>
    <w:rsid w:val="00C772A4"/>
    <w:rsid w:val="00C779C1"/>
    <w:rsid w:val="00C80573"/>
    <w:rsid w:val="00C80A91"/>
    <w:rsid w:val="00C80CF0"/>
    <w:rsid w:val="00C80F9F"/>
    <w:rsid w:val="00C81490"/>
    <w:rsid w:val="00C817E0"/>
    <w:rsid w:val="00C81B56"/>
    <w:rsid w:val="00C81FB8"/>
    <w:rsid w:val="00C828CD"/>
    <w:rsid w:val="00C82A9A"/>
    <w:rsid w:val="00C82F44"/>
    <w:rsid w:val="00C83F62"/>
    <w:rsid w:val="00C842E9"/>
    <w:rsid w:val="00C84569"/>
    <w:rsid w:val="00C84F4E"/>
    <w:rsid w:val="00C8534A"/>
    <w:rsid w:val="00C8542C"/>
    <w:rsid w:val="00C875C6"/>
    <w:rsid w:val="00C87B9E"/>
    <w:rsid w:val="00C87DB0"/>
    <w:rsid w:val="00C87E0E"/>
    <w:rsid w:val="00C87E74"/>
    <w:rsid w:val="00C9009D"/>
    <w:rsid w:val="00C900CD"/>
    <w:rsid w:val="00C90474"/>
    <w:rsid w:val="00C90A85"/>
    <w:rsid w:val="00C90D7C"/>
    <w:rsid w:val="00C90DC2"/>
    <w:rsid w:val="00C90E79"/>
    <w:rsid w:val="00C90F91"/>
    <w:rsid w:val="00C9180B"/>
    <w:rsid w:val="00C9183F"/>
    <w:rsid w:val="00C9205C"/>
    <w:rsid w:val="00C923E4"/>
    <w:rsid w:val="00C9278D"/>
    <w:rsid w:val="00C92B09"/>
    <w:rsid w:val="00C92C9F"/>
    <w:rsid w:val="00C932CC"/>
    <w:rsid w:val="00C94731"/>
    <w:rsid w:val="00C94809"/>
    <w:rsid w:val="00C9487E"/>
    <w:rsid w:val="00C95F36"/>
    <w:rsid w:val="00C96351"/>
    <w:rsid w:val="00C9640C"/>
    <w:rsid w:val="00C9658E"/>
    <w:rsid w:val="00C9701E"/>
    <w:rsid w:val="00C97826"/>
    <w:rsid w:val="00C97ACC"/>
    <w:rsid w:val="00CA0C12"/>
    <w:rsid w:val="00CA0C4B"/>
    <w:rsid w:val="00CA1716"/>
    <w:rsid w:val="00CA17DD"/>
    <w:rsid w:val="00CA1BD3"/>
    <w:rsid w:val="00CA3FD8"/>
    <w:rsid w:val="00CA51A9"/>
    <w:rsid w:val="00CA5794"/>
    <w:rsid w:val="00CA636D"/>
    <w:rsid w:val="00CA63B5"/>
    <w:rsid w:val="00CA66A0"/>
    <w:rsid w:val="00CA7768"/>
    <w:rsid w:val="00CA7B48"/>
    <w:rsid w:val="00CA7BD2"/>
    <w:rsid w:val="00CA7D62"/>
    <w:rsid w:val="00CB0395"/>
    <w:rsid w:val="00CB10D9"/>
    <w:rsid w:val="00CB12B3"/>
    <w:rsid w:val="00CB1769"/>
    <w:rsid w:val="00CB2331"/>
    <w:rsid w:val="00CB2BBC"/>
    <w:rsid w:val="00CB31B9"/>
    <w:rsid w:val="00CB33E6"/>
    <w:rsid w:val="00CB3543"/>
    <w:rsid w:val="00CB36EE"/>
    <w:rsid w:val="00CB38C8"/>
    <w:rsid w:val="00CB45A0"/>
    <w:rsid w:val="00CB4B70"/>
    <w:rsid w:val="00CB4FA3"/>
    <w:rsid w:val="00CB5856"/>
    <w:rsid w:val="00CB5D7A"/>
    <w:rsid w:val="00CB6342"/>
    <w:rsid w:val="00CB6739"/>
    <w:rsid w:val="00CB706B"/>
    <w:rsid w:val="00CB746E"/>
    <w:rsid w:val="00CB7831"/>
    <w:rsid w:val="00CB7B9A"/>
    <w:rsid w:val="00CC03C1"/>
    <w:rsid w:val="00CC134B"/>
    <w:rsid w:val="00CC1E62"/>
    <w:rsid w:val="00CC264D"/>
    <w:rsid w:val="00CC2691"/>
    <w:rsid w:val="00CC271C"/>
    <w:rsid w:val="00CC27A1"/>
    <w:rsid w:val="00CC3347"/>
    <w:rsid w:val="00CC3E2D"/>
    <w:rsid w:val="00CC3ED0"/>
    <w:rsid w:val="00CC41FC"/>
    <w:rsid w:val="00CC64C5"/>
    <w:rsid w:val="00CC6B12"/>
    <w:rsid w:val="00CC70D6"/>
    <w:rsid w:val="00CC7E03"/>
    <w:rsid w:val="00CD0C7F"/>
    <w:rsid w:val="00CD0FC3"/>
    <w:rsid w:val="00CD1079"/>
    <w:rsid w:val="00CD11A6"/>
    <w:rsid w:val="00CD20BF"/>
    <w:rsid w:val="00CD22BE"/>
    <w:rsid w:val="00CD2C64"/>
    <w:rsid w:val="00CD2D95"/>
    <w:rsid w:val="00CD2EC3"/>
    <w:rsid w:val="00CD313A"/>
    <w:rsid w:val="00CD3630"/>
    <w:rsid w:val="00CD3AE0"/>
    <w:rsid w:val="00CD3E0F"/>
    <w:rsid w:val="00CD52D6"/>
    <w:rsid w:val="00CD55BE"/>
    <w:rsid w:val="00CD5A61"/>
    <w:rsid w:val="00CD6016"/>
    <w:rsid w:val="00CD63D4"/>
    <w:rsid w:val="00CD6588"/>
    <w:rsid w:val="00CD7227"/>
    <w:rsid w:val="00CD7CEC"/>
    <w:rsid w:val="00CE02A1"/>
    <w:rsid w:val="00CE0856"/>
    <w:rsid w:val="00CE0F0E"/>
    <w:rsid w:val="00CE2C13"/>
    <w:rsid w:val="00CE40FF"/>
    <w:rsid w:val="00CE4AB7"/>
    <w:rsid w:val="00CE5E34"/>
    <w:rsid w:val="00CE5FEB"/>
    <w:rsid w:val="00CE61B1"/>
    <w:rsid w:val="00CE69F5"/>
    <w:rsid w:val="00CE6A10"/>
    <w:rsid w:val="00CE6FDA"/>
    <w:rsid w:val="00CE726F"/>
    <w:rsid w:val="00CE750E"/>
    <w:rsid w:val="00CF05BD"/>
    <w:rsid w:val="00CF07CF"/>
    <w:rsid w:val="00CF1517"/>
    <w:rsid w:val="00CF1EB6"/>
    <w:rsid w:val="00CF3326"/>
    <w:rsid w:val="00CF3890"/>
    <w:rsid w:val="00CF3A6A"/>
    <w:rsid w:val="00CF4194"/>
    <w:rsid w:val="00CF591B"/>
    <w:rsid w:val="00CF5AF0"/>
    <w:rsid w:val="00CF6D45"/>
    <w:rsid w:val="00CF7ED6"/>
    <w:rsid w:val="00D00142"/>
    <w:rsid w:val="00D00E7F"/>
    <w:rsid w:val="00D0243F"/>
    <w:rsid w:val="00D032DC"/>
    <w:rsid w:val="00D03667"/>
    <w:rsid w:val="00D04120"/>
    <w:rsid w:val="00D042BA"/>
    <w:rsid w:val="00D046BC"/>
    <w:rsid w:val="00D049C8"/>
    <w:rsid w:val="00D0533E"/>
    <w:rsid w:val="00D06899"/>
    <w:rsid w:val="00D06F3E"/>
    <w:rsid w:val="00D06F88"/>
    <w:rsid w:val="00D07E86"/>
    <w:rsid w:val="00D10A36"/>
    <w:rsid w:val="00D10B75"/>
    <w:rsid w:val="00D11896"/>
    <w:rsid w:val="00D11C78"/>
    <w:rsid w:val="00D11D0E"/>
    <w:rsid w:val="00D13A6B"/>
    <w:rsid w:val="00D13AA6"/>
    <w:rsid w:val="00D142CE"/>
    <w:rsid w:val="00D14AE6"/>
    <w:rsid w:val="00D153CF"/>
    <w:rsid w:val="00D1734D"/>
    <w:rsid w:val="00D2000D"/>
    <w:rsid w:val="00D207F6"/>
    <w:rsid w:val="00D22B70"/>
    <w:rsid w:val="00D233CE"/>
    <w:rsid w:val="00D23417"/>
    <w:rsid w:val="00D2383F"/>
    <w:rsid w:val="00D23AC7"/>
    <w:rsid w:val="00D23ED1"/>
    <w:rsid w:val="00D23F08"/>
    <w:rsid w:val="00D25E20"/>
    <w:rsid w:val="00D26010"/>
    <w:rsid w:val="00D26C61"/>
    <w:rsid w:val="00D26E9A"/>
    <w:rsid w:val="00D2707B"/>
    <w:rsid w:val="00D27628"/>
    <w:rsid w:val="00D277A9"/>
    <w:rsid w:val="00D30A14"/>
    <w:rsid w:val="00D30DB9"/>
    <w:rsid w:val="00D3186B"/>
    <w:rsid w:val="00D31887"/>
    <w:rsid w:val="00D31F61"/>
    <w:rsid w:val="00D3220D"/>
    <w:rsid w:val="00D32258"/>
    <w:rsid w:val="00D325ED"/>
    <w:rsid w:val="00D33010"/>
    <w:rsid w:val="00D3378D"/>
    <w:rsid w:val="00D33A6F"/>
    <w:rsid w:val="00D345F7"/>
    <w:rsid w:val="00D34903"/>
    <w:rsid w:val="00D34E7F"/>
    <w:rsid w:val="00D350A9"/>
    <w:rsid w:val="00D3769B"/>
    <w:rsid w:val="00D37A77"/>
    <w:rsid w:val="00D37C53"/>
    <w:rsid w:val="00D401FD"/>
    <w:rsid w:val="00D403D4"/>
    <w:rsid w:val="00D41031"/>
    <w:rsid w:val="00D42543"/>
    <w:rsid w:val="00D42923"/>
    <w:rsid w:val="00D42961"/>
    <w:rsid w:val="00D43DE7"/>
    <w:rsid w:val="00D45A33"/>
    <w:rsid w:val="00D45B08"/>
    <w:rsid w:val="00D45F58"/>
    <w:rsid w:val="00D46021"/>
    <w:rsid w:val="00D4640D"/>
    <w:rsid w:val="00D47AB4"/>
    <w:rsid w:val="00D500E5"/>
    <w:rsid w:val="00D50F18"/>
    <w:rsid w:val="00D51937"/>
    <w:rsid w:val="00D52816"/>
    <w:rsid w:val="00D52C44"/>
    <w:rsid w:val="00D52DE5"/>
    <w:rsid w:val="00D54EB9"/>
    <w:rsid w:val="00D55065"/>
    <w:rsid w:val="00D55B3D"/>
    <w:rsid w:val="00D55F87"/>
    <w:rsid w:val="00D565FF"/>
    <w:rsid w:val="00D61DF8"/>
    <w:rsid w:val="00D62775"/>
    <w:rsid w:val="00D63C9C"/>
    <w:rsid w:val="00D646AC"/>
    <w:rsid w:val="00D6576B"/>
    <w:rsid w:val="00D65D00"/>
    <w:rsid w:val="00D65E98"/>
    <w:rsid w:val="00D666B9"/>
    <w:rsid w:val="00D670C0"/>
    <w:rsid w:val="00D6718F"/>
    <w:rsid w:val="00D678E4"/>
    <w:rsid w:val="00D6792E"/>
    <w:rsid w:val="00D70508"/>
    <w:rsid w:val="00D7094F"/>
    <w:rsid w:val="00D70E57"/>
    <w:rsid w:val="00D726B0"/>
    <w:rsid w:val="00D73331"/>
    <w:rsid w:val="00D73E19"/>
    <w:rsid w:val="00D742AA"/>
    <w:rsid w:val="00D74561"/>
    <w:rsid w:val="00D74C22"/>
    <w:rsid w:val="00D75174"/>
    <w:rsid w:val="00D751EC"/>
    <w:rsid w:val="00D753E7"/>
    <w:rsid w:val="00D75B8A"/>
    <w:rsid w:val="00D76B5D"/>
    <w:rsid w:val="00D76D26"/>
    <w:rsid w:val="00D771AB"/>
    <w:rsid w:val="00D814E1"/>
    <w:rsid w:val="00D81CBF"/>
    <w:rsid w:val="00D82238"/>
    <w:rsid w:val="00D82FFB"/>
    <w:rsid w:val="00D84F98"/>
    <w:rsid w:val="00D859C2"/>
    <w:rsid w:val="00D86F62"/>
    <w:rsid w:val="00D87790"/>
    <w:rsid w:val="00D87ED0"/>
    <w:rsid w:val="00D90A48"/>
    <w:rsid w:val="00D91356"/>
    <w:rsid w:val="00D91A8A"/>
    <w:rsid w:val="00D91DF3"/>
    <w:rsid w:val="00D92474"/>
    <w:rsid w:val="00D9271E"/>
    <w:rsid w:val="00D92C4B"/>
    <w:rsid w:val="00D92E09"/>
    <w:rsid w:val="00D933EA"/>
    <w:rsid w:val="00D93DEA"/>
    <w:rsid w:val="00D945EE"/>
    <w:rsid w:val="00D9483A"/>
    <w:rsid w:val="00D94A7C"/>
    <w:rsid w:val="00D95F48"/>
    <w:rsid w:val="00D97C0D"/>
    <w:rsid w:val="00D97E37"/>
    <w:rsid w:val="00DA05F0"/>
    <w:rsid w:val="00DA0614"/>
    <w:rsid w:val="00DA0894"/>
    <w:rsid w:val="00DA0FF5"/>
    <w:rsid w:val="00DA150D"/>
    <w:rsid w:val="00DA1E17"/>
    <w:rsid w:val="00DA1F6A"/>
    <w:rsid w:val="00DA2040"/>
    <w:rsid w:val="00DA268F"/>
    <w:rsid w:val="00DA38A9"/>
    <w:rsid w:val="00DA406D"/>
    <w:rsid w:val="00DA4248"/>
    <w:rsid w:val="00DA44E0"/>
    <w:rsid w:val="00DA4848"/>
    <w:rsid w:val="00DA53FE"/>
    <w:rsid w:val="00DA5BD9"/>
    <w:rsid w:val="00DA661D"/>
    <w:rsid w:val="00DA69AB"/>
    <w:rsid w:val="00DA7B16"/>
    <w:rsid w:val="00DB0915"/>
    <w:rsid w:val="00DB2216"/>
    <w:rsid w:val="00DB265D"/>
    <w:rsid w:val="00DB2F42"/>
    <w:rsid w:val="00DB30EA"/>
    <w:rsid w:val="00DB3605"/>
    <w:rsid w:val="00DB37AA"/>
    <w:rsid w:val="00DB3944"/>
    <w:rsid w:val="00DB422B"/>
    <w:rsid w:val="00DB4CDA"/>
    <w:rsid w:val="00DB4EF2"/>
    <w:rsid w:val="00DB5580"/>
    <w:rsid w:val="00DB5BB1"/>
    <w:rsid w:val="00DB630D"/>
    <w:rsid w:val="00DB638A"/>
    <w:rsid w:val="00DB7B70"/>
    <w:rsid w:val="00DC04A1"/>
    <w:rsid w:val="00DC0625"/>
    <w:rsid w:val="00DC0AF3"/>
    <w:rsid w:val="00DC1226"/>
    <w:rsid w:val="00DC1BDC"/>
    <w:rsid w:val="00DC2694"/>
    <w:rsid w:val="00DC29EE"/>
    <w:rsid w:val="00DC2FEC"/>
    <w:rsid w:val="00DC3062"/>
    <w:rsid w:val="00DC3E5C"/>
    <w:rsid w:val="00DC438E"/>
    <w:rsid w:val="00DC4487"/>
    <w:rsid w:val="00DC45F9"/>
    <w:rsid w:val="00DC481E"/>
    <w:rsid w:val="00DC4906"/>
    <w:rsid w:val="00DC4A6E"/>
    <w:rsid w:val="00DC581B"/>
    <w:rsid w:val="00DC5C44"/>
    <w:rsid w:val="00DC6276"/>
    <w:rsid w:val="00DC6663"/>
    <w:rsid w:val="00DC678C"/>
    <w:rsid w:val="00DC67DC"/>
    <w:rsid w:val="00DC6AD2"/>
    <w:rsid w:val="00DC7838"/>
    <w:rsid w:val="00DC7EF8"/>
    <w:rsid w:val="00DD0064"/>
    <w:rsid w:val="00DD0244"/>
    <w:rsid w:val="00DD0C03"/>
    <w:rsid w:val="00DD0D71"/>
    <w:rsid w:val="00DD1385"/>
    <w:rsid w:val="00DD1E03"/>
    <w:rsid w:val="00DD35C4"/>
    <w:rsid w:val="00DD3F9B"/>
    <w:rsid w:val="00DD47D0"/>
    <w:rsid w:val="00DD5529"/>
    <w:rsid w:val="00DD5BEA"/>
    <w:rsid w:val="00DD5C83"/>
    <w:rsid w:val="00DD5D82"/>
    <w:rsid w:val="00DD692A"/>
    <w:rsid w:val="00DD75B5"/>
    <w:rsid w:val="00DD7A61"/>
    <w:rsid w:val="00DD7F65"/>
    <w:rsid w:val="00DE06DF"/>
    <w:rsid w:val="00DE0FC3"/>
    <w:rsid w:val="00DE215E"/>
    <w:rsid w:val="00DE2B74"/>
    <w:rsid w:val="00DE3181"/>
    <w:rsid w:val="00DE36C4"/>
    <w:rsid w:val="00DE44AE"/>
    <w:rsid w:val="00DE459A"/>
    <w:rsid w:val="00DE4A21"/>
    <w:rsid w:val="00DE4C1E"/>
    <w:rsid w:val="00DE6B52"/>
    <w:rsid w:val="00DE7C69"/>
    <w:rsid w:val="00DF011F"/>
    <w:rsid w:val="00DF0505"/>
    <w:rsid w:val="00DF072E"/>
    <w:rsid w:val="00DF0C5D"/>
    <w:rsid w:val="00DF1944"/>
    <w:rsid w:val="00DF1A6A"/>
    <w:rsid w:val="00DF2D66"/>
    <w:rsid w:val="00DF4A0B"/>
    <w:rsid w:val="00DF4CA3"/>
    <w:rsid w:val="00DF5CBB"/>
    <w:rsid w:val="00DF61CE"/>
    <w:rsid w:val="00DF66B7"/>
    <w:rsid w:val="00E003C3"/>
    <w:rsid w:val="00E00559"/>
    <w:rsid w:val="00E007D7"/>
    <w:rsid w:val="00E018C0"/>
    <w:rsid w:val="00E01C7B"/>
    <w:rsid w:val="00E01EC6"/>
    <w:rsid w:val="00E02404"/>
    <w:rsid w:val="00E03156"/>
    <w:rsid w:val="00E03376"/>
    <w:rsid w:val="00E04E19"/>
    <w:rsid w:val="00E05E4A"/>
    <w:rsid w:val="00E077DA"/>
    <w:rsid w:val="00E1037E"/>
    <w:rsid w:val="00E10F60"/>
    <w:rsid w:val="00E11FFA"/>
    <w:rsid w:val="00E1216C"/>
    <w:rsid w:val="00E12AE0"/>
    <w:rsid w:val="00E13932"/>
    <w:rsid w:val="00E142BD"/>
    <w:rsid w:val="00E14CA3"/>
    <w:rsid w:val="00E1547E"/>
    <w:rsid w:val="00E155A8"/>
    <w:rsid w:val="00E15966"/>
    <w:rsid w:val="00E1602B"/>
    <w:rsid w:val="00E160DF"/>
    <w:rsid w:val="00E1649C"/>
    <w:rsid w:val="00E1732E"/>
    <w:rsid w:val="00E17792"/>
    <w:rsid w:val="00E200FA"/>
    <w:rsid w:val="00E20999"/>
    <w:rsid w:val="00E22345"/>
    <w:rsid w:val="00E22BA8"/>
    <w:rsid w:val="00E23138"/>
    <w:rsid w:val="00E23882"/>
    <w:rsid w:val="00E238EC"/>
    <w:rsid w:val="00E242BF"/>
    <w:rsid w:val="00E244BB"/>
    <w:rsid w:val="00E25625"/>
    <w:rsid w:val="00E25E30"/>
    <w:rsid w:val="00E27266"/>
    <w:rsid w:val="00E2786B"/>
    <w:rsid w:val="00E3083B"/>
    <w:rsid w:val="00E30AE5"/>
    <w:rsid w:val="00E3191C"/>
    <w:rsid w:val="00E3294E"/>
    <w:rsid w:val="00E32F0E"/>
    <w:rsid w:val="00E338FD"/>
    <w:rsid w:val="00E34277"/>
    <w:rsid w:val="00E36DFB"/>
    <w:rsid w:val="00E414F2"/>
    <w:rsid w:val="00E41510"/>
    <w:rsid w:val="00E41A00"/>
    <w:rsid w:val="00E41FEE"/>
    <w:rsid w:val="00E436E3"/>
    <w:rsid w:val="00E4400A"/>
    <w:rsid w:val="00E456F8"/>
    <w:rsid w:val="00E45B10"/>
    <w:rsid w:val="00E45D4B"/>
    <w:rsid w:val="00E46C06"/>
    <w:rsid w:val="00E509B8"/>
    <w:rsid w:val="00E52384"/>
    <w:rsid w:val="00E52AE6"/>
    <w:rsid w:val="00E52C48"/>
    <w:rsid w:val="00E5433A"/>
    <w:rsid w:val="00E5451C"/>
    <w:rsid w:val="00E549A5"/>
    <w:rsid w:val="00E5628F"/>
    <w:rsid w:val="00E56D18"/>
    <w:rsid w:val="00E56D76"/>
    <w:rsid w:val="00E576C5"/>
    <w:rsid w:val="00E5786E"/>
    <w:rsid w:val="00E57C21"/>
    <w:rsid w:val="00E603E9"/>
    <w:rsid w:val="00E606DB"/>
    <w:rsid w:val="00E62E30"/>
    <w:rsid w:val="00E639B0"/>
    <w:rsid w:val="00E63A3F"/>
    <w:rsid w:val="00E63B8D"/>
    <w:rsid w:val="00E63CC5"/>
    <w:rsid w:val="00E63D95"/>
    <w:rsid w:val="00E647A2"/>
    <w:rsid w:val="00E65C51"/>
    <w:rsid w:val="00E65F5A"/>
    <w:rsid w:val="00E66819"/>
    <w:rsid w:val="00E66A01"/>
    <w:rsid w:val="00E675C6"/>
    <w:rsid w:val="00E678C1"/>
    <w:rsid w:val="00E67FBF"/>
    <w:rsid w:val="00E70CF3"/>
    <w:rsid w:val="00E71E54"/>
    <w:rsid w:val="00E72362"/>
    <w:rsid w:val="00E728D3"/>
    <w:rsid w:val="00E72CF5"/>
    <w:rsid w:val="00E73200"/>
    <w:rsid w:val="00E735E4"/>
    <w:rsid w:val="00E73B7B"/>
    <w:rsid w:val="00E73F3A"/>
    <w:rsid w:val="00E759D5"/>
    <w:rsid w:val="00E77600"/>
    <w:rsid w:val="00E7788C"/>
    <w:rsid w:val="00E80197"/>
    <w:rsid w:val="00E80236"/>
    <w:rsid w:val="00E8047B"/>
    <w:rsid w:val="00E80C91"/>
    <w:rsid w:val="00E80D45"/>
    <w:rsid w:val="00E821DA"/>
    <w:rsid w:val="00E824EA"/>
    <w:rsid w:val="00E82583"/>
    <w:rsid w:val="00E82CB0"/>
    <w:rsid w:val="00E83DDB"/>
    <w:rsid w:val="00E83F2C"/>
    <w:rsid w:val="00E841BB"/>
    <w:rsid w:val="00E84A1B"/>
    <w:rsid w:val="00E8573B"/>
    <w:rsid w:val="00E863F1"/>
    <w:rsid w:val="00E864D1"/>
    <w:rsid w:val="00E869D7"/>
    <w:rsid w:val="00E87CE9"/>
    <w:rsid w:val="00E90072"/>
    <w:rsid w:val="00E9066B"/>
    <w:rsid w:val="00E90ED8"/>
    <w:rsid w:val="00E90F32"/>
    <w:rsid w:val="00E914AC"/>
    <w:rsid w:val="00E91878"/>
    <w:rsid w:val="00E91F3D"/>
    <w:rsid w:val="00E932FC"/>
    <w:rsid w:val="00E935CD"/>
    <w:rsid w:val="00E93657"/>
    <w:rsid w:val="00E93AF9"/>
    <w:rsid w:val="00E941F4"/>
    <w:rsid w:val="00E95C36"/>
    <w:rsid w:val="00E9635D"/>
    <w:rsid w:val="00EA0790"/>
    <w:rsid w:val="00EA07C9"/>
    <w:rsid w:val="00EA0CA3"/>
    <w:rsid w:val="00EA1046"/>
    <w:rsid w:val="00EA1408"/>
    <w:rsid w:val="00EA1D88"/>
    <w:rsid w:val="00EA20AC"/>
    <w:rsid w:val="00EA3460"/>
    <w:rsid w:val="00EA3D9E"/>
    <w:rsid w:val="00EA3E8B"/>
    <w:rsid w:val="00EA3EF4"/>
    <w:rsid w:val="00EA4C11"/>
    <w:rsid w:val="00EA5075"/>
    <w:rsid w:val="00EA5373"/>
    <w:rsid w:val="00EA559B"/>
    <w:rsid w:val="00EA5720"/>
    <w:rsid w:val="00EA59B3"/>
    <w:rsid w:val="00EA5A99"/>
    <w:rsid w:val="00EA6827"/>
    <w:rsid w:val="00EA6C09"/>
    <w:rsid w:val="00EA6C7A"/>
    <w:rsid w:val="00EA730C"/>
    <w:rsid w:val="00EA779B"/>
    <w:rsid w:val="00EA7CE8"/>
    <w:rsid w:val="00EA7D98"/>
    <w:rsid w:val="00EB0BAF"/>
    <w:rsid w:val="00EB0CE0"/>
    <w:rsid w:val="00EB0CF9"/>
    <w:rsid w:val="00EB25DE"/>
    <w:rsid w:val="00EB2916"/>
    <w:rsid w:val="00EB324B"/>
    <w:rsid w:val="00EB3384"/>
    <w:rsid w:val="00EB4FC7"/>
    <w:rsid w:val="00EB5BBF"/>
    <w:rsid w:val="00EB6342"/>
    <w:rsid w:val="00EB6359"/>
    <w:rsid w:val="00EB656A"/>
    <w:rsid w:val="00EB7981"/>
    <w:rsid w:val="00EB7D64"/>
    <w:rsid w:val="00EB7D69"/>
    <w:rsid w:val="00EC0237"/>
    <w:rsid w:val="00EC0868"/>
    <w:rsid w:val="00EC1506"/>
    <w:rsid w:val="00EC19E3"/>
    <w:rsid w:val="00EC23EA"/>
    <w:rsid w:val="00EC295A"/>
    <w:rsid w:val="00EC300A"/>
    <w:rsid w:val="00EC3590"/>
    <w:rsid w:val="00EC585E"/>
    <w:rsid w:val="00EC65D1"/>
    <w:rsid w:val="00EC6CB7"/>
    <w:rsid w:val="00ED0276"/>
    <w:rsid w:val="00ED0289"/>
    <w:rsid w:val="00ED0317"/>
    <w:rsid w:val="00ED0807"/>
    <w:rsid w:val="00ED0968"/>
    <w:rsid w:val="00ED2421"/>
    <w:rsid w:val="00ED2A45"/>
    <w:rsid w:val="00ED2DBC"/>
    <w:rsid w:val="00ED326E"/>
    <w:rsid w:val="00ED3B92"/>
    <w:rsid w:val="00ED4F68"/>
    <w:rsid w:val="00ED7313"/>
    <w:rsid w:val="00ED79B8"/>
    <w:rsid w:val="00EE0693"/>
    <w:rsid w:val="00EE1C43"/>
    <w:rsid w:val="00EE22CD"/>
    <w:rsid w:val="00EE23E5"/>
    <w:rsid w:val="00EE2A19"/>
    <w:rsid w:val="00EE2F89"/>
    <w:rsid w:val="00EE355A"/>
    <w:rsid w:val="00EE5F00"/>
    <w:rsid w:val="00EE6F6E"/>
    <w:rsid w:val="00EE7060"/>
    <w:rsid w:val="00EE74D5"/>
    <w:rsid w:val="00EE7E4D"/>
    <w:rsid w:val="00EF04CE"/>
    <w:rsid w:val="00EF0961"/>
    <w:rsid w:val="00EF0A96"/>
    <w:rsid w:val="00EF0F9C"/>
    <w:rsid w:val="00EF116D"/>
    <w:rsid w:val="00EF3481"/>
    <w:rsid w:val="00EF4D4B"/>
    <w:rsid w:val="00EF4E1F"/>
    <w:rsid w:val="00EF5458"/>
    <w:rsid w:val="00EF55AA"/>
    <w:rsid w:val="00EF6408"/>
    <w:rsid w:val="00EF64F7"/>
    <w:rsid w:val="00EF6611"/>
    <w:rsid w:val="00EF6EE0"/>
    <w:rsid w:val="00EF75E1"/>
    <w:rsid w:val="00EF7BE5"/>
    <w:rsid w:val="00F000E8"/>
    <w:rsid w:val="00F00321"/>
    <w:rsid w:val="00F0032C"/>
    <w:rsid w:val="00F00568"/>
    <w:rsid w:val="00F012FA"/>
    <w:rsid w:val="00F0169A"/>
    <w:rsid w:val="00F022A0"/>
    <w:rsid w:val="00F02555"/>
    <w:rsid w:val="00F02587"/>
    <w:rsid w:val="00F02E03"/>
    <w:rsid w:val="00F0302D"/>
    <w:rsid w:val="00F031E8"/>
    <w:rsid w:val="00F034E7"/>
    <w:rsid w:val="00F0391A"/>
    <w:rsid w:val="00F03DD8"/>
    <w:rsid w:val="00F03DDE"/>
    <w:rsid w:val="00F050E5"/>
    <w:rsid w:val="00F05434"/>
    <w:rsid w:val="00F05CF0"/>
    <w:rsid w:val="00F06D6C"/>
    <w:rsid w:val="00F07481"/>
    <w:rsid w:val="00F1049E"/>
    <w:rsid w:val="00F10549"/>
    <w:rsid w:val="00F112B2"/>
    <w:rsid w:val="00F11466"/>
    <w:rsid w:val="00F114FF"/>
    <w:rsid w:val="00F1187F"/>
    <w:rsid w:val="00F118A5"/>
    <w:rsid w:val="00F12243"/>
    <w:rsid w:val="00F12327"/>
    <w:rsid w:val="00F126DA"/>
    <w:rsid w:val="00F12E32"/>
    <w:rsid w:val="00F12F6B"/>
    <w:rsid w:val="00F145F5"/>
    <w:rsid w:val="00F1505A"/>
    <w:rsid w:val="00F16206"/>
    <w:rsid w:val="00F16490"/>
    <w:rsid w:val="00F166E4"/>
    <w:rsid w:val="00F176D9"/>
    <w:rsid w:val="00F20038"/>
    <w:rsid w:val="00F206C6"/>
    <w:rsid w:val="00F218B1"/>
    <w:rsid w:val="00F21DFB"/>
    <w:rsid w:val="00F22110"/>
    <w:rsid w:val="00F22542"/>
    <w:rsid w:val="00F22B43"/>
    <w:rsid w:val="00F236B4"/>
    <w:rsid w:val="00F23898"/>
    <w:rsid w:val="00F2457F"/>
    <w:rsid w:val="00F24F9B"/>
    <w:rsid w:val="00F25FA0"/>
    <w:rsid w:val="00F262A2"/>
    <w:rsid w:val="00F2647E"/>
    <w:rsid w:val="00F26CF2"/>
    <w:rsid w:val="00F27119"/>
    <w:rsid w:val="00F27C83"/>
    <w:rsid w:val="00F27DDB"/>
    <w:rsid w:val="00F303DB"/>
    <w:rsid w:val="00F305EE"/>
    <w:rsid w:val="00F30A50"/>
    <w:rsid w:val="00F30BA0"/>
    <w:rsid w:val="00F31255"/>
    <w:rsid w:val="00F31937"/>
    <w:rsid w:val="00F32630"/>
    <w:rsid w:val="00F32BC1"/>
    <w:rsid w:val="00F351CA"/>
    <w:rsid w:val="00F35801"/>
    <w:rsid w:val="00F35E4D"/>
    <w:rsid w:val="00F36CED"/>
    <w:rsid w:val="00F37631"/>
    <w:rsid w:val="00F40C45"/>
    <w:rsid w:val="00F410F0"/>
    <w:rsid w:val="00F416A9"/>
    <w:rsid w:val="00F423D2"/>
    <w:rsid w:val="00F42504"/>
    <w:rsid w:val="00F42D2C"/>
    <w:rsid w:val="00F43AB1"/>
    <w:rsid w:val="00F43CA2"/>
    <w:rsid w:val="00F43CBE"/>
    <w:rsid w:val="00F4458C"/>
    <w:rsid w:val="00F45B63"/>
    <w:rsid w:val="00F46409"/>
    <w:rsid w:val="00F4668C"/>
    <w:rsid w:val="00F46711"/>
    <w:rsid w:val="00F4717A"/>
    <w:rsid w:val="00F477C5"/>
    <w:rsid w:val="00F47B66"/>
    <w:rsid w:val="00F47D8C"/>
    <w:rsid w:val="00F47E82"/>
    <w:rsid w:val="00F502E3"/>
    <w:rsid w:val="00F50571"/>
    <w:rsid w:val="00F50963"/>
    <w:rsid w:val="00F50B2B"/>
    <w:rsid w:val="00F51572"/>
    <w:rsid w:val="00F5229F"/>
    <w:rsid w:val="00F52A87"/>
    <w:rsid w:val="00F53083"/>
    <w:rsid w:val="00F53FC5"/>
    <w:rsid w:val="00F54E59"/>
    <w:rsid w:val="00F550FF"/>
    <w:rsid w:val="00F57295"/>
    <w:rsid w:val="00F57453"/>
    <w:rsid w:val="00F57963"/>
    <w:rsid w:val="00F600CD"/>
    <w:rsid w:val="00F61231"/>
    <w:rsid w:val="00F61A38"/>
    <w:rsid w:val="00F62924"/>
    <w:rsid w:val="00F63EC0"/>
    <w:rsid w:val="00F64B99"/>
    <w:rsid w:val="00F64CDC"/>
    <w:rsid w:val="00F661B0"/>
    <w:rsid w:val="00F67485"/>
    <w:rsid w:val="00F676D2"/>
    <w:rsid w:val="00F67F46"/>
    <w:rsid w:val="00F70B9E"/>
    <w:rsid w:val="00F711AB"/>
    <w:rsid w:val="00F713B4"/>
    <w:rsid w:val="00F72015"/>
    <w:rsid w:val="00F7210D"/>
    <w:rsid w:val="00F722EB"/>
    <w:rsid w:val="00F72BB4"/>
    <w:rsid w:val="00F72C13"/>
    <w:rsid w:val="00F735F9"/>
    <w:rsid w:val="00F738DC"/>
    <w:rsid w:val="00F742EA"/>
    <w:rsid w:val="00F74B5C"/>
    <w:rsid w:val="00F7575D"/>
    <w:rsid w:val="00F758BC"/>
    <w:rsid w:val="00F76569"/>
    <w:rsid w:val="00F7694A"/>
    <w:rsid w:val="00F76ECE"/>
    <w:rsid w:val="00F77064"/>
    <w:rsid w:val="00F77142"/>
    <w:rsid w:val="00F779C8"/>
    <w:rsid w:val="00F77CA5"/>
    <w:rsid w:val="00F803ED"/>
    <w:rsid w:val="00F805BC"/>
    <w:rsid w:val="00F81298"/>
    <w:rsid w:val="00F8217A"/>
    <w:rsid w:val="00F8220E"/>
    <w:rsid w:val="00F82584"/>
    <w:rsid w:val="00F82624"/>
    <w:rsid w:val="00F837F6"/>
    <w:rsid w:val="00F844A6"/>
    <w:rsid w:val="00F86A43"/>
    <w:rsid w:val="00F86C96"/>
    <w:rsid w:val="00F87894"/>
    <w:rsid w:val="00F900C9"/>
    <w:rsid w:val="00F902FC"/>
    <w:rsid w:val="00F90364"/>
    <w:rsid w:val="00F90521"/>
    <w:rsid w:val="00F90C57"/>
    <w:rsid w:val="00F9112F"/>
    <w:rsid w:val="00F91963"/>
    <w:rsid w:val="00F91C45"/>
    <w:rsid w:val="00F940B7"/>
    <w:rsid w:val="00F94B13"/>
    <w:rsid w:val="00F94C13"/>
    <w:rsid w:val="00F94C89"/>
    <w:rsid w:val="00F94CCA"/>
    <w:rsid w:val="00F94DAE"/>
    <w:rsid w:val="00F95029"/>
    <w:rsid w:val="00F9518B"/>
    <w:rsid w:val="00F9597D"/>
    <w:rsid w:val="00F95AF0"/>
    <w:rsid w:val="00F96752"/>
    <w:rsid w:val="00F9723D"/>
    <w:rsid w:val="00F972A1"/>
    <w:rsid w:val="00F977EF"/>
    <w:rsid w:val="00F9787F"/>
    <w:rsid w:val="00F97ACB"/>
    <w:rsid w:val="00FA1E7F"/>
    <w:rsid w:val="00FA2D91"/>
    <w:rsid w:val="00FA3BD5"/>
    <w:rsid w:val="00FA3C76"/>
    <w:rsid w:val="00FA4136"/>
    <w:rsid w:val="00FA4C3B"/>
    <w:rsid w:val="00FA5ED9"/>
    <w:rsid w:val="00FA687D"/>
    <w:rsid w:val="00FA743F"/>
    <w:rsid w:val="00FB01E2"/>
    <w:rsid w:val="00FB02D6"/>
    <w:rsid w:val="00FB030E"/>
    <w:rsid w:val="00FB0BC3"/>
    <w:rsid w:val="00FB10EE"/>
    <w:rsid w:val="00FB1824"/>
    <w:rsid w:val="00FB1DA9"/>
    <w:rsid w:val="00FB2022"/>
    <w:rsid w:val="00FB22F8"/>
    <w:rsid w:val="00FB29DF"/>
    <w:rsid w:val="00FB32A6"/>
    <w:rsid w:val="00FB3628"/>
    <w:rsid w:val="00FB36DC"/>
    <w:rsid w:val="00FB432E"/>
    <w:rsid w:val="00FB460B"/>
    <w:rsid w:val="00FB4A45"/>
    <w:rsid w:val="00FB4CB0"/>
    <w:rsid w:val="00FB4E25"/>
    <w:rsid w:val="00FB5058"/>
    <w:rsid w:val="00FB526B"/>
    <w:rsid w:val="00FB6E4E"/>
    <w:rsid w:val="00FB6EED"/>
    <w:rsid w:val="00FB716D"/>
    <w:rsid w:val="00FB74A1"/>
    <w:rsid w:val="00FB797F"/>
    <w:rsid w:val="00FB7C68"/>
    <w:rsid w:val="00FB7ECA"/>
    <w:rsid w:val="00FC0E3B"/>
    <w:rsid w:val="00FC15A5"/>
    <w:rsid w:val="00FC19BF"/>
    <w:rsid w:val="00FC1DB8"/>
    <w:rsid w:val="00FC2270"/>
    <w:rsid w:val="00FC2FDB"/>
    <w:rsid w:val="00FC3302"/>
    <w:rsid w:val="00FC3EA8"/>
    <w:rsid w:val="00FC41CE"/>
    <w:rsid w:val="00FC5615"/>
    <w:rsid w:val="00FC5675"/>
    <w:rsid w:val="00FC5F01"/>
    <w:rsid w:val="00FC7796"/>
    <w:rsid w:val="00FC7A34"/>
    <w:rsid w:val="00FC7FE4"/>
    <w:rsid w:val="00FD0B02"/>
    <w:rsid w:val="00FD14D9"/>
    <w:rsid w:val="00FD1E4A"/>
    <w:rsid w:val="00FD257F"/>
    <w:rsid w:val="00FD2ABC"/>
    <w:rsid w:val="00FD3550"/>
    <w:rsid w:val="00FD370D"/>
    <w:rsid w:val="00FD3D0F"/>
    <w:rsid w:val="00FD4048"/>
    <w:rsid w:val="00FD4401"/>
    <w:rsid w:val="00FD4F08"/>
    <w:rsid w:val="00FD62AA"/>
    <w:rsid w:val="00FD68FA"/>
    <w:rsid w:val="00FD70D7"/>
    <w:rsid w:val="00FD7E30"/>
    <w:rsid w:val="00FE03C3"/>
    <w:rsid w:val="00FE0BD8"/>
    <w:rsid w:val="00FE0E5C"/>
    <w:rsid w:val="00FE148C"/>
    <w:rsid w:val="00FE1691"/>
    <w:rsid w:val="00FE1CDE"/>
    <w:rsid w:val="00FE25DD"/>
    <w:rsid w:val="00FE2842"/>
    <w:rsid w:val="00FE2CF9"/>
    <w:rsid w:val="00FE320A"/>
    <w:rsid w:val="00FE3310"/>
    <w:rsid w:val="00FE348A"/>
    <w:rsid w:val="00FE3C1E"/>
    <w:rsid w:val="00FE3CE0"/>
    <w:rsid w:val="00FE3D75"/>
    <w:rsid w:val="00FE5405"/>
    <w:rsid w:val="00FE5816"/>
    <w:rsid w:val="00FE6089"/>
    <w:rsid w:val="00FE61D6"/>
    <w:rsid w:val="00FE6671"/>
    <w:rsid w:val="00FE76E7"/>
    <w:rsid w:val="00FE7752"/>
    <w:rsid w:val="00FE7E1E"/>
    <w:rsid w:val="00FE7EB7"/>
    <w:rsid w:val="00FF0A2B"/>
    <w:rsid w:val="00FF0DBE"/>
    <w:rsid w:val="00FF0DEE"/>
    <w:rsid w:val="00FF12A4"/>
    <w:rsid w:val="00FF15F7"/>
    <w:rsid w:val="00FF1D15"/>
    <w:rsid w:val="00FF23A7"/>
    <w:rsid w:val="00FF24E2"/>
    <w:rsid w:val="00FF2DE3"/>
    <w:rsid w:val="00FF326D"/>
    <w:rsid w:val="00FF3482"/>
    <w:rsid w:val="00FF3DC3"/>
    <w:rsid w:val="00FF4CCA"/>
    <w:rsid w:val="00FF521E"/>
    <w:rsid w:val="00FF556E"/>
    <w:rsid w:val="00FF5E21"/>
    <w:rsid w:val="00FF723E"/>
    <w:rsid w:val="00FF73CA"/>
    <w:rsid w:val="00FF73F9"/>
    <w:rsid w:val="00FF7C84"/>
    <w:rsid w:val="00FF7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751D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0DF"/>
  </w:style>
  <w:style w:type="paragraph" w:styleId="Ttulo1">
    <w:name w:val="heading 1"/>
    <w:aliases w:val="h1"/>
    <w:basedOn w:val="IFTnormal"/>
    <w:next w:val="Normal"/>
    <w:link w:val="Ttulo1Car"/>
    <w:qFormat/>
    <w:rsid w:val="00FE25DD"/>
    <w:pPr>
      <w:outlineLvl w:val="0"/>
    </w:pPr>
    <w:rPr>
      <w:b/>
      <w:lang w:val="es-ES"/>
    </w:rPr>
  </w:style>
  <w:style w:type="paragraph" w:styleId="Ttulo2">
    <w:name w:val="heading 2"/>
    <w:aliases w:val="2TitSec"/>
    <w:basedOn w:val="Normal"/>
    <w:next w:val="Normal"/>
    <w:link w:val="Ttulo2Car"/>
    <w:unhideWhenUsed/>
    <w:qFormat/>
    <w:rsid w:val="00FE25DD"/>
    <w:pPr>
      <w:keepNext/>
      <w:spacing w:after="200" w:line="276" w:lineRule="auto"/>
      <w:jc w:val="both"/>
      <w:outlineLvl w:val="1"/>
    </w:pPr>
    <w:rPr>
      <w:rFonts w:ascii="ITC Avant Garde" w:eastAsia="Times New Roman" w:hAnsi="ITC Avant Garde" w:cs="Arial"/>
      <w:b/>
      <w:bCs/>
    </w:rPr>
  </w:style>
  <w:style w:type="paragraph" w:styleId="Ttulo3">
    <w:name w:val="heading 3"/>
    <w:aliases w:val="h3"/>
    <w:basedOn w:val="Normal"/>
    <w:next w:val="Normal"/>
    <w:link w:val="Ttulo3Car"/>
    <w:qFormat/>
    <w:rsid w:val="00FE25DD"/>
    <w:pPr>
      <w:keepNext/>
      <w:spacing w:after="0" w:line="240" w:lineRule="auto"/>
      <w:ind w:left="2630"/>
      <w:jc w:val="both"/>
      <w:outlineLvl w:val="2"/>
    </w:pPr>
    <w:rPr>
      <w:rFonts w:ascii="Arial" w:eastAsia="Times New Roman" w:hAnsi="Arial" w:cs="Times New Roman"/>
      <w:b/>
      <w:bCs/>
      <w:szCs w:val="20"/>
    </w:rPr>
  </w:style>
  <w:style w:type="paragraph" w:styleId="Ttulo4">
    <w:name w:val="heading 4"/>
    <w:basedOn w:val="Normal"/>
    <w:next w:val="Normal"/>
    <w:link w:val="Ttulo4Car"/>
    <w:qFormat/>
    <w:rsid w:val="00FE25DD"/>
    <w:pPr>
      <w:keepNext/>
      <w:spacing w:before="240" w:after="60" w:line="240" w:lineRule="auto"/>
      <w:jc w:val="both"/>
      <w:outlineLvl w:val="3"/>
    </w:pPr>
    <w:rPr>
      <w:rFonts w:ascii="Times New Roman" w:eastAsia="Times New Roman" w:hAnsi="Times New Roman" w:cs="Times New Roman"/>
      <w:b/>
      <w:bCs/>
      <w:sz w:val="28"/>
      <w:szCs w:val="28"/>
      <w:lang w:eastAsia="es-ES"/>
    </w:rPr>
  </w:style>
  <w:style w:type="paragraph" w:styleId="Ttulo5">
    <w:name w:val="heading 5"/>
    <w:aliases w:val="Considerando,Apartado_sub"/>
    <w:basedOn w:val="Normal"/>
    <w:next w:val="Normal"/>
    <w:link w:val="Ttulo5Car"/>
    <w:qFormat/>
    <w:rsid w:val="00FE25DD"/>
    <w:pPr>
      <w:keepNext/>
      <w:spacing w:after="0" w:line="240" w:lineRule="auto"/>
      <w:jc w:val="both"/>
      <w:outlineLvl w:val="4"/>
    </w:pPr>
    <w:rPr>
      <w:rFonts w:ascii="Arial" w:eastAsia="Times New Roman" w:hAnsi="Arial" w:cs="Times New Roman"/>
      <w:b/>
      <w:sz w:val="20"/>
      <w:szCs w:val="20"/>
    </w:rPr>
  </w:style>
  <w:style w:type="paragraph" w:styleId="Ttulo6">
    <w:name w:val="heading 6"/>
    <w:basedOn w:val="Normal"/>
    <w:next w:val="Normal"/>
    <w:link w:val="Ttulo6Car"/>
    <w:qFormat/>
    <w:rsid w:val="00FE25DD"/>
    <w:pPr>
      <w:spacing w:before="240" w:after="60" w:line="240" w:lineRule="auto"/>
      <w:jc w:val="both"/>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FE25DD"/>
    <w:pPr>
      <w:spacing w:before="240" w:after="60" w:line="240" w:lineRule="auto"/>
      <w:jc w:val="both"/>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FE25DD"/>
    <w:pPr>
      <w:keepNext/>
      <w:spacing w:after="0" w:line="240" w:lineRule="auto"/>
      <w:jc w:val="center"/>
      <w:outlineLvl w:val="7"/>
    </w:pPr>
    <w:rPr>
      <w:rFonts w:ascii="Arial" w:eastAsia="Times New Roman" w:hAnsi="Arial" w:cs="Times New Roman"/>
      <w:b/>
      <w:szCs w:val="20"/>
      <w:lang w:eastAsia="es-ES"/>
    </w:rPr>
  </w:style>
  <w:style w:type="paragraph" w:styleId="Ttulo9">
    <w:name w:val="heading 9"/>
    <w:aliases w:val="Citaciones"/>
    <w:basedOn w:val="Normal"/>
    <w:next w:val="Normal"/>
    <w:link w:val="Ttulo9Car"/>
    <w:qFormat/>
    <w:rsid w:val="00FE25DD"/>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rsid w:val="00FE25DD"/>
    <w:rPr>
      <w:rFonts w:ascii="ITC Avant Garde" w:eastAsia="Calibri" w:hAnsi="ITC Avant Garde" w:cs="Arial"/>
      <w:b/>
      <w:color w:val="000000"/>
      <w:lang w:val="es-ES" w:eastAsia="es-ES"/>
    </w:rPr>
  </w:style>
  <w:style w:type="character" w:customStyle="1" w:styleId="Ttulo2Car">
    <w:name w:val="Título 2 Car"/>
    <w:aliases w:val="2TitSec Car"/>
    <w:basedOn w:val="Fuentedeprrafopredeter"/>
    <w:link w:val="Ttulo2"/>
    <w:rsid w:val="00FE25DD"/>
    <w:rPr>
      <w:rFonts w:ascii="ITC Avant Garde" w:eastAsia="Times New Roman" w:hAnsi="ITC Avant Garde" w:cs="Arial"/>
      <w:b/>
      <w:bCs/>
    </w:rPr>
  </w:style>
  <w:style w:type="character" w:customStyle="1" w:styleId="Ttulo3Car">
    <w:name w:val="Título 3 Car"/>
    <w:aliases w:val="h3 Car"/>
    <w:basedOn w:val="Fuentedeprrafopredeter"/>
    <w:link w:val="Ttulo3"/>
    <w:rsid w:val="00FE25DD"/>
    <w:rPr>
      <w:rFonts w:ascii="Arial" w:eastAsia="Times New Roman" w:hAnsi="Arial" w:cs="Times New Roman"/>
      <w:b/>
      <w:bCs/>
      <w:szCs w:val="20"/>
    </w:rPr>
  </w:style>
  <w:style w:type="character" w:customStyle="1" w:styleId="Ttulo4Car">
    <w:name w:val="Título 4 Car"/>
    <w:basedOn w:val="Fuentedeprrafopredeter"/>
    <w:link w:val="Ttulo4"/>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FE25DD"/>
    <w:rPr>
      <w:rFonts w:ascii="Arial" w:eastAsia="Times New Roman" w:hAnsi="Arial" w:cs="Times New Roman"/>
      <w:b/>
      <w:sz w:val="20"/>
      <w:szCs w:val="20"/>
    </w:rPr>
  </w:style>
  <w:style w:type="character" w:customStyle="1" w:styleId="Ttulo6Car">
    <w:name w:val="Título 6 Car"/>
    <w:basedOn w:val="Fuentedeprrafopredeter"/>
    <w:link w:val="Ttulo6"/>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lang w:val="es-ES_tradnl" w:eastAsia="es-ES"/>
    </w:rPr>
  </w:style>
  <w:style w:type="paragraph" w:styleId="Listaconvietas">
    <w:name w:val="List Bullet"/>
    <w:aliases w:val="Bullets texto"/>
    <w:basedOn w:val="Normal"/>
    <w:autoRedefine/>
    <w:uiPriority w:val="99"/>
    <w:unhideWhenUsed/>
    <w:qFormat/>
    <w:rsid w:val="00FE25DD"/>
    <w:pPr>
      <w:numPr>
        <w:numId w:val="2"/>
      </w:numPr>
      <w:spacing w:after="200" w:line="276" w:lineRule="auto"/>
      <w:ind w:left="714" w:hanging="357"/>
      <w:jc w:val="both"/>
    </w:pPr>
    <w:rPr>
      <w:rFonts w:ascii="ITC Avant Garde" w:eastAsia="Times New Roman" w:hAnsi="ITC Avant Garde" w:cs="Arial"/>
      <w:iCs/>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FE25DD"/>
    <w:pPr>
      <w:spacing w:after="200" w:line="276" w:lineRule="auto"/>
      <w:ind w:left="720"/>
      <w:contextualSpacing/>
    </w:pPr>
    <w:rPr>
      <w:rFonts w:ascii="Calibri" w:eastAsia="Calibri" w:hAnsi="Calibri" w:cs="Times New Roman"/>
    </w:rPr>
  </w:style>
  <w:style w:type="paragraph" w:customStyle="1" w:styleId="1TitPrin">
    <w:name w:val="1TitPrin"/>
    <w:basedOn w:val="Ttulo1"/>
    <w:link w:val="1TitPrinCar"/>
    <w:autoRedefine/>
    <w:qFormat/>
    <w:rsid w:val="009C1149"/>
    <w:pPr>
      <w:spacing w:after="0"/>
      <w:ind w:left="850" w:right="850"/>
    </w:pPr>
    <w:rPr>
      <w:b w:val="0"/>
      <w:lang w:val="es-ES_tradnl"/>
    </w:rPr>
  </w:style>
  <w:style w:type="character" w:customStyle="1" w:styleId="1TitPrinCar">
    <w:name w:val="1TitPrin Car"/>
    <w:link w:val="1TitPrin"/>
    <w:rsid w:val="009C1149"/>
    <w:rPr>
      <w:rFonts w:ascii="ITC Avant Garde" w:eastAsia="Calibri" w:hAnsi="ITC Avant Garde" w:cs="Arial"/>
      <w:color w:val="000000"/>
      <w:lang w:val="es-ES_tradnl"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lang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basedOn w:val="Normal"/>
    <w:link w:val="EncabezadoCar"/>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rsid w:val="00FE25DD"/>
    <w:rPr>
      <w:rFonts w:ascii="Calibri" w:eastAsia="Calibri" w:hAnsi="Calibri" w:cs="Times New Roman"/>
    </w:rPr>
  </w:style>
  <w:style w:type="paragraph" w:styleId="Piedepgina">
    <w:name w:val="footer"/>
    <w:basedOn w:val="Normal"/>
    <w:link w:val="PiedepginaCar"/>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FE25DD"/>
    <w:pPr>
      <w:spacing w:after="200" w:line="276" w:lineRule="auto"/>
      <w:ind w:left="720"/>
      <w:contextualSpacing/>
    </w:pPr>
    <w:rPr>
      <w:rFonts w:ascii="Calibri" w:eastAsia="Calibri" w:hAnsi="Calibri" w:cs="Times New Roman"/>
    </w:rPr>
  </w:style>
  <w:style w:type="character" w:styleId="Refdecomentario">
    <w:name w:val="annotation reference"/>
    <w:unhideWhenUsed/>
    <w:rsid w:val="00FE25DD"/>
    <w:rPr>
      <w:sz w:val="16"/>
      <w:szCs w:val="16"/>
    </w:rPr>
  </w:style>
  <w:style w:type="paragraph" w:styleId="Textocomentario">
    <w:name w:val="annotation text"/>
    <w:basedOn w:val="Normal"/>
    <w:link w:val="TextocomentarioCar"/>
    <w:unhideWhenUsed/>
    <w:rsid w:val="00FE25DD"/>
    <w:pPr>
      <w:spacing w:after="200"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rsid w:val="00FE25DD"/>
    <w:rPr>
      <w:rFonts w:ascii="Calibri" w:eastAsia="Calibri" w:hAnsi="Calibri" w:cs="Times New Roman"/>
    </w:rPr>
  </w:style>
  <w:style w:type="paragraph" w:styleId="Textodeglobo">
    <w:name w:val="Balloon Text"/>
    <w:basedOn w:val="Normal"/>
    <w:link w:val="TextodegloboCar"/>
    <w:unhideWhenUsed/>
    <w:rsid w:val="00FE25DD"/>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rsid w:val="00FE25DD"/>
    <w:rPr>
      <w:rFonts w:ascii="Segoe UI" w:eastAsia="Calibri" w:hAnsi="Segoe UI" w:cs="Segoe UI"/>
      <w:sz w:val="18"/>
      <w:szCs w:val="18"/>
    </w:rPr>
  </w:style>
  <w:style w:type="character" w:styleId="Hipervnculo">
    <w:name w:val="Hyperlink"/>
    <w:basedOn w:val="Fuentedeprrafopredeter"/>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6,Footnote Reference Superscript"/>
    <w:unhideWhenUsed/>
    <w:qFormat/>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nhideWhenUsed/>
    <w:rsid w:val="00FE25DD"/>
    <w:rPr>
      <w:b/>
      <w:bCs/>
    </w:rPr>
  </w:style>
  <w:style w:type="character" w:customStyle="1" w:styleId="AsuntodelcomentarioCar">
    <w:name w:val="Asunto del comentario Car"/>
    <w:basedOn w:val="TextocomentarioCar"/>
    <w:link w:val="Asuntodelcomentario"/>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iPriority w:val="99"/>
    <w:unhideWhenUsed/>
    <w:rsid w:val="00FE25DD"/>
    <w:pPr>
      <w:spacing w:after="200" w:line="276" w:lineRule="auto"/>
      <w:ind w:left="1077" w:hanging="360"/>
      <w:contextualSpacing/>
    </w:pPr>
    <w:rPr>
      <w:rFonts w:ascii="Calibri" w:eastAsia="Calibri" w:hAnsi="Calibri" w:cs="Times New Roman"/>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rsid w:val="00FE25DD"/>
  </w:style>
  <w:style w:type="paragraph" w:styleId="Subttulo">
    <w:name w:val="Subtitle"/>
    <w:basedOn w:val="Normal"/>
    <w:link w:val="SubttuloCar"/>
    <w:rsid w:val="00FE25DD"/>
    <w:pPr>
      <w:spacing w:after="200" w:line="276" w:lineRule="auto"/>
      <w:jc w:val="both"/>
    </w:pPr>
    <w:rPr>
      <w:rFonts w:ascii="ITC Avant Garde" w:eastAsia="Calibri" w:hAnsi="ITC Avant Garde" w:cs="Times New Roman"/>
      <w:b/>
    </w:rPr>
  </w:style>
  <w:style w:type="character" w:customStyle="1" w:styleId="SubttuloCar">
    <w:name w:val="Subtítulo Car"/>
    <w:basedOn w:val="Fuentedeprrafopredeter"/>
    <w:link w:val="Subttulo"/>
    <w:rsid w:val="00FE25DD"/>
    <w:rPr>
      <w:rFonts w:ascii="ITC Avant Garde" w:eastAsia="Calibri" w:hAnsi="ITC Avant Garde" w:cs="Times New Roman"/>
      <w:b/>
    </w:rPr>
  </w:style>
  <w:style w:type="paragraph" w:styleId="Textosinformato">
    <w:name w:val="Plain Text"/>
    <w:basedOn w:val="Normal"/>
    <w:link w:val="TextosinformatoCar"/>
    <w:rsid w:val="00FE25D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uiPriority w:val="99"/>
    <w:rsid w:val="00FE25DD"/>
    <w:rPr>
      <w:color w:val="800080"/>
      <w:u w:val="single"/>
    </w:rPr>
  </w:style>
  <w:style w:type="paragraph" w:styleId="Lista">
    <w:name w:val="List"/>
    <w:basedOn w:val="Normal"/>
    <w:rsid w:val="00FE25DD"/>
    <w:pPr>
      <w:spacing w:after="0" w:line="240" w:lineRule="auto"/>
      <w:ind w:left="283" w:hanging="283"/>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rsid w:val="00FE25DD"/>
    <w:pPr>
      <w:spacing w:after="120" w:line="240" w:lineRule="auto"/>
      <w:ind w:left="283"/>
    </w:pPr>
    <w:rPr>
      <w:rFonts w:ascii="Times New Roman" w:eastAsia="Times New Roman" w:hAnsi="Times New Roman" w:cs="Times New Roman"/>
      <w:sz w:val="24"/>
      <w:szCs w:val="24"/>
      <w:lang w:val="es-ES" w:eastAsia="es-ES"/>
    </w:rPr>
  </w:style>
  <w:style w:type="paragraph" w:styleId="Listaconnmeros">
    <w:name w:val="List Number"/>
    <w:basedOn w:val="Normal"/>
    <w:uiPriority w:val="99"/>
    <w:rsid w:val="00FE25DD"/>
    <w:pPr>
      <w:tabs>
        <w:tab w:val="num" w:pos="360"/>
      </w:tabs>
      <w:spacing w:after="240" w:line="320" w:lineRule="atLeast"/>
      <w:ind w:left="360" w:hanging="360"/>
      <w:contextualSpacing/>
      <w:jc w:val="both"/>
    </w:pPr>
    <w:rPr>
      <w:rFonts w:ascii="Times New Roman" w:eastAsia="Calibri" w:hAnsi="Times New Roman" w:cs="Times New Roman"/>
      <w:lang w:val="es-E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semiHidden/>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cs="Times New Roman"/>
      <w:u w:val="single"/>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customStyle="1" w:styleId="Sombreadomedio2-nfasis11">
    <w:name w:val="Sombreado medio 2 - Énfasis 1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cs="Times New Roman"/>
      <w:sz w:val="20"/>
      <w:szCs w:val="20"/>
      <w:lang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FE25DD"/>
    <w:pPr>
      <w:spacing w:after="0" w:line="240" w:lineRule="auto"/>
    </w:pPr>
    <w:rPr>
      <w:rFonts w:ascii="Calibri" w:eastAsia="Calibri" w:hAnsi="Calibri" w:cs="Times New Roman"/>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FE25DD"/>
    <w:rPr>
      <w:rFonts w:ascii="Calibri" w:eastAsia="Calibri" w:hAnsi="Calibri" w:cs="Times New Roman"/>
      <w:sz w:val="20"/>
      <w:szCs w:val="20"/>
    </w:rPr>
  </w:style>
  <w:style w:type="paragraph" w:styleId="Mapadeldocumento">
    <w:name w:val="Document Map"/>
    <w:basedOn w:val="Normal"/>
    <w:link w:val="MapadeldocumentoCar"/>
    <w:semiHidden/>
    <w:unhideWhenUsed/>
    <w:rsid w:val="00FE25DD"/>
    <w:pPr>
      <w:spacing w:after="0" w:line="240" w:lineRule="auto"/>
    </w:pPr>
    <w:rPr>
      <w:rFonts w:ascii="Lucida Grande" w:eastAsia="Calibri" w:hAnsi="Lucida Grande" w:cs="Lucida Grande"/>
      <w:sz w:val="24"/>
      <w:szCs w:val="24"/>
    </w:rPr>
  </w:style>
  <w:style w:type="character" w:customStyle="1" w:styleId="MapadeldocumentoCar">
    <w:name w:val="Mapa del documento Car"/>
    <w:basedOn w:val="Fuentedeprrafopredeter"/>
    <w:link w:val="Mapadeldocumento"/>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cs="Times New Roman"/>
      <w:iC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nhideWhenUsed/>
    <w:rsid w:val="00FE25DD"/>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rPr>
  </w:style>
  <w:style w:type="character" w:customStyle="1" w:styleId="IFTnormalCar">
    <w:name w:val="IFT normal Car"/>
    <w:basedOn w:val="Fuentedeprrafopredeter"/>
    <w:link w:val="IFTnormal"/>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24F9B"/>
    <w:pPr>
      <w:tabs>
        <w:tab w:val="left" w:pos="992"/>
        <w:tab w:val="left" w:pos="1276"/>
      </w:tabs>
      <w:spacing w:before="120"/>
      <w:ind w:left="648"/>
      <w:jc w:val="left"/>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24F9B"/>
    <w:rPr>
      <w:rFonts w:ascii="ITC Avant Garde" w:eastAsia="Calibri" w:hAnsi="ITC Avant Garde" w:cs="Times New Roman"/>
      <w:b/>
    </w:rPr>
  </w:style>
  <w:style w:type="paragraph" w:styleId="TDC1">
    <w:name w:val="toc 1"/>
    <w:basedOn w:val="Normal"/>
    <w:next w:val="Normal"/>
    <w:autoRedefine/>
    <w:uiPriority w:val="39"/>
    <w:unhideWhenUsed/>
    <w:rsid w:val="007E241F"/>
    <w:pPr>
      <w:spacing w:after="100"/>
    </w:pPr>
  </w:style>
  <w:style w:type="paragraph" w:styleId="TDC2">
    <w:name w:val="toc 2"/>
    <w:basedOn w:val="Normal"/>
    <w:next w:val="Normal"/>
    <w:autoRedefine/>
    <w:uiPriority w:val="39"/>
    <w:unhideWhenUsed/>
    <w:rsid w:val="007E241F"/>
    <w:pPr>
      <w:spacing w:after="100"/>
      <w:ind w:left="220"/>
    </w:pPr>
  </w:style>
  <w:style w:type="paragraph" w:styleId="TDC3">
    <w:name w:val="toc 3"/>
    <w:basedOn w:val="Normal"/>
    <w:next w:val="Normal"/>
    <w:autoRedefine/>
    <w:uiPriority w:val="39"/>
    <w:unhideWhenUsed/>
    <w:rsid w:val="00562A5E"/>
    <w:pPr>
      <w:tabs>
        <w:tab w:val="left" w:pos="1540"/>
        <w:tab w:val="right" w:leader="dot" w:pos="8828"/>
      </w:tabs>
      <w:spacing w:after="100"/>
      <w:ind w:left="440"/>
    </w:pPr>
  </w:style>
  <w:style w:type="paragraph" w:customStyle="1" w:styleId="5TitCin">
    <w:name w:val="5TitCin"/>
    <w:basedOn w:val="LosOdioAtodos"/>
    <w:link w:val="5TitCinCar"/>
    <w:autoRedefine/>
    <w:qFormat/>
    <w:rsid w:val="000B2230"/>
    <w:pPr>
      <w:numPr>
        <w:numId w:val="6"/>
      </w:numPr>
      <w:tabs>
        <w:tab w:val="left" w:pos="709"/>
        <w:tab w:val="left" w:pos="1134"/>
      </w:tabs>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0B2230"/>
    <w:rPr>
      <w:rFonts w:ascii="ITC Avant Garde" w:eastAsia="Calibri" w:hAnsi="ITC Avant Garde" w:cs="Times New Roman"/>
      <w:b w:val="0"/>
    </w:rPr>
  </w:style>
  <w:style w:type="paragraph" w:customStyle="1" w:styleId="4TitCuar">
    <w:name w:val="4TitCuar"/>
    <w:basedOn w:val="Niv3C4"/>
    <w:link w:val="4TitCuarCar"/>
    <w:autoRedefine/>
    <w:qFormat/>
    <w:rsid w:val="00AE71D8"/>
    <w:pPr>
      <w:numPr>
        <w:ilvl w:val="3"/>
        <w:numId w:val="5"/>
      </w:numPr>
      <w:tabs>
        <w:tab w:val="left" w:pos="709"/>
        <w:tab w:val="left" w:leader="underscore" w:pos="1134"/>
      </w:tabs>
      <w:outlineLvl w:val="2"/>
    </w:pPr>
    <w:rPr>
      <w:b w:val="0"/>
    </w:r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AE71D8"/>
    <w:rPr>
      <w:rFonts w:ascii="ITC Avant Garde" w:eastAsia="Calibri" w:hAnsi="ITC Avant Garde" w:cs="Times New Roman"/>
      <w:b w:val="0"/>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val="0"/>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A74B03"/>
    <w:pPr>
      <w:spacing w:after="0" w:line="240" w:lineRule="auto"/>
    </w:pPr>
  </w:style>
  <w:style w:type="paragraph" w:customStyle="1" w:styleId="T2IFT">
    <w:name w:val="T2 IFT"/>
    <w:basedOn w:val="Niv2C4"/>
    <w:autoRedefine/>
    <w:qFormat/>
    <w:rsid w:val="00DC04A1"/>
    <w:pPr>
      <w:jc w:val="left"/>
      <w:outlineLvl w:val="1"/>
    </w:pPr>
  </w:style>
  <w:style w:type="paragraph" w:styleId="TDC4">
    <w:name w:val="toc 4"/>
    <w:basedOn w:val="Normal"/>
    <w:next w:val="Normal"/>
    <w:autoRedefine/>
    <w:uiPriority w:val="39"/>
    <w:unhideWhenUsed/>
    <w:rsid w:val="00562A5E"/>
    <w:pPr>
      <w:spacing w:after="100"/>
      <w:ind w:left="660"/>
    </w:pPr>
  </w:style>
  <w:style w:type="paragraph" w:styleId="TDC5">
    <w:name w:val="toc 5"/>
    <w:basedOn w:val="Normal"/>
    <w:next w:val="Normal"/>
    <w:autoRedefine/>
    <w:uiPriority w:val="39"/>
    <w:unhideWhenUsed/>
    <w:rsid w:val="00562A5E"/>
    <w:pPr>
      <w:spacing w:after="100"/>
      <w:ind w:left="880"/>
    </w:pPr>
    <w:rPr>
      <w:rFonts w:eastAsiaTheme="minorEastAsia"/>
      <w:lang w:val="en-US"/>
    </w:rPr>
  </w:style>
  <w:style w:type="paragraph" w:styleId="TDC6">
    <w:name w:val="toc 6"/>
    <w:basedOn w:val="Normal"/>
    <w:next w:val="Normal"/>
    <w:autoRedefine/>
    <w:uiPriority w:val="39"/>
    <w:unhideWhenUsed/>
    <w:rsid w:val="00562A5E"/>
    <w:pPr>
      <w:spacing w:after="100"/>
      <w:ind w:left="1100"/>
    </w:pPr>
    <w:rPr>
      <w:rFonts w:eastAsiaTheme="minorEastAsia"/>
      <w:lang w:val="en-US"/>
    </w:rPr>
  </w:style>
  <w:style w:type="paragraph" w:styleId="TDC7">
    <w:name w:val="toc 7"/>
    <w:basedOn w:val="Normal"/>
    <w:next w:val="Normal"/>
    <w:autoRedefine/>
    <w:uiPriority w:val="39"/>
    <w:unhideWhenUsed/>
    <w:rsid w:val="00562A5E"/>
    <w:pPr>
      <w:spacing w:after="100"/>
      <w:ind w:left="1320"/>
    </w:pPr>
    <w:rPr>
      <w:rFonts w:eastAsiaTheme="minorEastAsia"/>
      <w:lang w:val="en-US"/>
    </w:rPr>
  </w:style>
  <w:style w:type="paragraph" w:styleId="TDC8">
    <w:name w:val="toc 8"/>
    <w:basedOn w:val="Normal"/>
    <w:next w:val="Normal"/>
    <w:autoRedefine/>
    <w:uiPriority w:val="39"/>
    <w:unhideWhenUsed/>
    <w:rsid w:val="00562A5E"/>
    <w:pPr>
      <w:spacing w:after="100"/>
      <w:ind w:left="1540"/>
    </w:pPr>
    <w:rPr>
      <w:rFonts w:eastAsiaTheme="minorEastAsia"/>
      <w:lang w:val="en-US"/>
    </w:rPr>
  </w:style>
  <w:style w:type="paragraph" w:styleId="TDC9">
    <w:name w:val="toc 9"/>
    <w:basedOn w:val="Normal"/>
    <w:next w:val="Normal"/>
    <w:autoRedefine/>
    <w:uiPriority w:val="39"/>
    <w:unhideWhenUsed/>
    <w:rsid w:val="00562A5E"/>
    <w:pPr>
      <w:spacing w:after="100"/>
      <w:ind w:left="1760"/>
    </w:pPr>
    <w:rPr>
      <w:rFonts w:eastAsiaTheme="minorEastAsia"/>
      <w:lang w:val="en-US"/>
    </w:rPr>
  </w:style>
  <w:style w:type="paragraph" w:styleId="Puesto">
    <w:name w:val="Title"/>
    <w:basedOn w:val="Normal"/>
    <w:next w:val="Normal"/>
    <w:link w:val="PuestoCar"/>
    <w:uiPriority w:val="10"/>
    <w:qFormat/>
    <w:rsid w:val="007F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7F5045"/>
    <w:rPr>
      <w:rFonts w:asciiTheme="majorHAnsi" w:eastAsiaTheme="majorEastAsia" w:hAnsiTheme="majorHAnsi" w:cstheme="majorBidi"/>
      <w:spacing w:val="-10"/>
      <w:kern w:val="28"/>
      <w:sz w:val="56"/>
      <w:szCs w:val="56"/>
    </w:rPr>
  </w:style>
  <w:style w:type="character" w:styleId="nfasissutil">
    <w:name w:val="Subtle Emphasis"/>
    <w:basedOn w:val="Fuentedeprrafopredeter"/>
    <w:uiPriority w:val="19"/>
    <w:qFormat/>
    <w:rsid w:val="007F5045"/>
    <w:rPr>
      <w:i/>
      <w:iCs/>
      <w:color w:val="404040" w:themeColor="text1" w:themeTint="BF"/>
    </w:rPr>
  </w:style>
  <w:style w:type="paragraph" w:styleId="Textoindependiente">
    <w:name w:val="Body Text"/>
    <w:basedOn w:val="Normal"/>
    <w:link w:val="TextoindependienteCar"/>
    <w:unhideWhenUsed/>
    <w:rsid w:val="004720EE"/>
    <w:pPr>
      <w:spacing w:after="120"/>
    </w:pPr>
  </w:style>
  <w:style w:type="character" w:customStyle="1" w:styleId="TextoindependienteCar">
    <w:name w:val="Texto independiente Car"/>
    <w:basedOn w:val="Fuentedeprrafopredeter"/>
    <w:link w:val="Textoindependiente"/>
    <w:rsid w:val="004720EE"/>
  </w:style>
  <w:style w:type="paragraph" w:customStyle="1" w:styleId="CitaIFT0">
    <w:name w:val="Cita IFT"/>
    <w:basedOn w:val="IFTTexto"/>
    <w:link w:val="CitaIFTCar0"/>
    <w:qFormat/>
    <w:rsid w:val="00710FC6"/>
    <w:pPr>
      <w:adjustRightInd w:val="0"/>
      <w:ind w:left="851" w:right="760"/>
    </w:pPr>
    <w:rPr>
      <w:rFonts w:eastAsia="Times New Roman"/>
      <w:bCs/>
      <w:i/>
      <w:sz w:val="18"/>
      <w:szCs w:val="18"/>
    </w:rPr>
  </w:style>
  <w:style w:type="character" w:customStyle="1" w:styleId="CitaIFTCar0">
    <w:name w:val="Cita IFT Car"/>
    <w:link w:val="CitaIFT0"/>
    <w:rsid w:val="00710FC6"/>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710FC6"/>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710FC6"/>
    <w:rPr>
      <w:rFonts w:ascii="ITC Avant Garde" w:eastAsia="Calibri" w:hAnsi="ITC Avant Garde" w:cs="Arial"/>
      <w:color w:val="000000"/>
      <w:lang w:val="es-ES_tradnl" w:eastAsia="es-ES"/>
    </w:rPr>
  </w:style>
  <w:style w:type="paragraph" w:customStyle="1" w:styleId="estilo30">
    <w:name w:val="estilo30"/>
    <w:basedOn w:val="Normal"/>
    <w:rsid w:val="00AA06C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FT1">
    <w:name w:val="IFT 1"/>
    <w:basedOn w:val="Normal"/>
    <w:link w:val="IFT1Car"/>
    <w:qFormat/>
    <w:rsid w:val="008477F1"/>
    <w:pPr>
      <w:spacing w:after="200" w:line="276" w:lineRule="auto"/>
      <w:jc w:val="both"/>
    </w:pPr>
    <w:rPr>
      <w:rFonts w:ascii="ITC Avant Garde" w:eastAsia="Times New Roman" w:hAnsi="ITC Avant Garde" w:cs="Times New Roman"/>
      <w:iCs/>
    </w:rPr>
  </w:style>
  <w:style w:type="character" w:customStyle="1" w:styleId="IFT1Car">
    <w:name w:val="IFT 1 Car"/>
    <w:link w:val="IFT1"/>
    <w:rsid w:val="008477F1"/>
    <w:rPr>
      <w:rFonts w:ascii="ITC Avant Garde" w:eastAsia="Times New Roman" w:hAnsi="ITC Avant Garde" w:cs="Times New Roman"/>
      <w:iCs/>
    </w:rPr>
  </w:style>
  <w:style w:type="paragraph" w:customStyle="1" w:styleId="TableParagraph">
    <w:name w:val="Table Paragraph"/>
    <w:basedOn w:val="Normal"/>
    <w:uiPriority w:val="1"/>
    <w:qFormat/>
    <w:rsid w:val="00B63F96"/>
    <w:pPr>
      <w:widowControl w:val="0"/>
      <w:spacing w:after="0" w:line="240" w:lineRule="auto"/>
    </w:pPr>
    <w:rPr>
      <w:lang w:val="en-US"/>
    </w:rPr>
  </w:style>
  <w:style w:type="paragraph" w:customStyle="1" w:styleId="Prrafodelista1">
    <w:name w:val="Párrafo de lista1"/>
    <w:basedOn w:val="Normal"/>
    <w:uiPriority w:val="99"/>
    <w:qFormat/>
    <w:rsid w:val="00601BF4"/>
    <w:pPr>
      <w:spacing w:after="0" w:line="240" w:lineRule="auto"/>
      <w:ind w:left="708"/>
    </w:pPr>
    <w:rPr>
      <w:rFonts w:ascii="Times New Roman" w:eastAsia="Times New Roman" w:hAnsi="Times New Roman" w:cs="Times New Roman"/>
      <w:sz w:val="24"/>
      <w:szCs w:val="24"/>
      <w:lang w:val="es-ES" w:eastAsia="es-ES"/>
    </w:rPr>
  </w:style>
  <w:style w:type="paragraph" w:customStyle="1" w:styleId="ROMANOS">
    <w:name w:val="ROMANOS"/>
    <w:basedOn w:val="Normal"/>
    <w:link w:val="ROMANOSCar"/>
    <w:rsid w:val="00C328F2"/>
    <w:pPr>
      <w:tabs>
        <w:tab w:val="left" w:pos="720"/>
      </w:tabs>
      <w:spacing w:after="101" w:line="216" w:lineRule="exact"/>
      <w:ind w:left="720" w:hanging="432"/>
      <w:jc w:val="both"/>
    </w:pPr>
    <w:rPr>
      <w:rFonts w:ascii="Arial" w:eastAsia="Times New Roman" w:hAnsi="Arial" w:cs="Times New Roman"/>
      <w:sz w:val="18"/>
      <w:szCs w:val="20"/>
      <w:lang w:val="es-ES"/>
    </w:rPr>
  </w:style>
  <w:style w:type="character" w:customStyle="1" w:styleId="ROMANOSCar">
    <w:name w:val="ROMANOS Car"/>
    <w:link w:val="ROMANOS"/>
    <w:locked/>
    <w:rsid w:val="00C328F2"/>
    <w:rPr>
      <w:rFonts w:ascii="Arial" w:eastAsia="Times New Roman" w:hAnsi="Arial" w:cs="Times New Roman"/>
      <w:sz w:val="18"/>
      <w:szCs w:val="20"/>
      <w:lang w:val="es-ES"/>
    </w:rPr>
  </w:style>
  <w:style w:type="paragraph" w:customStyle="1" w:styleId="TAH">
    <w:name w:val="TAH"/>
    <w:basedOn w:val="Normal"/>
    <w:uiPriority w:val="99"/>
    <w:rsid w:val="008130BF"/>
    <w:pPr>
      <w:keepNext/>
      <w:keepLines/>
      <w:spacing w:after="0" w:line="240" w:lineRule="auto"/>
      <w:jc w:val="center"/>
    </w:pPr>
    <w:rPr>
      <w:rFonts w:ascii="Arial" w:eastAsia="Batang" w:hAnsi="Arial" w:cs="Times New Roman"/>
      <w:b/>
      <w:sz w:val="18"/>
      <w:szCs w:val="20"/>
      <w:lang w:val="en-GB"/>
    </w:rPr>
  </w:style>
  <w:style w:type="paragraph" w:customStyle="1" w:styleId="Tablecells">
    <w:name w:val="Table: cells"/>
    <w:qFormat/>
    <w:rsid w:val="001D555C"/>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1D555C"/>
    <w:pPr>
      <w:keepNext/>
    </w:pPr>
    <w:rPr>
      <w:b/>
      <w:color w:val="FFFFFF"/>
    </w:rPr>
  </w:style>
  <w:style w:type="paragraph" w:styleId="Descripcin">
    <w:name w:val="caption"/>
    <w:next w:val="Normal"/>
    <w:uiPriority w:val="35"/>
    <w:qFormat/>
    <w:rsid w:val="00A92F28"/>
    <w:pPr>
      <w:keepNext/>
      <w:tabs>
        <w:tab w:val="left" w:pos="2041"/>
      </w:tabs>
      <w:spacing w:line="280" w:lineRule="atLeast"/>
    </w:pPr>
    <w:rPr>
      <w:rFonts w:ascii="Arial" w:hAnsi="Arial" w:cs="Arial"/>
      <w:bCs/>
      <w:i/>
      <w:sz w:val="18"/>
      <w:szCs w:val="18"/>
      <w:lang w:val="en-GB"/>
    </w:rPr>
  </w:style>
  <w:style w:type="paragraph" w:customStyle="1" w:styleId="c2">
    <w:name w:val="c2"/>
    <w:basedOn w:val="Normal"/>
    <w:rsid w:val="00F94CCA"/>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en-US" w:eastAsia="es-ES"/>
    </w:rPr>
  </w:style>
  <w:style w:type="character" w:customStyle="1" w:styleId="apple-converted-space">
    <w:name w:val="apple-converted-space"/>
    <w:basedOn w:val="Fuentedeprrafopredeter"/>
    <w:rsid w:val="00940BCE"/>
  </w:style>
  <w:style w:type="paragraph" w:customStyle="1" w:styleId="TableCaption">
    <w:name w:val="Table Caption"/>
    <w:basedOn w:val="Descripcin"/>
    <w:qFormat/>
    <w:rsid w:val="00F410F0"/>
  </w:style>
  <w:style w:type="character" w:styleId="Textoennegrita">
    <w:name w:val="Strong"/>
    <w:qFormat/>
    <w:rsid w:val="00F410F0"/>
    <w:rPr>
      <w:rFonts w:ascii="Arial" w:hAnsi="Arial" w:cs="Times New Roman" w:hint="default"/>
      <w:b/>
      <w:bCs w:val="0"/>
    </w:rPr>
  </w:style>
  <w:style w:type="character" w:styleId="Textodelmarcadordeposicin">
    <w:name w:val="Placeholder Text"/>
    <w:basedOn w:val="Fuentedeprrafopredeter"/>
    <w:uiPriority w:val="99"/>
    <w:semiHidden/>
    <w:rsid w:val="00C9278D"/>
    <w:rPr>
      <w:color w:val="808080"/>
    </w:rPr>
  </w:style>
  <w:style w:type="paragraph" w:customStyle="1" w:styleId="Prrafodelista2">
    <w:name w:val="Párrafo de lista2"/>
    <w:basedOn w:val="Normal"/>
    <w:uiPriority w:val="99"/>
    <w:qFormat/>
    <w:rsid w:val="00435018"/>
    <w:pPr>
      <w:spacing w:after="0" w:line="240" w:lineRule="auto"/>
      <w:ind w:left="708"/>
    </w:pPr>
    <w:rPr>
      <w:rFonts w:ascii="Times New Roman" w:eastAsia="Times New Roman" w:hAnsi="Times New Roman" w:cs="Times New Roman"/>
      <w:sz w:val="24"/>
      <w:szCs w:val="24"/>
      <w:lang w:val="es-ES" w:eastAsia="es-ES"/>
    </w:rPr>
  </w:style>
  <w:style w:type="paragraph" w:customStyle="1" w:styleId="Level4">
    <w:name w:val="Level 4"/>
    <w:basedOn w:val="Normal"/>
    <w:rsid w:val="001B7E7F"/>
    <w:pPr>
      <w:widowControl w:val="0"/>
      <w:spacing w:after="0" w:line="240" w:lineRule="auto"/>
      <w:ind w:left="2880" w:hanging="720"/>
    </w:pPr>
    <w:rPr>
      <w:rFonts w:ascii="Courier New" w:eastAsia="Times New Roman" w:hAnsi="Courier New" w:cs="Times New Roman"/>
      <w:sz w:val="24"/>
      <w:szCs w:val="20"/>
      <w:lang w:val="en-US" w:eastAsia="es-ES"/>
    </w:rPr>
  </w:style>
  <w:style w:type="character" w:customStyle="1" w:styleId="N1IFTCar">
    <w:name w:val="N1 IFT Car"/>
    <w:basedOn w:val="Fuentedeprrafopredeter"/>
    <w:link w:val="N1IFT"/>
    <w:locked/>
    <w:rsid w:val="00A74B03"/>
    <w:rPr>
      <w:rFonts w:ascii="ITC Avant Garde" w:eastAsia="Calibri" w:hAnsi="ITC Avant Garde" w:cs="Arial"/>
      <w:b/>
      <w:color w:val="000000"/>
      <w:lang w:val="es-ES" w:eastAsia="es-ES"/>
    </w:rPr>
  </w:style>
  <w:style w:type="paragraph" w:styleId="Textoindependiente2">
    <w:name w:val="Body Text 2"/>
    <w:basedOn w:val="Normal"/>
    <w:link w:val="Textoindependiente2Car"/>
    <w:semiHidden/>
    <w:unhideWhenUsed/>
    <w:rsid w:val="00526FE9"/>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semiHidden/>
    <w:rsid w:val="00526FE9"/>
    <w:rPr>
      <w:rFonts w:ascii="Times New Roman" w:eastAsia="Times New Roman" w:hAnsi="Times New Roman" w:cs="Times New Roman"/>
      <w:sz w:val="24"/>
      <w:szCs w:val="24"/>
      <w:lang w:val="es-ES" w:eastAsia="es-ES"/>
    </w:rPr>
  </w:style>
  <w:style w:type="character" w:customStyle="1" w:styleId="TtuloCar1">
    <w:name w:val="Título Car1"/>
    <w:link w:val="Ttulo"/>
    <w:locked/>
    <w:rsid w:val="00526FE9"/>
    <w:rPr>
      <w:rFonts w:ascii="Cambria" w:hAnsi="Cambria"/>
      <w:b/>
      <w:bCs/>
      <w:kern w:val="28"/>
      <w:sz w:val="32"/>
      <w:szCs w:val="32"/>
      <w:lang w:val="es-ES" w:eastAsia="es-ES"/>
    </w:rPr>
  </w:style>
  <w:style w:type="paragraph" w:customStyle="1" w:styleId="Ttulo">
    <w:name w:val="Título"/>
    <w:basedOn w:val="Normal"/>
    <w:link w:val="TtuloCar1"/>
    <w:qFormat/>
    <w:locked/>
    <w:rsid w:val="00526FE9"/>
    <w:pPr>
      <w:spacing w:after="0" w:line="240" w:lineRule="auto"/>
      <w:jc w:val="center"/>
    </w:pPr>
    <w:rPr>
      <w:rFonts w:ascii="Cambria" w:hAnsi="Cambria"/>
      <w:b/>
      <w:bCs/>
      <w:kern w:val="28"/>
      <w:sz w:val="32"/>
      <w:szCs w:val="32"/>
      <w:lang w:val="es-ES" w:eastAsia="es-ES"/>
    </w:rPr>
  </w:style>
  <w:style w:type="paragraph" w:customStyle="1" w:styleId="Revisin1">
    <w:name w:val="Revisión1"/>
    <w:semiHidden/>
    <w:rsid w:val="00526FE9"/>
    <w:pPr>
      <w:spacing w:after="0" w:line="240" w:lineRule="auto"/>
    </w:pPr>
    <w:rPr>
      <w:rFonts w:ascii="Times New Roman" w:eastAsia="Times New Roman" w:hAnsi="Times New Roman" w:cs="Times New Roman"/>
      <w:sz w:val="24"/>
      <w:szCs w:val="24"/>
      <w:lang w:val="es-ES" w:eastAsia="es-ES"/>
    </w:rPr>
  </w:style>
  <w:style w:type="paragraph" w:customStyle="1" w:styleId="Level3">
    <w:name w:val="Level 3"/>
    <w:basedOn w:val="Normal"/>
    <w:rsid w:val="00526FE9"/>
    <w:pPr>
      <w:widowControl w:val="0"/>
      <w:spacing w:after="0" w:line="240" w:lineRule="auto"/>
      <w:ind w:left="2160" w:hanging="720"/>
    </w:pPr>
    <w:rPr>
      <w:rFonts w:ascii="Courier New" w:eastAsia="Times New Roman" w:hAnsi="Courier New" w:cs="Times New Roman"/>
      <w:sz w:val="24"/>
      <w:szCs w:val="20"/>
      <w:lang w:val="en-US" w:eastAsia="es-ES"/>
    </w:rPr>
  </w:style>
  <w:style w:type="paragraph" w:customStyle="1" w:styleId="font5">
    <w:name w:val="font5"/>
    <w:basedOn w:val="Normal"/>
    <w:rsid w:val="00526FE9"/>
    <w:pPr>
      <w:spacing w:before="100" w:beforeAutospacing="1" w:after="100" w:afterAutospacing="1" w:line="240" w:lineRule="auto"/>
    </w:pPr>
    <w:rPr>
      <w:rFonts w:ascii="Tahoma" w:eastAsia="Times New Roman" w:hAnsi="Tahoma" w:cs="Tahoma"/>
      <w:sz w:val="20"/>
      <w:szCs w:val="20"/>
      <w:lang w:eastAsia="es-MX"/>
    </w:rPr>
  </w:style>
  <w:style w:type="paragraph" w:customStyle="1" w:styleId="font6">
    <w:name w:val="font6"/>
    <w:basedOn w:val="Normal"/>
    <w:rsid w:val="00526FE9"/>
    <w:pPr>
      <w:spacing w:before="100" w:beforeAutospacing="1" w:after="100" w:afterAutospacing="1" w:line="240" w:lineRule="auto"/>
    </w:pPr>
    <w:rPr>
      <w:rFonts w:ascii="Tahoma" w:eastAsia="Times New Roman" w:hAnsi="Tahoma" w:cs="Tahoma"/>
      <w:sz w:val="16"/>
      <w:szCs w:val="16"/>
      <w:lang w:eastAsia="es-MX"/>
    </w:rPr>
  </w:style>
  <w:style w:type="paragraph" w:customStyle="1" w:styleId="font7">
    <w:name w:val="font7"/>
    <w:basedOn w:val="Normal"/>
    <w:rsid w:val="00526FE9"/>
    <w:pPr>
      <w:spacing w:before="100" w:beforeAutospacing="1" w:after="100" w:afterAutospacing="1" w:line="240" w:lineRule="auto"/>
    </w:pPr>
    <w:rPr>
      <w:rFonts w:ascii="Tahoma" w:eastAsia="Times New Roman" w:hAnsi="Tahoma" w:cs="Tahoma"/>
      <w:color w:val="FF0000"/>
      <w:sz w:val="16"/>
      <w:szCs w:val="16"/>
      <w:lang w:eastAsia="es-MX"/>
    </w:rPr>
  </w:style>
  <w:style w:type="paragraph" w:customStyle="1" w:styleId="font8">
    <w:name w:val="font8"/>
    <w:basedOn w:val="Normal"/>
    <w:rsid w:val="00526FE9"/>
    <w:pPr>
      <w:spacing w:before="100" w:beforeAutospacing="1" w:after="100" w:afterAutospacing="1" w:line="240" w:lineRule="auto"/>
    </w:pPr>
    <w:rPr>
      <w:rFonts w:ascii="Tahoma" w:eastAsia="Times New Roman" w:hAnsi="Tahoma" w:cs="Tahoma"/>
      <w:color w:val="FF0000"/>
      <w:sz w:val="24"/>
      <w:szCs w:val="24"/>
      <w:lang w:eastAsia="es-MX"/>
    </w:rPr>
  </w:style>
  <w:style w:type="paragraph" w:customStyle="1" w:styleId="xl63">
    <w:name w:val="xl63"/>
    <w:basedOn w:val="Normal"/>
    <w:rsid w:val="00526FE9"/>
    <w:pPr>
      <w:spacing w:before="100" w:beforeAutospacing="1" w:after="100" w:afterAutospacing="1" w:line="240" w:lineRule="auto"/>
    </w:pPr>
    <w:rPr>
      <w:rFonts w:ascii="Arial" w:eastAsia="Times New Roman" w:hAnsi="Arial" w:cs="Arial"/>
      <w:i/>
      <w:iCs/>
      <w:lang w:eastAsia="es-MX"/>
    </w:rPr>
  </w:style>
  <w:style w:type="paragraph" w:customStyle="1" w:styleId="xl64">
    <w:name w:val="xl64"/>
    <w:basedOn w:val="Normal"/>
    <w:rsid w:val="00526FE9"/>
    <w:pPr>
      <w:spacing w:before="100" w:beforeAutospacing="1" w:after="100" w:afterAutospacing="1" w:line="240" w:lineRule="auto"/>
    </w:pPr>
    <w:rPr>
      <w:rFonts w:ascii="Arial" w:eastAsia="Times New Roman" w:hAnsi="Arial" w:cs="Arial"/>
      <w:sz w:val="16"/>
      <w:szCs w:val="16"/>
      <w:lang w:eastAsia="es-MX"/>
    </w:rPr>
  </w:style>
  <w:style w:type="paragraph" w:customStyle="1" w:styleId="xl65">
    <w:name w:val="xl65"/>
    <w:basedOn w:val="Normal"/>
    <w:rsid w:val="00526FE9"/>
    <w:pPr>
      <w:spacing w:before="100" w:beforeAutospacing="1" w:after="100" w:afterAutospacing="1" w:line="240" w:lineRule="auto"/>
    </w:pPr>
    <w:rPr>
      <w:rFonts w:ascii="Arial" w:eastAsia="Times New Roman" w:hAnsi="Arial" w:cs="Arial"/>
      <w:i/>
      <w:iCs/>
      <w:sz w:val="16"/>
      <w:szCs w:val="16"/>
      <w:lang w:eastAsia="es-MX"/>
    </w:rPr>
  </w:style>
  <w:style w:type="paragraph" w:customStyle="1" w:styleId="xl66">
    <w:name w:val="xl66"/>
    <w:basedOn w:val="Normal"/>
    <w:rsid w:val="00526FE9"/>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7">
    <w:name w:val="xl67"/>
    <w:basedOn w:val="Normal"/>
    <w:rsid w:val="00526FE9"/>
    <w:pPr>
      <w:spacing w:before="100" w:beforeAutospacing="1" w:after="100" w:afterAutospacing="1" w:line="240" w:lineRule="auto"/>
    </w:pPr>
    <w:rPr>
      <w:rFonts w:ascii="Arial" w:eastAsia="Times New Roman" w:hAnsi="Arial" w:cs="Arial"/>
      <w:lang w:eastAsia="es-MX"/>
    </w:rPr>
  </w:style>
  <w:style w:type="paragraph" w:customStyle="1" w:styleId="xl68">
    <w:name w:val="xl68"/>
    <w:basedOn w:val="Normal"/>
    <w:rsid w:val="00526FE9"/>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526FE9"/>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526FE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
    <w:name w:val="xl71"/>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72">
    <w:name w:val="xl72"/>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73">
    <w:name w:val="xl73"/>
    <w:basedOn w:val="Normal"/>
    <w:rsid w:val="00526FE9"/>
    <w:pPr>
      <w:pBdr>
        <w:left w:val="single" w:sz="4" w:space="0" w:color="auto"/>
        <w:bottom w:val="single" w:sz="4" w:space="0" w:color="auto"/>
      </w:pBdr>
      <w:shd w:val="clear" w:color="auto" w:fill="C0C0C0"/>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74">
    <w:name w:val="xl74"/>
    <w:basedOn w:val="Normal"/>
    <w:rsid w:val="00526FE9"/>
    <w:pPr>
      <w:pBdr>
        <w:left w:val="single" w:sz="4" w:space="0" w:color="auto"/>
        <w:bottom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75">
    <w:name w:val="xl75"/>
    <w:basedOn w:val="Normal"/>
    <w:rsid w:val="00526FE9"/>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76">
    <w:name w:val="xl76"/>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77">
    <w:name w:val="xl77"/>
    <w:basedOn w:val="Normal"/>
    <w:rsid w:val="00526FE9"/>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78">
    <w:name w:val="xl78"/>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79">
    <w:name w:val="xl79"/>
    <w:basedOn w:val="Normal"/>
    <w:rsid w:val="00526FE9"/>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color w:val="FF0000"/>
      <w:sz w:val="24"/>
      <w:szCs w:val="24"/>
      <w:lang w:eastAsia="es-MX"/>
    </w:rPr>
  </w:style>
  <w:style w:type="paragraph" w:customStyle="1" w:styleId="xl80">
    <w:name w:val="xl80"/>
    <w:basedOn w:val="Normal"/>
    <w:rsid w:val="00526FE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81">
    <w:name w:val="xl81"/>
    <w:basedOn w:val="Normal"/>
    <w:rsid w:val="00526FE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82">
    <w:name w:val="xl82"/>
    <w:basedOn w:val="Normal"/>
    <w:rsid w:val="00526FE9"/>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83">
    <w:name w:val="xl83"/>
    <w:basedOn w:val="Normal"/>
    <w:rsid w:val="00526FE9"/>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84">
    <w:name w:val="xl84"/>
    <w:basedOn w:val="Normal"/>
    <w:rsid w:val="00526FE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es-MX"/>
    </w:rPr>
  </w:style>
  <w:style w:type="paragraph" w:customStyle="1" w:styleId="xl85">
    <w:name w:val="xl85"/>
    <w:basedOn w:val="Normal"/>
    <w:rsid w:val="00526FE9"/>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526FE9"/>
    <w:pPr>
      <w:spacing w:before="100" w:beforeAutospacing="1" w:after="100" w:afterAutospacing="1" w:line="240" w:lineRule="auto"/>
    </w:pPr>
    <w:rPr>
      <w:rFonts w:ascii="Tahoma" w:eastAsia="Times New Roman" w:hAnsi="Tahoma" w:cs="Tahoma"/>
      <w:sz w:val="24"/>
      <w:szCs w:val="24"/>
      <w:u w:val="single"/>
      <w:lang w:eastAsia="es-MX"/>
    </w:rPr>
  </w:style>
  <w:style w:type="paragraph" w:customStyle="1" w:styleId="xl87">
    <w:name w:val="xl87"/>
    <w:basedOn w:val="Normal"/>
    <w:rsid w:val="00526FE9"/>
    <w:pPr>
      <w:spacing w:before="100" w:beforeAutospacing="1" w:after="100" w:afterAutospacing="1" w:line="240" w:lineRule="auto"/>
    </w:pPr>
    <w:rPr>
      <w:rFonts w:ascii="Tahoma" w:eastAsia="Times New Roman" w:hAnsi="Tahoma" w:cs="Tahoma"/>
      <w:b/>
      <w:bCs/>
      <w:sz w:val="24"/>
      <w:szCs w:val="24"/>
      <w:u w:val="single"/>
      <w:lang w:eastAsia="es-MX"/>
    </w:rPr>
  </w:style>
  <w:style w:type="paragraph" w:customStyle="1" w:styleId="xl88">
    <w:name w:val="xl88"/>
    <w:basedOn w:val="Normal"/>
    <w:rsid w:val="00526FE9"/>
    <w:pPr>
      <w:pBdr>
        <w:bottom w:val="single" w:sz="4" w:space="0" w:color="auto"/>
      </w:pBdr>
      <w:shd w:val="clear" w:color="auto" w:fill="C0C0C0"/>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89">
    <w:name w:val="xl89"/>
    <w:basedOn w:val="Normal"/>
    <w:rsid w:val="00526FE9"/>
    <w:pPr>
      <w:spacing w:before="100" w:beforeAutospacing="1" w:after="100" w:afterAutospacing="1" w:line="240" w:lineRule="auto"/>
    </w:pPr>
    <w:rPr>
      <w:rFonts w:ascii="Tahoma" w:eastAsia="Times New Roman" w:hAnsi="Tahoma" w:cs="Tahoma"/>
      <w:b/>
      <w:bCs/>
      <w:color w:val="FF0000"/>
      <w:sz w:val="24"/>
      <w:szCs w:val="24"/>
      <w:lang w:eastAsia="es-MX"/>
    </w:rPr>
  </w:style>
  <w:style w:type="paragraph" w:customStyle="1" w:styleId="xl90">
    <w:name w:val="xl90"/>
    <w:basedOn w:val="Normal"/>
    <w:rsid w:val="00526FE9"/>
    <w:pPr>
      <w:spacing w:before="100" w:beforeAutospacing="1" w:after="100" w:afterAutospacing="1" w:line="240" w:lineRule="auto"/>
    </w:pPr>
    <w:rPr>
      <w:rFonts w:ascii="Tahoma" w:eastAsia="Times New Roman" w:hAnsi="Tahoma" w:cs="Tahoma"/>
      <w:b/>
      <w:bCs/>
      <w:color w:val="FF0000"/>
      <w:sz w:val="24"/>
      <w:szCs w:val="24"/>
      <w:lang w:eastAsia="es-MX"/>
    </w:rPr>
  </w:style>
  <w:style w:type="paragraph" w:customStyle="1" w:styleId="xl91">
    <w:name w:val="xl91"/>
    <w:basedOn w:val="Normal"/>
    <w:rsid w:val="00526FE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92">
    <w:name w:val="xl92"/>
    <w:basedOn w:val="Normal"/>
    <w:rsid w:val="00526FE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93">
    <w:name w:val="xl93"/>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94">
    <w:name w:val="xl94"/>
    <w:basedOn w:val="Normal"/>
    <w:rsid w:val="00526FE9"/>
    <w:pP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95">
    <w:name w:val="xl95"/>
    <w:basedOn w:val="Normal"/>
    <w:rsid w:val="00526FE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96">
    <w:name w:val="xl96"/>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97">
    <w:name w:val="xl97"/>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98">
    <w:name w:val="xl98"/>
    <w:basedOn w:val="Normal"/>
    <w:rsid w:val="00526FE9"/>
    <w:pPr>
      <w:pBdr>
        <w:left w:val="single" w:sz="4" w:space="0" w:color="auto"/>
        <w:bottom w:val="single" w:sz="4" w:space="0" w:color="auto"/>
      </w:pBdr>
      <w:shd w:val="clear" w:color="auto" w:fill="C0C0C0"/>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99">
    <w:name w:val="xl99"/>
    <w:basedOn w:val="Normal"/>
    <w:rsid w:val="00526FE9"/>
    <w:pPr>
      <w:pBdr>
        <w:left w:val="single" w:sz="4" w:space="0" w:color="auto"/>
        <w:bottom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00">
    <w:name w:val="xl100"/>
    <w:basedOn w:val="Normal"/>
    <w:rsid w:val="00526FE9"/>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01">
    <w:name w:val="xl101"/>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02">
    <w:name w:val="xl102"/>
    <w:basedOn w:val="Normal"/>
    <w:rsid w:val="00526FE9"/>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03">
    <w:name w:val="xl103"/>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04">
    <w:name w:val="xl104"/>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05">
    <w:name w:val="xl105"/>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06">
    <w:name w:val="xl106"/>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993366"/>
      <w:sz w:val="24"/>
      <w:szCs w:val="24"/>
      <w:lang w:eastAsia="es-MX"/>
    </w:rPr>
  </w:style>
  <w:style w:type="paragraph" w:customStyle="1" w:styleId="xl107">
    <w:name w:val="xl107"/>
    <w:basedOn w:val="Normal"/>
    <w:rsid w:val="00526FE9"/>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color w:val="993366"/>
      <w:sz w:val="24"/>
      <w:szCs w:val="24"/>
      <w:lang w:eastAsia="es-MX"/>
    </w:rPr>
  </w:style>
  <w:style w:type="paragraph" w:customStyle="1" w:styleId="xl108">
    <w:name w:val="xl108"/>
    <w:basedOn w:val="Normal"/>
    <w:rsid w:val="00526FE9"/>
    <w:pPr>
      <w:pBdr>
        <w:left w:val="single" w:sz="4" w:space="0" w:color="auto"/>
        <w:bottom w:val="single" w:sz="4" w:space="0" w:color="auto"/>
      </w:pBdr>
      <w:spacing w:before="100" w:beforeAutospacing="1" w:after="100" w:afterAutospacing="1" w:line="240" w:lineRule="auto"/>
    </w:pPr>
    <w:rPr>
      <w:rFonts w:ascii="Tahoma" w:eastAsia="Times New Roman" w:hAnsi="Tahoma" w:cs="Tahoma"/>
      <w:b/>
      <w:bCs/>
      <w:color w:val="993366"/>
      <w:sz w:val="24"/>
      <w:szCs w:val="24"/>
      <w:lang w:eastAsia="es-MX"/>
    </w:rPr>
  </w:style>
  <w:style w:type="paragraph" w:customStyle="1" w:styleId="xl109">
    <w:name w:val="xl109"/>
    <w:basedOn w:val="Normal"/>
    <w:rsid w:val="00526FE9"/>
    <w:pPr>
      <w:pBdr>
        <w:left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color w:val="993366"/>
      <w:sz w:val="24"/>
      <w:szCs w:val="24"/>
      <w:lang w:eastAsia="es-MX"/>
    </w:rPr>
  </w:style>
  <w:style w:type="paragraph" w:customStyle="1" w:styleId="xl110">
    <w:name w:val="xl110"/>
    <w:basedOn w:val="Normal"/>
    <w:rsid w:val="00526FE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11">
    <w:name w:val="xl111"/>
    <w:basedOn w:val="Normal"/>
    <w:rsid w:val="00526FE9"/>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12">
    <w:name w:val="xl112"/>
    <w:basedOn w:val="Normal"/>
    <w:rsid w:val="00526FE9"/>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13">
    <w:name w:val="xl113"/>
    <w:basedOn w:val="Normal"/>
    <w:rsid w:val="00526FE9"/>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b/>
      <w:bCs/>
      <w:color w:val="993366"/>
      <w:sz w:val="24"/>
      <w:szCs w:val="24"/>
      <w:lang w:eastAsia="es-MX"/>
    </w:rPr>
  </w:style>
  <w:style w:type="paragraph" w:customStyle="1" w:styleId="xl114">
    <w:name w:val="xl114"/>
    <w:basedOn w:val="Normal"/>
    <w:rsid w:val="00526FE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15">
    <w:name w:val="xl115"/>
    <w:basedOn w:val="Normal"/>
    <w:rsid w:val="00526FE9"/>
    <w:pPr>
      <w:spacing w:before="100" w:beforeAutospacing="1" w:after="100" w:afterAutospacing="1" w:line="240" w:lineRule="auto"/>
      <w:jc w:val="center"/>
    </w:pPr>
    <w:rPr>
      <w:rFonts w:ascii="Tahoma" w:eastAsia="Times New Roman" w:hAnsi="Tahoma" w:cs="Tahoma"/>
      <w:b/>
      <w:bCs/>
      <w:color w:val="FF0000"/>
      <w:sz w:val="24"/>
      <w:szCs w:val="24"/>
      <w:lang w:eastAsia="es-MX"/>
    </w:rPr>
  </w:style>
  <w:style w:type="paragraph" w:customStyle="1" w:styleId="xl116">
    <w:name w:val="xl116"/>
    <w:basedOn w:val="Normal"/>
    <w:rsid w:val="00526FE9"/>
    <w:pPr>
      <w:spacing w:before="100" w:beforeAutospacing="1" w:after="100" w:afterAutospacing="1" w:line="240" w:lineRule="auto"/>
      <w:jc w:val="center"/>
    </w:pPr>
    <w:rPr>
      <w:rFonts w:ascii="Tahoma" w:eastAsia="Times New Roman" w:hAnsi="Tahoma" w:cs="Tahoma"/>
      <w:b/>
      <w:bCs/>
      <w:color w:val="FF6600"/>
      <w:sz w:val="24"/>
      <w:szCs w:val="24"/>
      <w:lang w:eastAsia="es-MX"/>
    </w:rPr>
  </w:style>
  <w:style w:type="paragraph" w:customStyle="1" w:styleId="xl117">
    <w:name w:val="xl117"/>
    <w:basedOn w:val="Normal"/>
    <w:rsid w:val="00526FE9"/>
    <w:pPr>
      <w:spacing w:before="100" w:beforeAutospacing="1" w:after="100" w:afterAutospacing="1" w:line="240" w:lineRule="auto"/>
    </w:pPr>
    <w:rPr>
      <w:rFonts w:ascii="Tahoma" w:eastAsia="Times New Roman" w:hAnsi="Tahoma" w:cs="Tahoma"/>
      <w:b/>
      <w:bCs/>
      <w:i/>
      <w:iCs/>
      <w:color w:val="FF0000"/>
      <w:sz w:val="24"/>
      <w:szCs w:val="24"/>
      <w:lang w:eastAsia="es-MX"/>
    </w:rPr>
  </w:style>
  <w:style w:type="paragraph" w:customStyle="1" w:styleId="xl118">
    <w:name w:val="xl118"/>
    <w:basedOn w:val="Normal"/>
    <w:rsid w:val="00526FE9"/>
    <w:pPr>
      <w:spacing w:before="100" w:beforeAutospacing="1" w:after="100" w:afterAutospacing="1" w:line="240" w:lineRule="auto"/>
    </w:pPr>
    <w:rPr>
      <w:rFonts w:ascii="Tahoma" w:eastAsia="Times New Roman" w:hAnsi="Tahoma" w:cs="Tahoma"/>
      <w:sz w:val="24"/>
      <w:szCs w:val="24"/>
      <w:lang w:eastAsia="es-MX"/>
    </w:rPr>
  </w:style>
  <w:style w:type="paragraph" w:customStyle="1" w:styleId="xl119">
    <w:name w:val="xl119"/>
    <w:basedOn w:val="Normal"/>
    <w:rsid w:val="00526FE9"/>
    <w:pPr>
      <w:spacing w:before="100" w:beforeAutospacing="1" w:after="100" w:afterAutospacing="1" w:line="240" w:lineRule="auto"/>
    </w:pPr>
    <w:rPr>
      <w:rFonts w:ascii="Tahoma" w:eastAsia="Times New Roman" w:hAnsi="Tahoma" w:cs="Tahoma"/>
      <w:b/>
      <w:bCs/>
      <w:i/>
      <w:iCs/>
      <w:color w:val="FF0000"/>
      <w:sz w:val="16"/>
      <w:szCs w:val="16"/>
      <w:lang w:eastAsia="es-MX"/>
    </w:rPr>
  </w:style>
  <w:style w:type="paragraph" w:customStyle="1" w:styleId="xl120">
    <w:name w:val="xl120"/>
    <w:basedOn w:val="Normal"/>
    <w:rsid w:val="00526FE9"/>
    <w:pPr>
      <w:spacing w:before="100" w:beforeAutospacing="1" w:after="100" w:afterAutospacing="1" w:line="240" w:lineRule="auto"/>
    </w:pPr>
    <w:rPr>
      <w:rFonts w:ascii="Tahoma" w:eastAsia="Times New Roman" w:hAnsi="Tahoma" w:cs="Tahoma"/>
      <w:sz w:val="24"/>
      <w:szCs w:val="24"/>
      <w:lang w:eastAsia="es-MX"/>
    </w:rPr>
  </w:style>
  <w:style w:type="paragraph" w:customStyle="1" w:styleId="xl121">
    <w:name w:val="xl121"/>
    <w:basedOn w:val="Normal"/>
    <w:rsid w:val="00526FE9"/>
    <w:pPr>
      <w:shd w:val="clear" w:color="auto" w:fill="969696"/>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2">
    <w:name w:val="xl122"/>
    <w:basedOn w:val="Normal"/>
    <w:rsid w:val="00526FE9"/>
    <w:pPr>
      <w:shd w:val="clear" w:color="auto" w:fill="969696"/>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3">
    <w:name w:val="xl123"/>
    <w:basedOn w:val="Normal"/>
    <w:rsid w:val="00526FE9"/>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26FE9"/>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5">
    <w:name w:val="xl125"/>
    <w:basedOn w:val="Normal"/>
    <w:rsid w:val="00526FE9"/>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rsid w:val="00526FE9"/>
    <w:pPr>
      <w:spacing w:before="100" w:beforeAutospacing="1" w:after="100" w:afterAutospacing="1" w:line="240" w:lineRule="auto"/>
    </w:pPr>
    <w:rPr>
      <w:rFonts w:ascii="Arial" w:eastAsia="Times New Roman" w:hAnsi="Arial" w:cs="Arial"/>
      <w:b/>
      <w:bCs/>
      <w:i/>
      <w:iCs/>
      <w:color w:val="800080"/>
      <w:sz w:val="24"/>
      <w:szCs w:val="24"/>
      <w:lang w:eastAsia="es-MX"/>
    </w:rPr>
  </w:style>
  <w:style w:type="paragraph" w:customStyle="1" w:styleId="xl127">
    <w:name w:val="xl127"/>
    <w:basedOn w:val="Normal"/>
    <w:rsid w:val="00526FE9"/>
    <w:pPr>
      <w:spacing w:before="100" w:beforeAutospacing="1" w:after="100" w:afterAutospacing="1" w:line="240" w:lineRule="auto"/>
    </w:pPr>
    <w:rPr>
      <w:rFonts w:ascii="Arial" w:eastAsia="Times New Roman" w:hAnsi="Arial" w:cs="Arial"/>
      <w:b/>
      <w:bCs/>
      <w:i/>
      <w:iCs/>
      <w:color w:val="800080"/>
      <w:sz w:val="24"/>
      <w:szCs w:val="24"/>
      <w:lang w:eastAsia="es-MX"/>
    </w:rPr>
  </w:style>
  <w:style w:type="paragraph" w:customStyle="1" w:styleId="xl128">
    <w:name w:val="xl128"/>
    <w:basedOn w:val="Normal"/>
    <w:rsid w:val="00526FE9"/>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9">
    <w:name w:val="xl129"/>
    <w:basedOn w:val="Normal"/>
    <w:rsid w:val="00526FE9"/>
    <w:pPr>
      <w:pBdr>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30">
    <w:name w:val="xl130"/>
    <w:basedOn w:val="Normal"/>
    <w:rsid w:val="00526FE9"/>
    <w:pPr>
      <w:pBdr>
        <w:left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31">
    <w:name w:val="xl131"/>
    <w:basedOn w:val="Normal"/>
    <w:rsid w:val="00526FE9"/>
    <w:pPr>
      <w:pBdr>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32">
    <w:name w:val="xl132"/>
    <w:basedOn w:val="Normal"/>
    <w:rsid w:val="00526FE9"/>
    <w:pPr>
      <w:pBdr>
        <w:top w:val="single" w:sz="4" w:space="0" w:color="auto"/>
        <w:left w:val="single" w:sz="4" w:space="0" w:color="auto"/>
      </w:pBdr>
      <w:spacing w:before="100" w:beforeAutospacing="1" w:after="100" w:afterAutospacing="1" w:line="240" w:lineRule="auto"/>
    </w:pPr>
    <w:rPr>
      <w:rFonts w:ascii="Tahoma" w:eastAsia="Times New Roman" w:hAnsi="Tahoma" w:cs="Tahoma"/>
      <w:b/>
      <w:bCs/>
      <w:sz w:val="16"/>
      <w:szCs w:val="16"/>
      <w:lang w:eastAsia="es-MX"/>
    </w:rPr>
  </w:style>
  <w:style w:type="paragraph" w:customStyle="1" w:styleId="xl133">
    <w:name w:val="xl133"/>
    <w:basedOn w:val="Normal"/>
    <w:rsid w:val="00526FE9"/>
    <w:pPr>
      <w:pBdr>
        <w:top w:val="single" w:sz="4" w:space="0" w:color="auto"/>
      </w:pBdr>
      <w:spacing w:before="100" w:beforeAutospacing="1" w:after="100" w:afterAutospacing="1" w:line="240" w:lineRule="auto"/>
    </w:pPr>
    <w:rPr>
      <w:rFonts w:ascii="Tahoma" w:eastAsia="Times New Roman" w:hAnsi="Tahoma" w:cs="Tahoma"/>
      <w:b/>
      <w:bCs/>
      <w:sz w:val="16"/>
      <w:szCs w:val="16"/>
      <w:lang w:eastAsia="es-MX"/>
    </w:rPr>
  </w:style>
  <w:style w:type="paragraph" w:customStyle="1" w:styleId="xl134">
    <w:name w:val="xl134"/>
    <w:basedOn w:val="Normal"/>
    <w:rsid w:val="00526FE9"/>
    <w:pPr>
      <w:pBdr>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35">
    <w:name w:val="xl135"/>
    <w:basedOn w:val="Normal"/>
    <w:rsid w:val="00526FE9"/>
    <w:pPr>
      <w:pBdr>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36">
    <w:name w:val="xl136"/>
    <w:basedOn w:val="Normal"/>
    <w:rsid w:val="00526FE9"/>
    <w:pP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37">
    <w:name w:val="xl137"/>
    <w:basedOn w:val="Normal"/>
    <w:rsid w:val="00526FE9"/>
    <w:pPr>
      <w:pBdr>
        <w:bottom w:val="single" w:sz="4" w:space="0" w:color="auto"/>
      </w:pBdr>
      <w:spacing w:before="100" w:beforeAutospacing="1" w:after="100" w:afterAutospacing="1" w:line="240" w:lineRule="auto"/>
    </w:pPr>
    <w:rPr>
      <w:rFonts w:ascii="Tahoma" w:eastAsia="Times New Roman" w:hAnsi="Tahoma" w:cs="Tahoma"/>
      <w:b/>
      <w:bCs/>
      <w:sz w:val="16"/>
      <w:szCs w:val="16"/>
      <w:lang w:eastAsia="es-MX"/>
    </w:rPr>
  </w:style>
  <w:style w:type="paragraph" w:customStyle="1" w:styleId="xl138">
    <w:name w:val="xl138"/>
    <w:basedOn w:val="Normal"/>
    <w:rsid w:val="00526FE9"/>
    <w:pPr>
      <w:pBdr>
        <w:bottom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eastAsia="es-MX"/>
    </w:rPr>
  </w:style>
  <w:style w:type="paragraph" w:customStyle="1" w:styleId="xl139">
    <w:name w:val="xl139"/>
    <w:basedOn w:val="Normal"/>
    <w:rsid w:val="00526FE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0">
    <w:name w:val="xl140"/>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1">
    <w:name w:val="xl141"/>
    <w:basedOn w:val="Normal"/>
    <w:rsid w:val="00526FE9"/>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2">
    <w:name w:val="xl142"/>
    <w:basedOn w:val="Normal"/>
    <w:rsid w:val="00526FE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3">
    <w:name w:val="xl143"/>
    <w:basedOn w:val="Normal"/>
    <w:rsid w:val="00526FE9"/>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eastAsia="es-MX"/>
    </w:rPr>
  </w:style>
  <w:style w:type="paragraph" w:customStyle="1" w:styleId="xl144">
    <w:name w:val="xl144"/>
    <w:basedOn w:val="Normal"/>
    <w:rsid w:val="00526FE9"/>
    <w:pPr>
      <w:pBdr>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45">
    <w:name w:val="xl145"/>
    <w:basedOn w:val="Normal"/>
    <w:rsid w:val="00526FE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6">
    <w:name w:val="xl146"/>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7">
    <w:name w:val="xl147"/>
    <w:basedOn w:val="Normal"/>
    <w:rsid w:val="00526FE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48">
    <w:name w:val="xl148"/>
    <w:basedOn w:val="Normal"/>
    <w:rsid w:val="00526FE9"/>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49">
    <w:name w:val="xl149"/>
    <w:basedOn w:val="Normal"/>
    <w:rsid w:val="00526FE9"/>
    <w:pPr>
      <w:pBdr>
        <w:top w:val="single" w:sz="4" w:space="0" w:color="auto"/>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50">
    <w:name w:val="xl150"/>
    <w:basedOn w:val="Normal"/>
    <w:rsid w:val="00526FE9"/>
    <w:pPr>
      <w:pBdr>
        <w:top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51">
    <w:name w:val="xl151"/>
    <w:basedOn w:val="Normal"/>
    <w:rsid w:val="00526FE9"/>
    <w:pPr>
      <w:pBdr>
        <w:top w:val="single" w:sz="4" w:space="0" w:color="auto"/>
        <w:left w:val="single" w:sz="4" w:space="0" w:color="auto"/>
      </w:pBdr>
      <w:spacing w:before="100" w:beforeAutospacing="1" w:after="100" w:afterAutospacing="1" w:line="240" w:lineRule="auto"/>
    </w:pPr>
    <w:rPr>
      <w:rFonts w:ascii="Tahoma" w:eastAsia="Times New Roman" w:hAnsi="Tahoma" w:cs="Tahoma"/>
      <w:b/>
      <w:bCs/>
      <w:i/>
      <w:iCs/>
      <w:color w:val="FF0000"/>
      <w:sz w:val="16"/>
      <w:szCs w:val="16"/>
      <w:lang w:eastAsia="es-MX"/>
    </w:rPr>
  </w:style>
  <w:style w:type="paragraph" w:customStyle="1" w:styleId="xl152">
    <w:name w:val="xl152"/>
    <w:basedOn w:val="Normal"/>
    <w:rsid w:val="00526FE9"/>
    <w:pPr>
      <w:pBdr>
        <w:top w:val="single" w:sz="4" w:space="0" w:color="auto"/>
      </w:pBdr>
      <w:spacing w:before="100" w:beforeAutospacing="1" w:after="100" w:afterAutospacing="1" w:line="240" w:lineRule="auto"/>
    </w:pPr>
    <w:rPr>
      <w:rFonts w:ascii="Tahoma" w:eastAsia="Times New Roman" w:hAnsi="Tahoma" w:cs="Tahoma"/>
      <w:color w:val="3366FF"/>
      <w:sz w:val="16"/>
      <w:szCs w:val="16"/>
      <w:lang w:eastAsia="es-MX"/>
    </w:rPr>
  </w:style>
  <w:style w:type="paragraph" w:customStyle="1" w:styleId="xl153">
    <w:name w:val="xl153"/>
    <w:basedOn w:val="Normal"/>
    <w:rsid w:val="00526FE9"/>
    <w:pPr>
      <w:pBdr>
        <w:top w:val="single" w:sz="4" w:space="0" w:color="auto"/>
      </w:pBdr>
      <w:spacing w:before="100" w:beforeAutospacing="1" w:after="100" w:afterAutospacing="1" w:line="240" w:lineRule="auto"/>
    </w:pPr>
    <w:rPr>
      <w:rFonts w:ascii="Tahoma" w:eastAsia="Times New Roman" w:hAnsi="Tahoma" w:cs="Tahoma"/>
      <w:b/>
      <w:bCs/>
      <w:color w:val="3366FF"/>
      <w:sz w:val="16"/>
      <w:szCs w:val="16"/>
      <w:lang w:eastAsia="es-MX"/>
    </w:rPr>
  </w:style>
  <w:style w:type="paragraph" w:customStyle="1" w:styleId="xl154">
    <w:name w:val="xl154"/>
    <w:basedOn w:val="Normal"/>
    <w:rsid w:val="00526FE9"/>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55">
    <w:name w:val="xl155"/>
    <w:basedOn w:val="Normal"/>
    <w:rsid w:val="00526FE9"/>
    <w:pPr>
      <w:pBdr>
        <w:top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56">
    <w:name w:val="xl156"/>
    <w:basedOn w:val="Normal"/>
    <w:rsid w:val="00526FE9"/>
    <w:pPr>
      <w:pBdr>
        <w:top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57">
    <w:name w:val="xl157"/>
    <w:basedOn w:val="Normal"/>
    <w:rsid w:val="00526FE9"/>
    <w:pPr>
      <w:pBdr>
        <w:top w:val="single" w:sz="4" w:space="0" w:color="auto"/>
      </w:pBdr>
      <w:spacing w:before="100" w:beforeAutospacing="1" w:after="100" w:afterAutospacing="1" w:line="240" w:lineRule="auto"/>
    </w:pPr>
    <w:rPr>
      <w:rFonts w:ascii="Tahoma" w:eastAsia="Times New Roman" w:hAnsi="Tahoma" w:cs="Tahoma"/>
      <w:b/>
      <w:bCs/>
      <w:i/>
      <w:iCs/>
      <w:color w:val="FF0000"/>
      <w:sz w:val="16"/>
      <w:szCs w:val="16"/>
      <w:lang w:eastAsia="es-MX"/>
    </w:rPr>
  </w:style>
  <w:style w:type="paragraph" w:customStyle="1" w:styleId="xl158">
    <w:name w:val="xl158"/>
    <w:basedOn w:val="Normal"/>
    <w:rsid w:val="00526FE9"/>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eastAsia="es-MX"/>
    </w:rPr>
  </w:style>
  <w:style w:type="paragraph" w:customStyle="1" w:styleId="xl159">
    <w:name w:val="xl159"/>
    <w:basedOn w:val="Normal"/>
    <w:rsid w:val="00526FE9"/>
    <w:pPr>
      <w:pBdr>
        <w:top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eastAsia="es-MX"/>
    </w:rPr>
  </w:style>
  <w:style w:type="paragraph" w:customStyle="1" w:styleId="xl160">
    <w:name w:val="xl160"/>
    <w:basedOn w:val="Normal"/>
    <w:rsid w:val="00526FE9"/>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b/>
      <w:bCs/>
      <w:i/>
      <w:iCs/>
      <w:color w:val="FF0000"/>
      <w:sz w:val="16"/>
      <w:szCs w:val="16"/>
      <w:lang w:eastAsia="es-MX"/>
    </w:rPr>
  </w:style>
  <w:style w:type="paragraph" w:customStyle="1" w:styleId="xl161">
    <w:name w:val="xl161"/>
    <w:basedOn w:val="Normal"/>
    <w:rsid w:val="00526FE9"/>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162">
    <w:name w:val="xl162"/>
    <w:basedOn w:val="Normal"/>
    <w:rsid w:val="00526FE9"/>
    <w:pPr>
      <w:pBdr>
        <w:top w:val="single" w:sz="4" w:space="0" w:color="auto"/>
      </w:pBdr>
      <w:spacing w:before="100" w:beforeAutospacing="1" w:after="100" w:afterAutospacing="1" w:line="240" w:lineRule="auto"/>
    </w:pPr>
    <w:rPr>
      <w:rFonts w:ascii="Arial" w:eastAsia="Times New Roman" w:hAnsi="Arial" w:cs="Arial"/>
      <w:b/>
      <w:bCs/>
      <w:sz w:val="16"/>
      <w:szCs w:val="16"/>
      <w:lang w:eastAsia="es-MX"/>
    </w:rPr>
  </w:style>
  <w:style w:type="paragraph" w:customStyle="1" w:styleId="xl163">
    <w:name w:val="xl163"/>
    <w:basedOn w:val="Normal"/>
    <w:rsid w:val="00526FE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64">
    <w:name w:val="xl164"/>
    <w:basedOn w:val="Normal"/>
    <w:rsid w:val="00526FE9"/>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165">
    <w:name w:val="xl165"/>
    <w:basedOn w:val="Normal"/>
    <w:rsid w:val="00526FE9"/>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16"/>
      <w:szCs w:val="16"/>
      <w:lang w:eastAsia="es-MX"/>
    </w:rPr>
  </w:style>
  <w:style w:type="paragraph" w:customStyle="1" w:styleId="xl166">
    <w:name w:val="xl166"/>
    <w:basedOn w:val="Normal"/>
    <w:rsid w:val="00526FE9"/>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67">
    <w:name w:val="xl167"/>
    <w:basedOn w:val="Normal"/>
    <w:rsid w:val="00526FE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68">
    <w:name w:val="xl168"/>
    <w:basedOn w:val="Normal"/>
    <w:rsid w:val="00526FE9"/>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169">
    <w:name w:val="xl169"/>
    <w:basedOn w:val="Normal"/>
    <w:rsid w:val="00526FE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70">
    <w:name w:val="xl170"/>
    <w:basedOn w:val="Normal"/>
    <w:rsid w:val="00526FE9"/>
    <w:pPr>
      <w:pBdr>
        <w:bottom w:val="single" w:sz="4" w:space="0" w:color="auto"/>
      </w:pBdr>
      <w:spacing w:before="100" w:beforeAutospacing="1" w:after="100" w:afterAutospacing="1" w:line="240" w:lineRule="auto"/>
    </w:pPr>
    <w:rPr>
      <w:rFonts w:ascii="Tahoma" w:eastAsia="Times New Roman" w:hAnsi="Tahoma" w:cs="Tahoma"/>
      <w:sz w:val="24"/>
      <w:szCs w:val="24"/>
      <w:lang w:eastAsia="es-MX"/>
    </w:rPr>
  </w:style>
  <w:style w:type="paragraph" w:customStyle="1" w:styleId="xl171">
    <w:name w:val="xl171"/>
    <w:basedOn w:val="Normal"/>
    <w:rsid w:val="00526F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72">
    <w:name w:val="xl172"/>
    <w:basedOn w:val="Normal"/>
    <w:rsid w:val="00526FE9"/>
    <w:pPr>
      <w:pBdr>
        <w:top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lang w:eastAsia="es-MX"/>
    </w:rPr>
  </w:style>
  <w:style w:type="paragraph" w:customStyle="1" w:styleId="xl173">
    <w:name w:val="xl173"/>
    <w:basedOn w:val="Normal"/>
    <w:rsid w:val="00526FE9"/>
    <w:pPr>
      <w:pBdr>
        <w:top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lang w:eastAsia="es-MX"/>
    </w:rPr>
  </w:style>
  <w:style w:type="paragraph" w:customStyle="1" w:styleId="xl174">
    <w:name w:val="xl174"/>
    <w:basedOn w:val="Normal"/>
    <w:rsid w:val="00526FE9"/>
    <w:pPr>
      <w:pBdr>
        <w:top w:val="single" w:sz="4" w:space="0" w:color="auto"/>
        <w:bottom w:val="single" w:sz="4" w:space="0" w:color="auto"/>
      </w:pBdr>
      <w:spacing w:before="100" w:beforeAutospacing="1" w:after="100" w:afterAutospacing="1" w:line="240" w:lineRule="auto"/>
    </w:pPr>
    <w:rPr>
      <w:rFonts w:ascii="Tahoma" w:eastAsia="Times New Roman" w:hAnsi="Tahoma" w:cs="Tahoma"/>
      <w:color w:val="3366FF"/>
      <w:sz w:val="24"/>
      <w:szCs w:val="24"/>
      <w:lang w:eastAsia="es-MX"/>
    </w:rPr>
  </w:style>
  <w:style w:type="paragraph" w:customStyle="1" w:styleId="xl175">
    <w:name w:val="xl175"/>
    <w:basedOn w:val="Normal"/>
    <w:rsid w:val="00526FE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76">
    <w:name w:val="xl176"/>
    <w:basedOn w:val="Normal"/>
    <w:rsid w:val="00526F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77">
    <w:name w:val="xl177"/>
    <w:basedOn w:val="Normal"/>
    <w:rsid w:val="00526FE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78">
    <w:name w:val="xl178"/>
    <w:basedOn w:val="Normal"/>
    <w:rsid w:val="00526FE9"/>
    <w:pPr>
      <w:pBdr>
        <w:left w:val="single" w:sz="4" w:space="0" w:color="auto"/>
        <w:bottom w:val="single" w:sz="4" w:space="0" w:color="auto"/>
      </w:pBdr>
      <w:shd w:val="clear" w:color="auto" w:fill="C0C0C0"/>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79">
    <w:name w:val="xl179"/>
    <w:basedOn w:val="Normal"/>
    <w:rsid w:val="00526FE9"/>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80">
    <w:name w:val="xl180"/>
    <w:basedOn w:val="Normal"/>
    <w:rsid w:val="00526FE9"/>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181">
    <w:name w:val="xl181"/>
    <w:basedOn w:val="Normal"/>
    <w:rsid w:val="00526FE9"/>
    <w:pPr>
      <w:pBdr>
        <w:left w:val="single" w:sz="4" w:space="0" w:color="auto"/>
        <w:bottom w:val="single" w:sz="4" w:space="0" w:color="auto"/>
      </w:pBdr>
      <w:shd w:val="clear" w:color="auto" w:fill="C0C0C0"/>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182">
    <w:name w:val="xl182"/>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83">
    <w:name w:val="xl183"/>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84">
    <w:name w:val="xl184"/>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85">
    <w:name w:val="xl185"/>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186">
    <w:name w:val="xl186"/>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87">
    <w:name w:val="xl187"/>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188">
    <w:name w:val="xl188"/>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189">
    <w:name w:val="xl189"/>
    <w:basedOn w:val="Normal"/>
    <w:rsid w:val="0052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190">
    <w:name w:val="xl190"/>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191">
    <w:name w:val="xl191"/>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color w:val="993366"/>
      <w:sz w:val="16"/>
      <w:szCs w:val="16"/>
      <w:lang w:eastAsia="es-MX"/>
    </w:rPr>
  </w:style>
  <w:style w:type="paragraph" w:customStyle="1" w:styleId="xl192">
    <w:name w:val="xl192"/>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color w:val="FF0000"/>
      <w:sz w:val="16"/>
      <w:szCs w:val="16"/>
      <w:lang w:eastAsia="es-MX"/>
    </w:rPr>
  </w:style>
  <w:style w:type="paragraph" w:customStyle="1" w:styleId="xl193">
    <w:name w:val="xl193"/>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194">
    <w:name w:val="xl194"/>
    <w:basedOn w:val="Normal"/>
    <w:rsid w:val="00526F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FF0000"/>
      <w:sz w:val="16"/>
      <w:szCs w:val="16"/>
      <w:lang w:eastAsia="es-MX"/>
    </w:rPr>
  </w:style>
  <w:style w:type="paragraph" w:customStyle="1" w:styleId="xl195">
    <w:name w:val="xl195"/>
    <w:basedOn w:val="Normal"/>
    <w:rsid w:val="00526FE9"/>
    <w:pPr>
      <w:pBdr>
        <w:top w:val="single" w:sz="4" w:space="0" w:color="auto"/>
        <w:left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u w:val="single"/>
      <w:lang w:eastAsia="es-MX"/>
    </w:rPr>
  </w:style>
  <w:style w:type="paragraph" w:customStyle="1" w:styleId="xl196">
    <w:name w:val="xl196"/>
    <w:basedOn w:val="Normal"/>
    <w:rsid w:val="00526FE9"/>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u w:val="single"/>
      <w:lang w:eastAsia="es-MX"/>
    </w:rPr>
  </w:style>
  <w:style w:type="paragraph" w:customStyle="1" w:styleId="xl197">
    <w:name w:val="xl197"/>
    <w:basedOn w:val="Normal"/>
    <w:rsid w:val="00526FE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98">
    <w:name w:val="xl198"/>
    <w:basedOn w:val="Normal"/>
    <w:rsid w:val="00526FE9"/>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99">
    <w:name w:val="xl199"/>
    <w:basedOn w:val="Normal"/>
    <w:rsid w:val="00526FE9"/>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00">
    <w:name w:val="xl200"/>
    <w:basedOn w:val="Normal"/>
    <w:rsid w:val="00526FE9"/>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Tahoma" w:eastAsia="Times New Roman" w:hAnsi="Tahoma" w:cs="Tahoma"/>
      <w:sz w:val="24"/>
      <w:szCs w:val="24"/>
      <w:lang w:eastAsia="es-MX"/>
    </w:rPr>
  </w:style>
  <w:style w:type="paragraph" w:customStyle="1" w:styleId="xl201">
    <w:name w:val="xl201"/>
    <w:basedOn w:val="Normal"/>
    <w:rsid w:val="00526FE9"/>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ahoma" w:eastAsia="Times New Roman" w:hAnsi="Tahoma" w:cs="Tahoma"/>
      <w:sz w:val="24"/>
      <w:szCs w:val="24"/>
      <w:lang w:eastAsia="es-MX"/>
    </w:rPr>
  </w:style>
  <w:style w:type="paragraph" w:customStyle="1" w:styleId="xl202">
    <w:name w:val="xl202"/>
    <w:basedOn w:val="Normal"/>
    <w:rsid w:val="00526FE9"/>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Tahoma" w:eastAsia="Times New Roman" w:hAnsi="Tahoma" w:cs="Tahoma"/>
      <w:sz w:val="24"/>
      <w:szCs w:val="24"/>
      <w:u w:val="single"/>
      <w:lang w:eastAsia="es-MX"/>
    </w:rPr>
  </w:style>
  <w:style w:type="paragraph" w:customStyle="1" w:styleId="xl203">
    <w:name w:val="xl203"/>
    <w:basedOn w:val="Normal"/>
    <w:rsid w:val="00526FE9"/>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ahoma" w:eastAsia="Times New Roman" w:hAnsi="Tahoma" w:cs="Tahoma"/>
      <w:sz w:val="24"/>
      <w:szCs w:val="24"/>
      <w:u w:val="single"/>
      <w:lang w:eastAsia="es-MX"/>
    </w:rPr>
  </w:style>
  <w:style w:type="paragraph" w:customStyle="1" w:styleId="xl204">
    <w:name w:val="xl204"/>
    <w:basedOn w:val="Normal"/>
    <w:rsid w:val="00526FE9"/>
    <w:pPr>
      <w:spacing w:before="100" w:beforeAutospacing="1" w:after="100" w:afterAutospacing="1" w:line="240" w:lineRule="auto"/>
    </w:pPr>
    <w:rPr>
      <w:rFonts w:ascii="Tahoma" w:eastAsia="Times New Roman" w:hAnsi="Tahoma" w:cs="Tahoma"/>
      <w:b/>
      <w:bCs/>
      <w:sz w:val="24"/>
      <w:szCs w:val="24"/>
      <w:lang w:eastAsia="es-MX"/>
    </w:rPr>
  </w:style>
  <w:style w:type="paragraph" w:customStyle="1" w:styleId="xl205">
    <w:name w:val="xl205"/>
    <w:basedOn w:val="Normal"/>
    <w:rsid w:val="00526FE9"/>
    <w:pPr>
      <w:spacing w:before="100" w:beforeAutospacing="1" w:after="100" w:afterAutospacing="1" w:line="240" w:lineRule="auto"/>
      <w:jc w:val="center"/>
    </w:pPr>
    <w:rPr>
      <w:rFonts w:ascii="Arial" w:eastAsia="Times New Roman" w:hAnsi="Arial" w:cs="Arial"/>
      <w:b/>
      <w:bCs/>
      <w:color w:val="000000"/>
      <w:sz w:val="24"/>
      <w:szCs w:val="24"/>
      <w:lang w:eastAsia="es-MX"/>
    </w:rPr>
  </w:style>
  <w:style w:type="paragraph" w:customStyle="1" w:styleId="xl206">
    <w:name w:val="xl206"/>
    <w:basedOn w:val="Normal"/>
    <w:rsid w:val="00526FE9"/>
    <w:pPr>
      <w:spacing w:before="100" w:beforeAutospacing="1" w:after="100" w:afterAutospacing="1" w:line="240" w:lineRule="auto"/>
      <w:jc w:val="center"/>
    </w:pPr>
    <w:rPr>
      <w:rFonts w:ascii="Arial" w:eastAsia="Times New Roman" w:hAnsi="Arial" w:cs="Arial"/>
      <w:b/>
      <w:bCs/>
      <w:lang w:eastAsia="es-MX"/>
    </w:rPr>
  </w:style>
  <w:style w:type="paragraph" w:customStyle="1" w:styleId="xl207">
    <w:name w:val="xl207"/>
    <w:basedOn w:val="Normal"/>
    <w:rsid w:val="00526FE9"/>
    <w:pPr>
      <w:spacing w:before="100" w:beforeAutospacing="1" w:after="100" w:afterAutospacing="1" w:line="240" w:lineRule="auto"/>
    </w:pPr>
    <w:rPr>
      <w:rFonts w:ascii="Arial" w:eastAsia="Times New Roman" w:hAnsi="Arial" w:cs="Arial"/>
      <w:b/>
      <w:bCs/>
      <w:color w:val="000000"/>
      <w:sz w:val="24"/>
      <w:szCs w:val="24"/>
      <w:lang w:eastAsia="es-MX"/>
    </w:rPr>
  </w:style>
  <w:style w:type="paragraph" w:customStyle="1" w:styleId="xl208">
    <w:name w:val="xl208"/>
    <w:basedOn w:val="Normal"/>
    <w:rsid w:val="00526FE9"/>
    <w:pPr>
      <w:spacing w:before="100" w:beforeAutospacing="1" w:after="100" w:afterAutospacing="1" w:line="240" w:lineRule="auto"/>
    </w:pPr>
    <w:rPr>
      <w:rFonts w:ascii="Tahoma" w:eastAsia="Times New Roman" w:hAnsi="Tahoma" w:cs="Tahoma"/>
      <w:sz w:val="28"/>
      <w:szCs w:val="28"/>
      <w:lang w:eastAsia="es-MX"/>
    </w:rPr>
  </w:style>
  <w:style w:type="paragraph" w:customStyle="1" w:styleId="xl209">
    <w:name w:val="xl209"/>
    <w:basedOn w:val="Normal"/>
    <w:rsid w:val="00526FE9"/>
    <w:pPr>
      <w:spacing w:before="100" w:beforeAutospacing="1" w:after="100" w:afterAutospacing="1" w:line="240" w:lineRule="auto"/>
    </w:pPr>
    <w:rPr>
      <w:rFonts w:ascii="Tahoma" w:eastAsia="Times New Roman" w:hAnsi="Tahoma" w:cs="Tahoma"/>
      <w:color w:val="000000"/>
      <w:sz w:val="24"/>
      <w:szCs w:val="24"/>
      <w:lang w:eastAsia="es-MX"/>
    </w:rPr>
  </w:style>
  <w:style w:type="paragraph" w:customStyle="1" w:styleId="xl210">
    <w:name w:val="xl210"/>
    <w:basedOn w:val="Normal"/>
    <w:rsid w:val="00526FE9"/>
    <w:pPr>
      <w:spacing w:before="100" w:beforeAutospacing="1" w:after="100" w:afterAutospacing="1" w:line="240" w:lineRule="auto"/>
    </w:pPr>
    <w:rPr>
      <w:rFonts w:ascii="Tahoma" w:eastAsia="Times New Roman" w:hAnsi="Tahoma" w:cs="Tahoma"/>
      <w:color w:val="000000"/>
      <w:sz w:val="24"/>
      <w:szCs w:val="24"/>
      <w:lang w:eastAsia="es-MX"/>
    </w:rPr>
  </w:style>
  <w:style w:type="paragraph" w:customStyle="1" w:styleId="xl211">
    <w:name w:val="xl211"/>
    <w:basedOn w:val="Normal"/>
    <w:rsid w:val="00526FE9"/>
    <w:pPr>
      <w:pBdr>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eastAsia="es-MX"/>
    </w:rPr>
  </w:style>
  <w:style w:type="paragraph" w:customStyle="1" w:styleId="xl212">
    <w:name w:val="xl212"/>
    <w:basedOn w:val="Normal"/>
    <w:rsid w:val="00526FE9"/>
    <w:pPr>
      <w:spacing w:before="100" w:beforeAutospacing="1" w:after="100" w:afterAutospacing="1" w:line="240" w:lineRule="auto"/>
    </w:pPr>
    <w:rPr>
      <w:rFonts w:ascii="Tahoma" w:eastAsia="Times New Roman" w:hAnsi="Tahoma" w:cs="Tahoma"/>
      <w:color w:val="FF0000"/>
      <w:sz w:val="24"/>
      <w:szCs w:val="24"/>
      <w:lang w:eastAsia="es-MX"/>
    </w:rPr>
  </w:style>
  <w:style w:type="paragraph" w:customStyle="1" w:styleId="xl213">
    <w:name w:val="xl213"/>
    <w:basedOn w:val="Normal"/>
    <w:rsid w:val="00526FE9"/>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214">
    <w:name w:val="xl214"/>
    <w:basedOn w:val="Normal"/>
    <w:rsid w:val="00526FE9"/>
    <w:pPr>
      <w:pBdr>
        <w:top w:val="single" w:sz="4" w:space="0" w:color="auto"/>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215">
    <w:name w:val="xl215"/>
    <w:basedOn w:val="Normal"/>
    <w:rsid w:val="00526FE9"/>
    <w:pPr>
      <w:pBdr>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eastAsia="es-MX"/>
    </w:rPr>
  </w:style>
  <w:style w:type="paragraph" w:customStyle="1" w:styleId="xl216">
    <w:name w:val="xl216"/>
    <w:basedOn w:val="Normal"/>
    <w:rsid w:val="00526FE9"/>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eastAsia="es-MX"/>
    </w:rPr>
  </w:style>
  <w:style w:type="paragraph" w:customStyle="1" w:styleId="xl217">
    <w:name w:val="xl217"/>
    <w:basedOn w:val="Normal"/>
    <w:rsid w:val="00526FE9"/>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18">
    <w:name w:val="xl218"/>
    <w:basedOn w:val="Normal"/>
    <w:rsid w:val="00526FE9"/>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19">
    <w:name w:val="xl219"/>
    <w:basedOn w:val="Normal"/>
    <w:rsid w:val="00526FE9"/>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20">
    <w:name w:val="xl220"/>
    <w:basedOn w:val="Normal"/>
    <w:rsid w:val="00526FE9"/>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21">
    <w:name w:val="xl221"/>
    <w:basedOn w:val="Normal"/>
    <w:rsid w:val="00526FE9"/>
    <w:pPr>
      <w:spacing w:before="100" w:beforeAutospacing="1" w:after="100" w:afterAutospacing="1" w:line="240" w:lineRule="auto"/>
    </w:pPr>
    <w:rPr>
      <w:rFonts w:ascii="Tahoma" w:eastAsia="Times New Roman" w:hAnsi="Tahoma" w:cs="Tahoma"/>
      <w:b/>
      <w:bCs/>
      <w:sz w:val="24"/>
      <w:szCs w:val="24"/>
      <w:lang w:eastAsia="es-MX"/>
    </w:rPr>
  </w:style>
  <w:style w:type="paragraph" w:customStyle="1" w:styleId="xl222">
    <w:name w:val="xl222"/>
    <w:basedOn w:val="Normal"/>
    <w:rsid w:val="00526FE9"/>
    <w:pPr>
      <w:spacing w:before="100" w:beforeAutospacing="1" w:after="100" w:afterAutospacing="1" w:line="240" w:lineRule="auto"/>
      <w:jc w:val="center"/>
    </w:pPr>
    <w:rPr>
      <w:rFonts w:ascii="Arial" w:eastAsia="Times New Roman" w:hAnsi="Arial" w:cs="Arial"/>
      <w:b/>
      <w:bCs/>
      <w:color w:val="000000"/>
      <w:sz w:val="24"/>
      <w:szCs w:val="24"/>
      <w:lang w:eastAsia="es-MX"/>
    </w:rPr>
  </w:style>
  <w:style w:type="paragraph" w:customStyle="1" w:styleId="xl223">
    <w:name w:val="xl223"/>
    <w:basedOn w:val="Normal"/>
    <w:rsid w:val="00526F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24">
    <w:name w:val="xl224"/>
    <w:basedOn w:val="Normal"/>
    <w:rsid w:val="00526F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25">
    <w:name w:val="xl225"/>
    <w:basedOn w:val="Normal"/>
    <w:rsid w:val="00526F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526FE9"/>
    <w:pPr>
      <w:spacing w:after="0" w:line="240" w:lineRule="auto"/>
      <w:ind w:left="-284"/>
    </w:pPr>
    <w:rPr>
      <w:rFonts w:ascii="Arial" w:eastAsia="Times New Roman" w:hAnsi="Arial" w:cs="Times New Roman"/>
      <w:b/>
      <w:sz w:val="20"/>
      <w:szCs w:val="20"/>
      <w:lang w:val="es-ES"/>
    </w:rPr>
  </w:style>
  <w:style w:type="paragraph" w:customStyle="1" w:styleId="Estilo01">
    <w:name w:val="Estilo01"/>
    <w:basedOn w:val="Normal"/>
    <w:rsid w:val="00526FE9"/>
    <w:pPr>
      <w:keepNext/>
      <w:suppressAutoHyphens/>
      <w:spacing w:after="0" w:line="240" w:lineRule="auto"/>
      <w:jc w:val="both"/>
    </w:pPr>
    <w:rPr>
      <w:rFonts w:ascii="Arial" w:eastAsia="Times New Roman" w:hAnsi="Arial" w:cs="Times New Roman"/>
      <w:sz w:val="20"/>
      <w:szCs w:val="20"/>
      <w:lang w:val="es-ES_tradnl"/>
    </w:rPr>
  </w:style>
  <w:style w:type="paragraph" w:customStyle="1" w:styleId="Estilo02">
    <w:name w:val="Estilo02"/>
    <w:basedOn w:val="Normal"/>
    <w:rsid w:val="00526FE9"/>
    <w:pPr>
      <w:spacing w:after="0" w:line="240" w:lineRule="auto"/>
      <w:jc w:val="both"/>
    </w:pPr>
    <w:rPr>
      <w:rFonts w:ascii="Arial" w:eastAsia="Times New Roman" w:hAnsi="Arial" w:cs="Times New Roman"/>
      <w:sz w:val="20"/>
      <w:szCs w:val="20"/>
      <w:lang w:val="es-ES_tradnl"/>
    </w:rPr>
  </w:style>
  <w:style w:type="character" w:customStyle="1" w:styleId="TtuloCar">
    <w:name w:val="Título Car"/>
    <w:link w:val="Ttulo10"/>
    <w:locked/>
    <w:rsid w:val="00526FE9"/>
    <w:rPr>
      <w:rFonts w:ascii="Cambria" w:hAnsi="Cambria"/>
      <w:b/>
      <w:bCs/>
      <w:kern w:val="28"/>
      <w:sz w:val="32"/>
      <w:szCs w:val="32"/>
      <w:lang w:val="es-ES" w:eastAsia="es-ES"/>
    </w:rPr>
  </w:style>
  <w:style w:type="paragraph" w:customStyle="1" w:styleId="Ttulo10">
    <w:name w:val="Título1"/>
    <w:basedOn w:val="Normal"/>
    <w:link w:val="TtuloCar"/>
    <w:locked/>
    <w:rsid w:val="00526FE9"/>
    <w:pPr>
      <w:spacing w:after="0" w:line="240" w:lineRule="auto"/>
      <w:jc w:val="center"/>
    </w:pPr>
    <w:rPr>
      <w:rFonts w:ascii="Cambria" w:hAnsi="Cambria"/>
      <w:b/>
      <w:bCs/>
      <w:kern w:val="28"/>
      <w:sz w:val="32"/>
      <w:szCs w:val="32"/>
      <w:lang w:val="es-ES" w:eastAsia="es-ES"/>
    </w:rPr>
  </w:style>
  <w:style w:type="character" w:customStyle="1" w:styleId="PlainTextChar">
    <w:name w:val="Plain Text Char"/>
    <w:locked/>
    <w:rsid w:val="00526FE9"/>
    <w:rPr>
      <w:rFonts w:ascii="Consolas" w:hAnsi="Consolas" w:cs="Times New Roman" w:hint="default"/>
      <w:sz w:val="21"/>
      <w:szCs w:val="21"/>
    </w:rPr>
  </w:style>
  <w:style w:type="character" w:customStyle="1" w:styleId="msodel0">
    <w:name w:val="msodel"/>
    <w:rsid w:val="00526FE9"/>
    <w:rPr>
      <w:rFonts w:ascii="Times New Roman" w:hAnsi="Times New Roman" w:cs="Times New Roman" w:hint="default"/>
    </w:rPr>
  </w:style>
  <w:style w:type="character" w:customStyle="1" w:styleId="msoins0">
    <w:name w:val="msoins"/>
    <w:rsid w:val="00526FE9"/>
    <w:rPr>
      <w:rFonts w:ascii="Times New Roman" w:hAnsi="Times New Roman" w:cs="Times New Roman" w:hint="default"/>
    </w:rPr>
  </w:style>
  <w:style w:type="table" w:styleId="Cuadrculadetablaclara">
    <w:name w:val="Grid Table Light"/>
    <w:basedOn w:val="Tablanormal"/>
    <w:uiPriority w:val="40"/>
    <w:rsid w:val="005D18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91266">
      <w:bodyDiv w:val="1"/>
      <w:marLeft w:val="0"/>
      <w:marRight w:val="0"/>
      <w:marTop w:val="0"/>
      <w:marBottom w:val="0"/>
      <w:divBdr>
        <w:top w:val="none" w:sz="0" w:space="0" w:color="auto"/>
        <w:left w:val="none" w:sz="0" w:space="0" w:color="auto"/>
        <w:bottom w:val="none" w:sz="0" w:space="0" w:color="auto"/>
        <w:right w:val="none" w:sz="0" w:space="0" w:color="auto"/>
      </w:divBdr>
    </w:div>
    <w:div w:id="95178771">
      <w:bodyDiv w:val="1"/>
      <w:marLeft w:val="0"/>
      <w:marRight w:val="0"/>
      <w:marTop w:val="0"/>
      <w:marBottom w:val="0"/>
      <w:divBdr>
        <w:top w:val="none" w:sz="0" w:space="0" w:color="auto"/>
        <w:left w:val="none" w:sz="0" w:space="0" w:color="auto"/>
        <w:bottom w:val="none" w:sz="0" w:space="0" w:color="auto"/>
        <w:right w:val="none" w:sz="0" w:space="0" w:color="auto"/>
      </w:divBdr>
    </w:div>
    <w:div w:id="108817678">
      <w:bodyDiv w:val="1"/>
      <w:marLeft w:val="0"/>
      <w:marRight w:val="0"/>
      <w:marTop w:val="0"/>
      <w:marBottom w:val="0"/>
      <w:divBdr>
        <w:top w:val="none" w:sz="0" w:space="0" w:color="auto"/>
        <w:left w:val="none" w:sz="0" w:space="0" w:color="auto"/>
        <w:bottom w:val="none" w:sz="0" w:space="0" w:color="auto"/>
        <w:right w:val="none" w:sz="0" w:space="0" w:color="auto"/>
      </w:divBdr>
    </w:div>
    <w:div w:id="176820341">
      <w:bodyDiv w:val="1"/>
      <w:marLeft w:val="0"/>
      <w:marRight w:val="0"/>
      <w:marTop w:val="0"/>
      <w:marBottom w:val="0"/>
      <w:divBdr>
        <w:top w:val="none" w:sz="0" w:space="0" w:color="auto"/>
        <w:left w:val="none" w:sz="0" w:space="0" w:color="auto"/>
        <w:bottom w:val="none" w:sz="0" w:space="0" w:color="auto"/>
        <w:right w:val="none" w:sz="0" w:space="0" w:color="auto"/>
      </w:divBdr>
    </w:div>
    <w:div w:id="284966391">
      <w:bodyDiv w:val="1"/>
      <w:marLeft w:val="0"/>
      <w:marRight w:val="0"/>
      <w:marTop w:val="0"/>
      <w:marBottom w:val="0"/>
      <w:divBdr>
        <w:top w:val="none" w:sz="0" w:space="0" w:color="auto"/>
        <w:left w:val="none" w:sz="0" w:space="0" w:color="auto"/>
        <w:bottom w:val="none" w:sz="0" w:space="0" w:color="auto"/>
        <w:right w:val="none" w:sz="0" w:space="0" w:color="auto"/>
      </w:divBdr>
    </w:div>
    <w:div w:id="323708472">
      <w:bodyDiv w:val="1"/>
      <w:marLeft w:val="0"/>
      <w:marRight w:val="0"/>
      <w:marTop w:val="0"/>
      <w:marBottom w:val="0"/>
      <w:divBdr>
        <w:top w:val="none" w:sz="0" w:space="0" w:color="auto"/>
        <w:left w:val="none" w:sz="0" w:space="0" w:color="auto"/>
        <w:bottom w:val="none" w:sz="0" w:space="0" w:color="auto"/>
        <w:right w:val="none" w:sz="0" w:space="0" w:color="auto"/>
      </w:divBdr>
    </w:div>
    <w:div w:id="349920198">
      <w:bodyDiv w:val="1"/>
      <w:marLeft w:val="0"/>
      <w:marRight w:val="0"/>
      <w:marTop w:val="0"/>
      <w:marBottom w:val="0"/>
      <w:divBdr>
        <w:top w:val="none" w:sz="0" w:space="0" w:color="auto"/>
        <w:left w:val="none" w:sz="0" w:space="0" w:color="auto"/>
        <w:bottom w:val="none" w:sz="0" w:space="0" w:color="auto"/>
        <w:right w:val="none" w:sz="0" w:space="0" w:color="auto"/>
      </w:divBdr>
      <w:divsChild>
        <w:div w:id="1798528636">
          <w:marLeft w:val="0"/>
          <w:marRight w:val="0"/>
          <w:marTop w:val="0"/>
          <w:marBottom w:val="0"/>
          <w:divBdr>
            <w:top w:val="none" w:sz="0" w:space="0" w:color="auto"/>
            <w:left w:val="none" w:sz="0" w:space="0" w:color="auto"/>
            <w:bottom w:val="none" w:sz="0" w:space="0" w:color="auto"/>
            <w:right w:val="none" w:sz="0" w:space="0" w:color="auto"/>
          </w:divBdr>
        </w:div>
        <w:div w:id="1402022531">
          <w:marLeft w:val="0"/>
          <w:marRight w:val="0"/>
          <w:marTop w:val="0"/>
          <w:marBottom w:val="0"/>
          <w:divBdr>
            <w:top w:val="none" w:sz="0" w:space="0" w:color="auto"/>
            <w:left w:val="none" w:sz="0" w:space="0" w:color="auto"/>
            <w:bottom w:val="none" w:sz="0" w:space="0" w:color="auto"/>
            <w:right w:val="none" w:sz="0" w:space="0" w:color="auto"/>
          </w:divBdr>
        </w:div>
        <w:div w:id="136728196">
          <w:marLeft w:val="0"/>
          <w:marRight w:val="0"/>
          <w:marTop w:val="0"/>
          <w:marBottom w:val="0"/>
          <w:divBdr>
            <w:top w:val="none" w:sz="0" w:space="0" w:color="auto"/>
            <w:left w:val="none" w:sz="0" w:space="0" w:color="auto"/>
            <w:bottom w:val="none" w:sz="0" w:space="0" w:color="auto"/>
            <w:right w:val="none" w:sz="0" w:space="0" w:color="auto"/>
          </w:divBdr>
        </w:div>
        <w:div w:id="1204564492">
          <w:marLeft w:val="0"/>
          <w:marRight w:val="0"/>
          <w:marTop w:val="0"/>
          <w:marBottom w:val="0"/>
          <w:divBdr>
            <w:top w:val="none" w:sz="0" w:space="0" w:color="auto"/>
            <w:left w:val="none" w:sz="0" w:space="0" w:color="auto"/>
            <w:bottom w:val="none" w:sz="0" w:space="0" w:color="auto"/>
            <w:right w:val="none" w:sz="0" w:space="0" w:color="auto"/>
          </w:divBdr>
        </w:div>
        <w:div w:id="2062556362">
          <w:marLeft w:val="0"/>
          <w:marRight w:val="0"/>
          <w:marTop w:val="0"/>
          <w:marBottom w:val="0"/>
          <w:divBdr>
            <w:top w:val="none" w:sz="0" w:space="0" w:color="auto"/>
            <w:left w:val="none" w:sz="0" w:space="0" w:color="auto"/>
            <w:bottom w:val="none" w:sz="0" w:space="0" w:color="auto"/>
            <w:right w:val="none" w:sz="0" w:space="0" w:color="auto"/>
          </w:divBdr>
        </w:div>
      </w:divsChild>
    </w:div>
    <w:div w:id="371661360">
      <w:bodyDiv w:val="1"/>
      <w:marLeft w:val="0"/>
      <w:marRight w:val="0"/>
      <w:marTop w:val="0"/>
      <w:marBottom w:val="0"/>
      <w:divBdr>
        <w:top w:val="none" w:sz="0" w:space="0" w:color="auto"/>
        <w:left w:val="none" w:sz="0" w:space="0" w:color="auto"/>
        <w:bottom w:val="none" w:sz="0" w:space="0" w:color="auto"/>
        <w:right w:val="none" w:sz="0" w:space="0" w:color="auto"/>
      </w:divBdr>
    </w:div>
    <w:div w:id="447432193">
      <w:bodyDiv w:val="1"/>
      <w:marLeft w:val="0"/>
      <w:marRight w:val="0"/>
      <w:marTop w:val="0"/>
      <w:marBottom w:val="0"/>
      <w:divBdr>
        <w:top w:val="none" w:sz="0" w:space="0" w:color="auto"/>
        <w:left w:val="none" w:sz="0" w:space="0" w:color="auto"/>
        <w:bottom w:val="none" w:sz="0" w:space="0" w:color="auto"/>
        <w:right w:val="none" w:sz="0" w:space="0" w:color="auto"/>
      </w:divBdr>
    </w:div>
    <w:div w:id="533270100">
      <w:bodyDiv w:val="1"/>
      <w:marLeft w:val="0"/>
      <w:marRight w:val="0"/>
      <w:marTop w:val="0"/>
      <w:marBottom w:val="0"/>
      <w:divBdr>
        <w:top w:val="none" w:sz="0" w:space="0" w:color="auto"/>
        <w:left w:val="none" w:sz="0" w:space="0" w:color="auto"/>
        <w:bottom w:val="none" w:sz="0" w:space="0" w:color="auto"/>
        <w:right w:val="none" w:sz="0" w:space="0" w:color="auto"/>
      </w:divBdr>
    </w:div>
    <w:div w:id="561525305">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sChild>
        <w:div w:id="1817183852">
          <w:marLeft w:val="0"/>
          <w:marRight w:val="0"/>
          <w:marTop w:val="0"/>
          <w:marBottom w:val="0"/>
          <w:divBdr>
            <w:top w:val="none" w:sz="0" w:space="0" w:color="auto"/>
            <w:left w:val="none" w:sz="0" w:space="0" w:color="auto"/>
            <w:bottom w:val="none" w:sz="0" w:space="0" w:color="auto"/>
            <w:right w:val="none" w:sz="0" w:space="0" w:color="auto"/>
          </w:divBdr>
        </w:div>
        <w:div w:id="1523661464">
          <w:marLeft w:val="0"/>
          <w:marRight w:val="0"/>
          <w:marTop w:val="0"/>
          <w:marBottom w:val="0"/>
          <w:divBdr>
            <w:top w:val="none" w:sz="0" w:space="0" w:color="auto"/>
            <w:left w:val="none" w:sz="0" w:space="0" w:color="auto"/>
            <w:bottom w:val="none" w:sz="0" w:space="0" w:color="auto"/>
            <w:right w:val="none" w:sz="0" w:space="0" w:color="auto"/>
          </w:divBdr>
        </w:div>
        <w:div w:id="2130128982">
          <w:marLeft w:val="0"/>
          <w:marRight w:val="0"/>
          <w:marTop w:val="0"/>
          <w:marBottom w:val="0"/>
          <w:divBdr>
            <w:top w:val="none" w:sz="0" w:space="0" w:color="auto"/>
            <w:left w:val="none" w:sz="0" w:space="0" w:color="auto"/>
            <w:bottom w:val="none" w:sz="0" w:space="0" w:color="auto"/>
            <w:right w:val="none" w:sz="0" w:space="0" w:color="auto"/>
          </w:divBdr>
        </w:div>
        <w:div w:id="1971592209">
          <w:marLeft w:val="0"/>
          <w:marRight w:val="0"/>
          <w:marTop w:val="0"/>
          <w:marBottom w:val="0"/>
          <w:divBdr>
            <w:top w:val="none" w:sz="0" w:space="0" w:color="auto"/>
            <w:left w:val="none" w:sz="0" w:space="0" w:color="auto"/>
            <w:bottom w:val="none" w:sz="0" w:space="0" w:color="auto"/>
            <w:right w:val="none" w:sz="0" w:space="0" w:color="auto"/>
          </w:divBdr>
        </w:div>
        <w:div w:id="897740272">
          <w:marLeft w:val="0"/>
          <w:marRight w:val="0"/>
          <w:marTop w:val="0"/>
          <w:marBottom w:val="0"/>
          <w:divBdr>
            <w:top w:val="none" w:sz="0" w:space="0" w:color="auto"/>
            <w:left w:val="none" w:sz="0" w:space="0" w:color="auto"/>
            <w:bottom w:val="none" w:sz="0" w:space="0" w:color="auto"/>
            <w:right w:val="none" w:sz="0" w:space="0" w:color="auto"/>
          </w:divBdr>
        </w:div>
      </w:divsChild>
    </w:div>
    <w:div w:id="711224507">
      <w:bodyDiv w:val="1"/>
      <w:marLeft w:val="0"/>
      <w:marRight w:val="0"/>
      <w:marTop w:val="0"/>
      <w:marBottom w:val="0"/>
      <w:divBdr>
        <w:top w:val="none" w:sz="0" w:space="0" w:color="auto"/>
        <w:left w:val="none" w:sz="0" w:space="0" w:color="auto"/>
        <w:bottom w:val="none" w:sz="0" w:space="0" w:color="auto"/>
        <w:right w:val="none" w:sz="0" w:space="0" w:color="auto"/>
      </w:divBdr>
    </w:div>
    <w:div w:id="759915459">
      <w:bodyDiv w:val="1"/>
      <w:marLeft w:val="0"/>
      <w:marRight w:val="0"/>
      <w:marTop w:val="0"/>
      <w:marBottom w:val="0"/>
      <w:divBdr>
        <w:top w:val="none" w:sz="0" w:space="0" w:color="auto"/>
        <w:left w:val="none" w:sz="0" w:space="0" w:color="auto"/>
        <w:bottom w:val="none" w:sz="0" w:space="0" w:color="auto"/>
        <w:right w:val="none" w:sz="0" w:space="0" w:color="auto"/>
      </w:divBdr>
    </w:div>
    <w:div w:id="963536717">
      <w:bodyDiv w:val="1"/>
      <w:marLeft w:val="0"/>
      <w:marRight w:val="0"/>
      <w:marTop w:val="0"/>
      <w:marBottom w:val="0"/>
      <w:divBdr>
        <w:top w:val="none" w:sz="0" w:space="0" w:color="auto"/>
        <w:left w:val="none" w:sz="0" w:space="0" w:color="auto"/>
        <w:bottom w:val="none" w:sz="0" w:space="0" w:color="auto"/>
        <w:right w:val="none" w:sz="0" w:space="0" w:color="auto"/>
      </w:divBdr>
    </w:div>
    <w:div w:id="968586794">
      <w:bodyDiv w:val="1"/>
      <w:marLeft w:val="0"/>
      <w:marRight w:val="0"/>
      <w:marTop w:val="0"/>
      <w:marBottom w:val="0"/>
      <w:divBdr>
        <w:top w:val="none" w:sz="0" w:space="0" w:color="auto"/>
        <w:left w:val="none" w:sz="0" w:space="0" w:color="auto"/>
        <w:bottom w:val="none" w:sz="0" w:space="0" w:color="auto"/>
        <w:right w:val="none" w:sz="0" w:space="0" w:color="auto"/>
      </w:divBdr>
    </w:div>
    <w:div w:id="970087160">
      <w:bodyDiv w:val="1"/>
      <w:marLeft w:val="0"/>
      <w:marRight w:val="0"/>
      <w:marTop w:val="0"/>
      <w:marBottom w:val="0"/>
      <w:divBdr>
        <w:top w:val="none" w:sz="0" w:space="0" w:color="auto"/>
        <w:left w:val="none" w:sz="0" w:space="0" w:color="auto"/>
        <w:bottom w:val="none" w:sz="0" w:space="0" w:color="auto"/>
        <w:right w:val="none" w:sz="0" w:space="0" w:color="auto"/>
      </w:divBdr>
    </w:div>
    <w:div w:id="993293138">
      <w:bodyDiv w:val="1"/>
      <w:marLeft w:val="0"/>
      <w:marRight w:val="0"/>
      <w:marTop w:val="0"/>
      <w:marBottom w:val="0"/>
      <w:divBdr>
        <w:top w:val="none" w:sz="0" w:space="0" w:color="auto"/>
        <w:left w:val="none" w:sz="0" w:space="0" w:color="auto"/>
        <w:bottom w:val="none" w:sz="0" w:space="0" w:color="auto"/>
        <w:right w:val="none" w:sz="0" w:space="0" w:color="auto"/>
      </w:divBdr>
    </w:div>
    <w:div w:id="1090737627">
      <w:bodyDiv w:val="1"/>
      <w:marLeft w:val="0"/>
      <w:marRight w:val="0"/>
      <w:marTop w:val="0"/>
      <w:marBottom w:val="0"/>
      <w:divBdr>
        <w:top w:val="none" w:sz="0" w:space="0" w:color="auto"/>
        <w:left w:val="none" w:sz="0" w:space="0" w:color="auto"/>
        <w:bottom w:val="none" w:sz="0" w:space="0" w:color="auto"/>
        <w:right w:val="none" w:sz="0" w:space="0" w:color="auto"/>
      </w:divBdr>
    </w:div>
    <w:div w:id="1157650353">
      <w:bodyDiv w:val="1"/>
      <w:marLeft w:val="0"/>
      <w:marRight w:val="0"/>
      <w:marTop w:val="0"/>
      <w:marBottom w:val="0"/>
      <w:divBdr>
        <w:top w:val="none" w:sz="0" w:space="0" w:color="auto"/>
        <w:left w:val="none" w:sz="0" w:space="0" w:color="auto"/>
        <w:bottom w:val="none" w:sz="0" w:space="0" w:color="auto"/>
        <w:right w:val="none" w:sz="0" w:space="0" w:color="auto"/>
      </w:divBdr>
      <w:divsChild>
        <w:div w:id="1984583149">
          <w:marLeft w:val="0"/>
          <w:marRight w:val="0"/>
          <w:marTop w:val="0"/>
          <w:marBottom w:val="160"/>
          <w:divBdr>
            <w:top w:val="none" w:sz="0" w:space="0" w:color="auto"/>
            <w:left w:val="none" w:sz="0" w:space="0" w:color="auto"/>
            <w:bottom w:val="none" w:sz="0" w:space="0" w:color="auto"/>
            <w:right w:val="none" w:sz="0" w:space="0" w:color="auto"/>
          </w:divBdr>
        </w:div>
        <w:div w:id="330373780">
          <w:marLeft w:val="720"/>
          <w:marRight w:val="0"/>
          <w:marTop w:val="0"/>
          <w:marBottom w:val="0"/>
          <w:divBdr>
            <w:top w:val="none" w:sz="0" w:space="0" w:color="auto"/>
            <w:left w:val="none" w:sz="0" w:space="0" w:color="auto"/>
            <w:bottom w:val="none" w:sz="0" w:space="0" w:color="auto"/>
            <w:right w:val="none" w:sz="0" w:space="0" w:color="auto"/>
          </w:divBdr>
        </w:div>
        <w:div w:id="754008759">
          <w:marLeft w:val="720"/>
          <w:marRight w:val="0"/>
          <w:marTop w:val="0"/>
          <w:marBottom w:val="0"/>
          <w:divBdr>
            <w:top w:val="none" w:sz="0" w:space="0" w:color="auto"/>
            <w:left w:val="none" w:sz="0" w:space="0" w:color="auto"/>
            <w:bottom w:val="none" w:sz="0" w:space="0" w:color="auto"/>
            <w:right w:val="none" w:sz="0" w:space="0" w:color="auto"/>
          </w:divBdr>
        </w:div>
        <w:div w:id="323818098">
          <w:marLeft w:val="720"/>
          <w:marRight w:val="0"/>
          <w:marTop w:val="0"/>
          <w:marBottom w:val="0"/>
          <w:divBdr>
            <w:top w:val="none" w:sz="0" w:space="0" w:color="auto"/>
            <w:left w:val="none" w:sz="0" w:space="0" w:color="auto"/>
            <w:bottom w:val="none" w:sz="0" w:space="0" w:color="auto"/>
            <w:right w:val="none" w:sz="0" w:space="0" w:color="auto"/>
          </w:divBdr>
        </w:div>
        <w:div w:id="511915073">
          <w:marLeft w:val="0"/>
          <w:marRight w:val="0"/>
          <w:marTop w:val="0"/>
          <w:marBottom w:val="0"/>
          <w:divBdr>
            <w:top w:val="none" w:sz="0" w:space="0" w:color="auto"/>
            <w:left w:val="none" w:sz="0" w:space="0" w:color="auto"/>
            <w:bottom w:val="none" w:sz="0" w:space="0" w:color="auto"/>
            <w:right w:val="none" w:sz="0" w:space="0" w:color="auto"/>
          </w:divBdr>
        </w:div>
        <w:div w:id="1206218653">
          <w:marLeft w:val="720"/>
          <w:marRight w:val="0"/>
          <w:marTop w:val="0"/>
          <w:marBottom w:val="0"/>
          <w:divBdr>
            <w:top w:val="none" w:sz="0" w:space="0" w:color="auto"/>
            <w:left w:val="none" w:sz="0" w:space="0" w:color="auto"/>
            <w:bottom w:val="none" w:sz="0" w:space="0" w:color="auto"/>
            <w:right w:val="none" w:sz="0" w:space="0" w:color="auto"/>
          </w:divBdr>
        </w:div>
        <w:div w:id="357513006">
          <w:marLeft w:val="720"/>
          <w:marRight w:val="0"/>
          <w:marTop w:val="0"/>
          <w:marBottom w:val="0"/>
          <w:divBdr>
            <w:top w:val="none" w:sz="0" w:space="0" w:color="auto"/>
            <w:left w:val="none" w:sz="0" w:space="0" w:color="auto"/>
            <w:bottom w:val="none" w:sz="0" w:space="0" w:color="auto"/>
            <w:right w:val="none" w:sz="0" w:space="0" w:color="auto"/>
          </w:divBdr>
        </w:div>
        <w:div w:id="2052338564">
          <w:marLeft w:val="720"/>
          <w:marRight w:val="0"/>
          <w:marTop w:val="0"/>
          <w:marBottom w:val="0"/>
          <w:divBdr>
            <w:top w:val="none" w:sz="0" w:space="0" w:color="auto"/>
            <w:left w:val="none" w:sz="0" w:space="0" w:color="auto"/>
            <w:bottom w:val="none" w:sz="0" w:space="0" w:color="auto"/>
            <w:right w:val="none" w:sz="0" w:space="0" w:color="auto"/>
          </w:divBdr>
        </w:div>
        <w:div w:id="1724403307">
          <w:marLeft w:val="0"/>
          <w:marRight w:val="0"/>
          <w:marTop w:val="0"/>
          <w:marBottom w:val="0"/>
          <w:divBdr>
            <w:top w:val="none" w:sz="0" w:space="0" w:color="auto"/>
            <w:left w:val="none" w:sz="0" w:space="0" w:color="auto"/>
            <w:bottom w:val="none" w:sz="0" w:space="0" w:color="auto"/>
            <w:right w:val="none" w:sz="0" w:space="0" w:color="auto"/>
          </w:divBdr>
        </w:div>
        <w:div w:id="2075934659">
          <w:marLeft w:val="720"/>
          <w:marRight w:val="0"/>
          <w:marTop w:val="0"/>
          <w:marBottom w:val="0"/>
          <w:divBdr>
            <w:top w:val="none" w:sz="0" w:space="0" w:color="auto"/>
            <w:left w:val="none" w:sz="0" w:space="0" w:color="auto"/>
            <w:bottom w:val="none" w:sz="0" w:space="0" w:color="auto"/>
            <w:right w:val="none" w:sz="0" w:space="0" w:color="auto"/>
          </w:divBdr>
        </w:div>
        <w:div w:id="726608332">
          <w:marLeft w:val="720"/>
          <w:marRight w:val="0"/>
          <w:marTop w:val="0"/>
          <w:marBottom w:val="0"/>
          <w:divBdr>
            <w:top w:val="none" w:sz="0" w:space="0" w:color="auto"/>
            <w:left w:val="none" w:sz="0" w:space="0" w:color="auto"/>
            <w:bottom w:val="none" w:sz="0" w:space="0" w:color="auto"/>
            <w:right w:val="none" w:sz="0" w:space="0" w:color="auto"/>
          </w:divBdr>
        </w:div>
        <w:div w:id="344601963">
          <w:marLeft w:val="720"/>
          <w:marRight w:val="0"/>
          <w:marTop w:val="0"/>
          <w:marBottom w:val="0"/>
          <w:divBdr>
            <w:top w:val="none" w:sz="0" w:space="0" w:color="auto"/>
            <w:left w:val="none" w:sz="0" w:space="0" w:color="auto"/>
            <w:bottom w:val="none" w:sz="0" w:space="0" w:color="auto"/>
            <w:right w:val="none" w:sz="0" w:space="0" w:color="auto"/>
          </w:divBdr>
        </w:div>
        <w:div w:id="1320887895">
          <w:marLeft w:val="720"/>
          <w:marRight w:val="0"/>
          <w:marTop w:val="0"/>
          <w:marBottom w:val="0"/>
          <w:divBdr>
            <w:top w:val="none" w:sz="0" w:space="0" w:color="auto"/>
            <w:left w:val="none" w:sz="0" w:space="0" w:color="auto"/>
            <w:bottom w:val="none" w:sz="0" w:space="0" w:color="auto"/>
            <w:right w:val="none" w:sz="0" w:space="0" w:color="auto"/>
          </w:divBdr>
        </w:div>
        <w:div w:id="1512799227">
          <w:marLeft w:val="720"/>
          <w:marRight w:val="51"/>
          <w:marTop w:val="0"/>
          <w:marBottom w:val="0"/>
          <w:divBdr>
            <w:top w:val="none" w:sz="0" w:space="0" w:color="auto"/>
            <w:left w:val="none" w:sz="0" w:space="0" w:color="auto"/>
            <w:bottom w:val="none" w:sz="0" w:space="0" w:color="auto"/>
            <w:right w:val="none" w:sz="0" w:space="0" w:color="auto"/>
          </w:divBdr>
        </w:div>
        <w:div w:id="1969507413">
          <w:marLeft w:val="720"/>
          <w:marRight w:val="0"/>
          <w:marTop w:val="0"/>
          <w:marBottom w:val="0"/>
          <w:divBdr>
            <w:top w:val="none" w:sz="0" w:space="0" w:color="auto"/>
            <w:left w:val="none" w:sz="0" w:space="0" w:color="auto"/>
            <w:bottom w:val="none" w:sz="0" w:space="0" w:color="auto"/>
            <w:right w:val="none" w:sz="0" w:space="0" w:color="auto"/>
          </w:divBdr>
        </w:div>
        <w:div w:id="2117796307">
          <w:marLeft w:val="720"/>
          <w:marRight w:val="0"/>
          <w:marTop w:val="0"/>
          <w:marBottom w:val="0"/>
          <w:divBdr>
            <w:top w:val="none" w:sz="0" w:space="0" w:color="auto"/>
            <w:left w:val="none" w:sz="0" w:space="0" w:color="auto"/>
            <w:bottom w:val="none" w:sz="0" w:space="0" w:color="auto"/>
            <w:right w:val="none" w:sz="0" w:space="0" w:color="auto"/>
          </w:divBdr>
        </w:div>
        <w:div w:id="293103263">
          <w:marLeft w:val="720"/>
          <w:marRight w:val="0"/>
          <w:marTop w:val="0"/>
          <w:marBottom w:val="0"/>
          <w:divBdr>
            <w:top w:val="none" w:sz="0" w:space="0" w:color="auto"/>
            <w:left w:val="none" w:sz="0" w:space="0" w:color="auto"/>
            <w:bottom w:val="none" w:sz="0" w:space="0" w:color="auto"/>
            <w:right w:val="none" w:sz="0" w:space="0" w:color="auto"/>
          </w:divBdr>
        </w:div>
        <w:div w:id="186527952">
          <w:marLeft w:val="720"/>
          <w:marRight w:val="0"/>
          <w:marTop w:val="0"/>
          <w:marBottom w:val="0"/>
          <w:divBdr>
            <w:top w:val="none" w:sz="0" w:space="0" w:color="auto"/>
            <w:left w:val="none" w:sz="0" w:space="0" w:color="auto"/>
            <w:bottom w:val="none" w:sz="0" w:space="0" w:color="auto"/>
            <w:right w:val="none" w:sz="0" w:space="0" w:color="auto"/>
          </w:divBdr>
        </w:div>
        <w:div w:id="799999757">
          <w:marLeft w:val="720"/>
          <w:marRight w:val="0"/>
          <w:marTop w:val="0"/>
          <w:marBottom w:val="0"/>
          <w:divBdr>
            <w:top w:val="none" w:sz="0" w:space="0" w:color="auto"/>
            <w:left w:val="none" w:sz="0" w:space="0" w:color="auto"/>
            <w:bottom w:val="none" w:sz="0" w:space="0" w:color="auto"/>
            <w:right w:val="none" w:sz="0" w:space="0" w:color="auto"/>
          </w:divBdr>
        </w:div>
        <w:div w:id="248151380">
          <w:marLeft w:val="720"/>
          <w:marRight w:val="0"/>
          <w:marTop w:val="0"/>
          <w:marBottom w:val="0"/>
          <w:divBdr>
            <w:top w:val="none" w:sz="0" w:space="0" w:color="auto"/>
            <w:left w:val="none" w:sz="0" w:space="0" w:color="auto"/>
            <w:bottom w:val="none" w:sz="0" w:space="0" w:color="auto"/>
            <w:right w:val="none" w:sz="0" w:space="0" w:color="auto"/>
          </w:divBdr>
        </w:div>
        <w:div w:id="652686357">
          <w:marLeft w:val="720"/>
          <w:marRight w:val="0"/>
          <w:marTop w:val="0"/>
          <w:marBottom w:val="0"/>
          <w:divBdr>
            <w:top w:val="none" w:sz="0" w:space="0" w:color="auto"/>
            <w:left w:val="none" w:sz="0" w:space="0" w:color="auto"/>
            <w:bottom w:val="none" w:sz="0" w:space="0" w:color="auto"/>
            <w:right w:val="none" w:sz="0" w:space="0" w:color="auto"/>
          </w:divBdr>
        </w:div>
        <w:div w:id="625357409">
          <w:marLeft w:val="0"/>
          <w:marRight w:val="0"/>
          <w:marTop w:val="0"/>
          <w:marBottom w:val="0"/>
          <w:divBdr>
            <w:top w:val="none" w:sz="0" w:space="0" w:color="auto"/>
            <w:left w:val="none" w:sz="0" w:space="0" w:color="auto"/>
            <w:bottom w:val="none" w:sz="0" w:space="0" w:color="auto"/>
            <w:right w:val="none" w:sz="0" w:space="0" w:color="auto"/>
          </w:divBdr>
        </w:div>
        <w:div w:id="1343359036">
          <w:marLeft w:val="720"/>
          <w:marRight w:val="49"/>
          <w:marTop w:val="0"/>
          <w:marBottom w:val="0"/>
          <w:divBdr>
            <w:top w:val="none" w:sz="0" w:space="0" w:color="auto"/>
            <w:left w:val="none" w:sz="0" w:space="0" w:color="auto"/>
            <w:bottom w:val="none" w:sz="0" w:space="0" w:color="auto"/>
            <w:right w:val="none" w:sz="0" w:space="0" w:color="auto"/>
          </w:divBdr>
        </w:div>
        <w:div w:id="24137704">
          <w:marLeft w:val="720"/>
          <w:marRight w:val="49"/>
          <w:marTop w:val="0"/>
          <w:marBottom w:val="0"/>
          <w:divBdr>
            <w:top w:val="none" w:sz="0" w:space="0" w:color="auto"/>
            <w:left w:val="none" w:sz="0" w:space="0" w:color="auto"/>
            <w:bottom w:val="none" w:sz="0" w:space="0" w:color="auto"/>
            <w:right w:val="none" w:sz="0" w:space="0" w:color="auto"/>
          </w:divBdr>
        </w:div>
        <w:div w:id="584344455">
          <w:marLeft w:val="720"/>
          <w:marRight w:val="49"/>
          <w:marTop w:val="0"/>
          <w:marBottom w:val="0"/>
          <w:divBdr>
            <w:top w:val="none" w:sz="0" w:space="0" w:color="auto"/>
            <w:left w:val="none" w:sz="0" w:space="0" w:color="auto"/>
            <w:bottom w:val="none" w:sz="0" w:space="0" w:color="auto"/>
            <w:right w:val="none" w:sz="0" w:space="0" w:color="auto"/>
          </w:divBdr>
        </w:div>
      </w:divsChild>
    </w:div>
    <w:div w:id="1190414878">
      <w:bodyDiv w:val="1"/>
      <w:marLeft w:val="0"/>
      <w:marRight w:val="0"/>
      <w:marTop w:val="0"/>
      <w:marBottom w:val="0"/>
      <w:divBdr>
        <w:top w:val="none" w:sz="0" w:space="0" w:color="auto"/>
        <w:left w:val="none" w:sz="0" w:space="0" w:color="auto"/>
        <w:bottom w:val="none" w:sz="0" w:space="0" w:color="auto"/>
        <w:right w:val="none" w:sz="0" w:space="0" w:color="auto"/>
      </w:divBdr>
    </w:div>
    <w:div w:id="1303926835">
      <w:bodyDiv w:val="1"/>
      <w:marLeft w:val="0"/>
      <w:marRight w:val="0"/>
      <w:marTop w:val="0"/>
      <w:marBottom w:val="0"/>
      <w:divBdr>
        <w:top w:val="none" w:sz="0" w:space="0" w:color="auto"/>
        <w:left w:val="none" w:sz="0" w:space="0" w:color="auto"/>
        <w:bottom w:val="none" w:sz="0" w:space="0" w:color="auto"/>
        <w:right w:val="none" w:sz="0" w:space="0" w:color="auto"/>
      </w:divBdr>
    </w:div>
    <w:div w:id="1305699932">
      <w:bodyDiv w:val="1"/>
      <w:marLeft w:val="0"/>
      <w:marRight w:val="0"/>
      <w:marTop w:val="0"/>
      <w:marBottom w:val="0"/>
      <w:divBdr>
        <w:top w:val="none" w:sz="0" w:space="0" w:color="auto"/>
        <w:left w:val="none" w:sz="0" w:space="0" w:color="auto"/>
        <w:bottom w:val="none" w:sz="0" w:space="0" w:color="auto"/>
        <w:right w:val="none" w:sz="0" w:space="0" w:color="auto"/>
      </w:divBdr>
    </w:div>
    <w:div w:id="1323848453">
      <w:bodyDiv w:val="1"/>
      <w:marLeft w:val="0"/>
      <w:marRight w:val="0"/>
      <w:marTop w:val="0"/>
      <w:marBottom w:val="0"/>
      <w:divBdr>
        <w:top w:val="none" w:sz="0" w:space="0" w:color="auto"/>
        <w:left w:val="none" w:sz="0" w:space="0" w:color="auto"/>
        <w:bottom w:val="none" w:sz="0" w:space="0" w:color="auto"/>
        <w:right w:val="none" w:sz="0" w:space="0" w:color="auto"/>
      </w:divBdr>
    </w:div>
    <w:div w:id="1364091486">
      <w:bodyDiv w:val="1"/>
      <w:marLeft w:val="0"/>
      <w:marRight w:val="0"/>
      <w:marTop w:val="0"/>
      <w:marBottom w:val="0"/>
      <w:divBdr>
        <w:top w:val="none" w:sz="0" w:space="0" w:color="auto"/>
        <w:left w:val="none" w:sz="0" w:space="0" w:color="auto"/>
        <w:bottom w:val="none" w:sz="0" w:space="0" w:color="auto"/>
        <w:right w:val="none" w:sz="0" w:space="0" w:color="auto"/>
      </w:divBdr>
    </w:div>
    <w:div w:id="1393575934">
      <w:bodyDiv w:val="1"/>
      <w:marLeft w:val="0"/>
      <w:marRight w:val="0"/>
      <w:marTop w:val="0"/>
      <w:marBottom w:val="0"/>
      <w:divBdr>
        <w:top w:val="none" w:sz="0" w:space="0" w:color="auto"/>
        <w:left w:val="none" w:sz="0" w:space="0" w:color="auto"/>
        <w:bottom w:val="none" w:sz="0" w:space="0" w:color="auto"/>
        <w:right w:val="none" w:sz="0" w:space="0" w:color="auto"/>
      </w:divBdr>
    </w:div>
    <w:div w:id="1465655128">
      <w:bodyDiv w:val="1"/>
      <w:marLeft w:val="0"/>
      <w:marRight w:val="0"/>
      <w:marTop w:val="0"/>
      <w:marBottom w:val="0"/>
      <w:divBdr>
        <w:top w:val="none" w:sz="0" w:space="0" w:color="auto"/>
        <w:left w:val="none" w:sz="0" w:space="0" w:color="auto"/>
        <w:bottom w:val="none" w:sz="0" w:space="0" w:color="auto"/>
        <w:right w:val="none" w:sz="0" w:space="0" w:color="auto"/>
      </w:divBdr>
    </w:div>
    <w:div w:id="1470782087">
      <w:bodyDiv w:val="1"/>
      <w:marLeft w:val="0"/>
      <w:marRight w:val="0"/>
      <w:marTop w:val="0"/>
      <w:marBottom w:val="0"/>
      <w:divBdr>
        <w:top w:val="none" w:sz="0" w:space="0" w:color="auto"/>
        <w:left w:val="none" w:sz="0" w:space="0" w:color="auto"/>
        <w:bottom w:val="none" w:sz="0" w:space="0" w:color="auto"/>
        <w:right w:val="none" w:sz="0" w:space="0" w:color="auto"/>
      </w:divBdr>
    </w:div>
    <w:div w:id="1615021228">
      <w:bodyDiv w:val="1"/>
      <w:marLeft w:val="0"/>
      <w:marRight w:val="0"/>
      <w:marTop w:val="0"/>
      <w:marBottom w:val="0"/>
      <w:divBdr>
        <w:top w:val="none" w:sz="0" w:space="0" w:color="auto"/>
        <w:left w:val="none" w:sz="0" w:space="0" w:color="auto"/>
        <w:bottom w:val="none" w:sz="0" w:space="0" w:color="auto"/>
        <w:right w:val="none" w:sz="0" w:space="0" w:color="auto"/>
      </w:divBdr>
    </w:div>
    <w:div w:id="1656304018">
      <w:bodyDiv w:val="1"/>
      <w:marLeft w:val="0"/>
      <w:marRight w:val="0"/>
      <w:marTop w:val="0"/>
      <w:marBottom w:val="0"/>
      <w:divBdr>
        <w:top w:val="none" w:sz="0" w:space="0" w:color="auto"/>
        <w:left w:val="none" w:sz="0" w:space="0" w:color="auto"/>
        <w:bottom w:val="none" w:sz="0" w:space="0" w:color="auto"/>
        <w:right w:val="none" w:sz="0" w:space="0" w:color="auto"/>
      </w:divBdr>
    </w:div>
    <w:div w:id="1690334366">
      <w:bodyDiv w:val="1"/>
      <w:marLeft w:val="0"/>
      <w:marRight w:val="0"/>
      <w:marTop w:val="0"/>
      <w:marBottom w:val="0"/>
      <w:divBdr>
        <w:top w:val="none" w:sz="0" w:space="0" w:color="auto"/>
        <w:left w:val="none" w:sz="0" w:space="0" w:color="auto"/>
        <w:bottom w:val="none" w:sz="0" w:space="0" w:color="auto"/>
        <w:right w:val="none" w:sz="0" w:space="0" w:color="auto"/>
      </w:divBdr>
    </w:div>
    <w:div w:id="1691176573">
      <w:bodyDiv w:val="1"/>
      <w:marLeft w:val="0"/>
      <w:marRight w:val="0"/>
      <w:marTop w:val="0"/>
      <w:marBottom w:val="0"/>
      <w:divBdr>
        <w:top w:val="none" w:sz="0" w:space="0" w:color="auto"/>
        <w:left w:val="none" w:sz="0" w:space="0" w:color="auto"/>
        <w:bottom w:val="none" w:sz="0" w:space="0" w:color="auto"/>
        <w:right w:val="none" w:sz="0" w:space="0" w:color="auto"/>
      </w:divBdr>
    </w:div>
    <w:div w:id="1784493157">
      <w:bodyDiv w:val="1"/>
      <w:marLeft w:val="0"/>
      <w:marRight w:val="0"/>
      <w:marTop w:val="0"/>
      <w:marBottom w:val="0"/>
      <w:divBdr>
        <w:top w:val="none" w:sz="0" w:space="0" w:color="auto"/>
        <w:left w:val="none" w:sz="0" w:space="0" w:color="auto"/>
        <w:bottom w:val="none" w:sz="0" w:space="0" w:color="auto"/>
        <w:right w:val="none" w:sz="0" w:space="0" w:color="auto"/>
      </w:divBdr>
    </w:div>
    <w:div w:id="1858348587">
      <w:bodyDiv w:val="1"/>
      <w:marLeft w:val="0"/>
      <w:marRight w:val="0"/>
      <w:marTop w:val="0"/>
      <w:marBottom w:val="0"/>
      <w:divBdr>
        <w:top w:val="none" w:sz="0" w:space="0" w:color="auto"/>
        <w:left w:val="none" w:sz="0" w:space="0" w:color="auto"/>
        <w:bottom w:val="none" w:sz="0" w:space="0" w:color="auto"/>
        <w:right w:val="none" w:sz="0" w:space="0" w:color="auto"/>
      </w:divBdr>
    </w:div>
    <w:div w:id="1912079916">
      <w:bodyDiv w:val="1"/>
      <w:marLeft w:val="0"/>
      <w:marRight w:val="0"/>
      <w:marTop w:val="0"/>
      <w:marBottom w:val="0"/>
      <w:divBdr>
        <w:top w:val="none" w:sz="0" w:space="0" w:color="auto"/>
        <w:left w:val="none" w:sz="0" w:space="0" w:color="auto"/>
        <w:bottom w:val="none" w:sz="0" w:space="0" w:color="auto"/>
        <w:right w:val="none" w:sz="0" w:space="0" w:color="auto"/>
      </w:divBdr>
    </w:div>
    <w:div w:id="1941991044">
      <w:bodyDiv w:val="1"/>
      <w:marLeft w:val="0"/>
      <w:marRight w:val="0"/>
      <w:marTop w:val="0"/>
      <w:marBottom w:val="0"/>
      <w:divBdr>
        <w:top w:val="none" w:sz="0" w:space="0" w:color="auto"/>
        <w:left w:val="none" w:sz="0" w:space="0" w:color="auto"/>
        <w:bottom w:val="none" w:sz="0" w:space="0" w:color="auto"/>
        <w:right w:val="none" w:sz="0" w:space="0" w:color="auto"/>
      </w:divBdr>
    </w:div>
    <w:div w:id="1983146195">
      <w:bodyDiv w:val="1"/>
      <w:marLeft w:val="0"/>
      <w:marRight w:val="0"/>
      <w:marTop w:val="0"/>
      <w:marBottom w:val="0"/>
      <w:divBdr>
        <w:top w:val="none" w:sz="0" w:space="0" w:color="auto"/>
        <w:left w:val="none" w:sz="0" w:space="0" w:color="auto"/>
        <w:bottom w:val="none" w:sz="0" w:space="0" w:color="auto"/>
        <w:right w:val="none" w:sz="0" w:space="0" w:color="auto"/>
      </w:divBdr>
      <w:divsChild>
        <w:div w:id="656155879">
          <w:marLeft w:val="1418"/>
          <w:marRight w:val="0"/>
          <w:marTop w:val="0"/>
          <w:marBottom w:val="0"/>
          <w:divBdr>
            <w:top w:val="none" w:sz="0" w:space="0" w:color="auto"/>
            <w:left w:val="none" w:sz="0" w:space="0" w:color="auto"/>
            <w:bottom w:val="none" w:sz="0" w:space="0" w:color="auto"/>
            <w:right w:val="none" w:sz="0" w:space="0" w:color="auto"/>
          </w:divBdr>
        </w:div>
        <w:div w:id="938827824">
          <w:marLeft w:val="1418"/>
          <w:marRight w:val="0"/>
          <w:marTop w:val="0"/>
          <w:marBottom w:val="0"/>
          <w:divBdr>
            <w:top w:val="none" w:sz="0" w:space="0" w:color="auto"/>
            <w:left w:val="none" w:sz="0" w:space="0" w:color="auto"/>
            <w:bottom w:val="none" w:sz="0" w:space="0" w:color="auto"/>
            <w:right w:val="none" w:sz="0" w:space="0" w:color="auto"/>
          </w:divBdr>
        </w:div>
        <w:div w:id="669716815">
          <w:marLeft w:val="1418"/>
          <w:marRight w:val="0"/>
          <w:marTop w:val="0"/>
          <w:marBottom w:val="0"/>
          <w:divBdr>
            <w:top w:val="none" w:sz="0" w:space="0" w:color="auto"/>
            <w:left w:val="none" w:sz="0" w:space="0" w:color="auto"/>
            <w:bottom w:val="none" w:sz="0" w:space="0" w:color="auto"/>
            <w:right w:val="none" w:sz="0" w:space="0" w:color="auto"/>
          </w:divBdr>
        </w:div>
        <w:div w:id="440347132">
          <w:marLeft w:val="1418"/>
          <w:marRight w:val="0"/>
          <w:marTop w:val="0"/>
          <w:marBottom w:val="0"/>
          <w:divBdr>
            <w:top w:val="none" w:sz="0" w:space="0" w:color="auto"/>
            <w:left w:val="none" w:sz="0" w:space="0" w:color="auto"/>
            <w:bottom w:val="none" w:sz="0" w:space="0" w:color="auto"/>
            <w:right w:val="none" w:sz="0" w:space="0" w:color="auto"/>
          </w:divBdr>
        </w:div>
        <w:div w:id="1265188602">
          <w:marLeft w:val="1418"/>
          <w:marRight w:val="0"/>
          <w:marTop w:val="0"/>
          <w:marBottom w:val="0"/>
          <w:divBdr>
            <w:top w:val="none" w:sz="0" w:space="0" w:color="auto"/>
            <w:left w:val="none" w:sz="0" w:space="0" w:color="auto"/>
            <w:bottom w:val="none" w:sz="0" w:space="0" w:color="auto"/>
            <w:right w:val="none" w:sz="0" w:space="0" w:color="auto"/>
          </w:divBdr>
        </w:div>
        <w:div w:id="424544252">
          <w:marLeft w:val="1418"/>
          <w:marRight w:val="0"/>
          <w:marTop w:val="0"/>
          <w:marBottom w:val="0"/>
          <w:divBdr>
            <w:top w:val="none" w:sz="0" w:space="0" w:color="auto"/>
            <w:left w:val="none" w:sz="0" w:space="0" w:color="auto"/>
            <w:bottom w:val="none" w:sz="0" w:space="0" w:color="auto"/>
            <w:right w:val="none" w:sz="0" w:space="0" w:color="auto"/>
          </w:divBdr>
        </w:div>
        <w:div w:id="1379740351">
          <w:marLeft w:val="1418"/>
          <w:marRight w:val="0"/>
          <w:marTop w:val="0"/>
          <w:marBottom w:val="0"/>
          <w:divBdr>
            <w:top w:val="none" w:sz="0" w:space="0" w:color="auto"/>
            <w:left w:val="none" w:sz="0" w:space="0" w:color="auto"/>
            <w:bottom w:val="none" w:sz="0" w:space="0" w:color="auto"/>
            <w:right w:val="none" w:sz="0" w:space="0" w:color="auto"/>
          </w:divBdr>
        </w:div>
        <w:div w:id="137191347">
          <w:marLeft w:val="1418"/>
          <w:marRight w:val="0"/>
          <w:marTop w:val="0"/>
          <w:marBottom w:val="0"/>
          <w:divBdr>
            <w:top w:val="none" w:sz="0" w:space="0" w:color="auto"/>
            <w:left w:val="none" w:sz="0" w:space="0" w:color="auto"/>
            <w:bottom w:val="none" w:sz="0" w:space="0" w:color="auto"/>
            <w:right w:val="none" w:sz="0" w:space="0" w:color="auto"/>
          </w:divBdr>
        </w:div>
      </w:divsChild>
    </w:div>
    <w:div w:id="2002078702">
      <w:bodyDiv w:val="1"/>
      <w:marLeft w:val="0"/>
      <w:marRight w:val="0"/>
      <w:marTop w:val="0"/>
      <w:marBottom w:val="0"/>
      <w:divBdr>
        <w:top w:val="none" w:sz="0" w:space="0" w:color="auto"/>
        <w:left w:val="none" w:sz="0" w:space="0" w:color="auto"/>
        <w:bottom w:val="none" w:sz="0" w:space="0" w:color="auto"/>
        <w:right w:val="none" w:sz="0" w:space="0" w:color="auto"/>
      </w:divBdr>
    </w:div>
    <w:div w:id="2003700874">
      <w:bodyDiv w:val="1"/>
      <w:marLeft w:val="0"/>
      <w:marRight w:val="0"/>
      <w:marTop w:val="0"/>
      <w:marBottom w:val="0"/>
      <w:divBdr>
        <w:top w:val="none" w:sz="0" w:space="0" w:color="auto"/>
        <w:left w:val="none" w:sz="0" w:space="0" w:color="auto"/>
        <w:bottom w:val="none" w:sz="0" w:space="0" w:color="auto"/>
        <w:right w:val="none" w:sz="0" w:space="0" w:color="auto"/>
      </w:divBdr>
      <w:divsChild>
        <w:div w:id="363988340">
          <w:marLeft w:val="720"/>
          <w:marRight w:val="0"/>
          <w:marTop w:val="0"/>
          <w:marBottom w:val="0"/>
          <w:divBdr>
            <w:top w:val="none" w:sz="0" w:space="0" w:color="auto"/>
            <w:left w:val="none" w:sz="0" w:space="0" w:color="auto"/>
            <w:bottom w:val="none" w:sz="0" w:space="0" w:color="auto"/>
            <w:right w:val="none" w:sz="0" w:space="0" w:color="auto"/>
          </w:divBdr>
        </w:div>
        <w:div w:id="1138229917">
          <w:marLeft w:val="0"/>
          <w:marRight w:val="0"/>
          <w:marTop w:val="0"/>
          <w:marBottom w:val="0"/>
          <w:divBdr>
            <w:top w:val="none" w:sz="0" w:space="0" w:color="auto"/>
            <w:left w:val="none" w:sz="0" w:space="0" w:color="auto"/>
            <w:bottom w:val="none" w:sz="0" w:space="0" w:color="auto"/>
            <w:right w:val="none" w:sz="0" w:space="0" w:color="auto"/>
          </w:divBdr>
        </w:div>
        <w:div w:id="914708442">
          <w:marLeft w:val="720"/>
          <w:marRight w:val="0"/>
          <w:marTop w:val="0"/>
          <w:marBottom w:val="0"/>
          <w:divBdr>
            <w:top w:val="none" w:sz="0" w:space="0" w:color="auto"/>
            <w:left w:val="none" w:sz="0" w:space="0" w:color="auto"/>
            <w:bottom w:val="none" w:sz="0" w:space="0" w:color="auto"/>
            <w:right w:val="none" w:sz="0" w:space="0" w:color="auto"/>
          </w:divBdr>
        </w:div>
      </w:divsChild>
    </w:div>
    <w:div w:id="2050106696">
      <w:bodyDiv w:val="1"/>
      <w:marLeft w:val="0"/>
      <w:marRight w:val="0"/>
      <w:marTop w:val="0"/>
      <w:marBottom w:val="0"/>
      <w:divBdr>
        <w:top w:val="none" w:sz="0" w:space="0" w:color="auto"/>
        <w:left w:val="none" w:sz="0" w:space="0" w:color="auto"/>
        <w:bottom w:val="none" w:sz="0" w:space="0" w:color="auto"/>
        <w:right w:val="none" w:sz="0" w:space="0" w:color="auto"/>
      </w:divBdr>
    </w:div>
    <w:div w:id="2126579061">
      <w:bodyDiv w:val="1"/>
      <w:marLeft w:val="0"/>
      <w:marRight w:val="0"/>
      <w:marTop w:val="0"/>
      <w:marBottom w:val="0"/>
      <w:divBdr>
        <w:top w:val="none" w:sz="0" w:space="0" w:color="auto"/>
        <w:left w:val="none" w:sz="0" w:space="0" w:color="auto"/>
        <w:bottom w:val="none" w:sz="0" w:space="0" w:color="auto"/>
        <w:right w:val="none" w:sz="0" w:space="0" w:color="auto"/>
      </w:divBdr>
    </w:div>
    <w:div w:id="2132891590">
      <w:bodyDiv w:val="1"/>
      <w:marLeft w:val="0"/>
      <w:marRight w:val="0"/>
      <w:marTop w:val="0"/>
      <w:marBottom w:val="0"/>
      <w:divBdr>
        <w:top w:val="none" w:sz="0" w:space="0" w:color="auto"/>
        <w:left w:val="none" w:sz="0" w:space="0" w:color="auto"/>
        <w:bottom w:val="none" w:sz="0" w:space="0" w:color="auto"/>
        <w:right w:val="none" w:sz="0" w:space="0" w:color="auto"/>
      </w:divBdr>
      <w:divsChild>
        <w:div w:id="335155689">
          <w:marLeft w:val="720"/>
          <w:marRight w:val="0"/>
          <w:marTop w:val="0"/>
          <w:marBottom w:val="0"/>
          <w:divBdr>
            <w:top w:val="none" w:sz="0" w:space="0" w:color="auto"/>
            <w:left w:val="none" w:sz="0" w:space="0" w:color="auto"/>
            <w:bottom w:val="none" w:sz="0" w:space="0" w:color="auto"/>
            <w:right w:val="none" w:sz="0" w:space="0" w:color="auto"/>
          </w:divBdr>
        </w:div>
        <w:div w:id="417868597">
          <w:marLeft w:val="0"/>
          <w:marRight w:val="0"/>
          <w:marTop w:val="0"/>
          <w:marBottom w:val="0"/>
          <w:divBdr>
            <w:top w:val="none" w:sz="0" w:space="0" w:color="auto"/>
            <w:left w:val="none" w:sz="0" w:space="0" w:color="auto"/>
            <w:bottom w:val="none" w:sz="0" w:space="0" w:color="auto"/>
            <w:right w:val="none" w:sz="0" w:space="0" w:color="auto"/>
          </w:divBdr>
        </w:div>
        <w:div w:id="88082001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hyperlink" Target="mailto:unknown@unknown.invalid"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aa9e511fcafbab5f2ef084e2d0bfd3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3.xml><?xml version="1.0" encoding="utf-8"?>
<ds:datastoreItem xmlns:ds="http://schemas.openxmlformats.org/officeDocument/2006/customXml" ds:itemID="{E2FA6733-1F8F-4E0F-8017-1F3099928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50CAEDE-9D47-49FC-AA1E-D464558C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241</Pages>
  <Words>74367</Words>
  <Characters>409024</Characters>
  <Application>Microsoft Office Word</Application>
  <DocSecurity>0</DocSecurity>
  <Lines>3408</Lines>
  <Paragraphs>964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Daniela Alvarez Isidro</dc:creator>
  <cp:lastModifiedBy>Maria del Consuelo Gonzalez Moreno</cp:lastModifiedBy>
  <cp:revision>35</cp:revision>
  <cp:lastPrinted>2015-11-26T03:40:00Z</cp:lastPrinted>
  <dcterms:created xsi:type="dcterms:W3CDTF">2017-11-01T21:42:00Z</dcterms:created>
  <dcterms:modified xsi:type="dcterms:W3CDTF">2017-11-07T18:47:00Z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